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15F170">
      <w:pPr>
        <w:rPr>
          <w:rFonts w:ascii="仿宋_GB2312" w:hAnsi="仿宋_GB2312" w:eastAsia="仿宋_GB2312" w:cs="仿宋_GB2312"/>
          <w:sz w:val="36"/>
          <w:szCs w:val="36"/>
        </w:rPr>
      </w:pPr>
    </w:p>
    <w:p w14:paraId="441877C8">
      <w:pPr>
        <w:rPr>
          <w:rFonts w:ascii="仿宋_GB2312" w:hAnsi="仿宋_GB2312" w:eastAsia="仿宋_GB2312" w:cs="仿宋_GB2312"/>
          <w:sz w:val="36"/>
          <w:szCs w:val="36"/>
        </w:rPr>
      </w:pPr>
    </w:p>
    <w:p w14:paraId="39ED6BAA">
      <w:pPr>
        <w:rPr>
          <w:rFonts w:ascii="仿宋_GB2312" w:hAnsi="仿宋_GB2312" w:eastAsia="仿宋_GB2312" w:cs="仿宋_GB2312"/>
          <w:sz w:val="36"/>
          <w:szCs w:val="36"/>
        </w:rPr>
      </w:pPr>
    </w:p>
    <w:p w14:paraId="6BA0199A">
      <w:pPr>
        <w:rPr>
          <w:rFonts w:ascii="仿宋_GB2312" w:hAnsi="仿宋_GB2312" w:eastAsia="仿宋_GB2312" w:cs="仿宋_GB2312"/>
          <w:sz w:val="36"/>
          <w:szCs w:val="36"/>
        </w:rPr>
      </w:pPr>
    </w:p>
    <w:p w14:paraId="63E5525A">
      <w:pPr>
        <w:spacing w:line="240" w:lineRule="auto"/>
        <w:ind w:firstLine="1044"/>
        <w:jc w:val="center"/>
        <w:outlineLvl w:val="0"/>
        <w:rPr>
          <w:rFonts w:asciiTheme="minorEastAsia" w:hAnsiTheme="minorEastAsia" w:eastAsiaTheme="minorEastAsia" w:cstheme="minorEastAsia"/>
          <w:b/>
          <w:sz w:val="52"/>
          <w:szCs w:val="52"/>
        </w:rPr>
      </w:pPr>
      <w:bookmarkStart w:id="0" w:name="_Toc20404"/>
      <w:bookmarkStart w:id="1" w:name="_Toc1242"/>
      <w:bookmarkStart w:id="2" w:name="_Toc21498"/>
      <w:r>
        <w:rPr>
          <w:rFonts w:hint="eastAsia" w:asciiTheme="minorEastAsia" w:hAnsiTheme="minorEastAsia" w:eastAsiaTheme="minorEastAsia" w:cstheme="minorEastAsia"/>
          <w:b/>
          <w:sz w:val="52"/>
          <w:szCs w:val="52"/>
        </w:rPr>
        <w:t>建设项目环境影响报告表</w:t>
      </w:r>
      <w:bookmarkEnd w:id="0"/>
      <w:bookmarkEnd w:id="1"/>
      <w:bookmarkEnd w:id="2"/>
    </w:p>
    <w:p w14:paraId="40ED79FA">
      <w:pPr>
        <w:spacing w:before="192" w:beforeLines="80"/>
        <w:ind w:firstLine="961"/>
        <w:jc w:val="center"/>
        <w:rPr>
          <w:rFonts w:ascii="楷体_GB2312" w:eastAsia="楷体_GB2312"/>
          <w:b/>
          <w:sz w:val="48"/>
          <w:szCs w:val="48"/>
        </w:rPr>
      </w:pPr>
      <w:r>
        <w:rPr>
          <w:rFonts w:hint="eastAsia" w:ascii="楷体_GB2312" w:eastAsia="楷体_GB2312"/>
          <w:b/>
          <w:sz w:val="48"/>
          <w:szCs w:val="48"/>
        </w:rPr>
        <w:t>（污染影响类）</w:t>
      </w:r>
    </w:p>
    <w:p w14:paraId="4CD6CD37">
      <w:pPr>
        <w:spacing w:line="288" w:lineRule="auto"/>
        <w:ind w:firstLine="880"/>
        <w:jc w:val="center"/>
        <w:rPr>
          <w:rFonts w:ascii="华文仿宋" w:hAnsi="华文仿宋" w:eastAsia="华文仿宋" w:cs="华文仿宋"/>
          <w:kern w:val="44"/>
          <w:sz w:val="44"/>
          <w:szCs w:val="44"/>
        </w:rPr>
      </w:pPr>
    </w:p>
    <w:p w14:paraId="2E7D3D62">
      <w:pPr>
        <w:ind w:firstLine="1040"/>
        <w:jc w:val="center"/>
        <w:rPr>
          <w:rFonts w:eastAsia="仿宋"/>
          <w:sz w:val="52"/>
          <w:szCs w:val="52"/>
        </w:rPr>
      </w:pPr>
    </w:p>
    <w:p w14:paraId="7AFB5449">
      <w:pPr>
        <w:ind w:firstLine="880"/>
        <w:rPr>
          <w:rFonts w:eastAsia="仿宋"/>
          <w:sz w:val="44"/>
          <w:szCs w:val="44"/>
        </w:rPr>
      </w:pPr>
    </w:p>
    <w:p w14:paraId="7EB29446">
      <w:pPr>
        <w:ind w:firstLine="880"/>
        <w:rPr>
          <w:rFonts w:eastAsia="仿宋"/>
          <w:sz w:val="44"/>
          <w:szCs w:val="44"/>
        </w:rPr>
      </w:pPr>
    </w:p>
    <w:p w14:paraId="470FA5D0">
      <w:pPr>
        <w:ind w:firstLine="880"/>
        <w:rPr>
          <w:rFonts w:eastAsia="仿宋"/>
          <w:sz w:val="44"/>
          <w:szCs w:val="44"/>
        </w:rPr>
      </w:pPr>
    </w:p>
    <w:p w14:paraId="6ED1B89B">
      <w:pPr>
        <w:spacing w:line="360" w:lineRule="auto"/>
        <w:ind w:firstLine="904" w:firstLineChars="300"/>
        <w:jc w:val="center"/>
        <w:rPr>
          <w:rFonts w:ascii="宋体" w:hAnsi="宋体" w:cs="宋体"/>
          <w:b/>
          <w:bCs/>
          <w:sz w:val="30"/>
          <w:szCs w:val="30"/>
          <w:u w:val="single"/>
        </w:rPr>
      </w:pPr>
      <w:r>
        <w:rPr>
          <w:rFonts w:hint="eastAsia" w:ascii="宋体" w:hAnsi="宋体" w:cs="宋体"/>
          <w:b/>
          <w:bCs/>
          <w:sz w:val="30"/>
          <w:szCs w:val="30"/>
        </w:rPr>
        <w:t>项目名称：</w:t>
      </w:r>
      <w:r>
        <w:rPr>
          <w:rFonts w:hint="eastAsia" w:ascii="宋体" w:hAnsi="宋体" w:cs="宋体"/>
          <w:b/>
          <w:bCs/>
          <w:sz w:val="30"/>
          <w:szCs w:val="30"/>
          <w:u w:val="single"/>
          <w:lang w:eastAsia="zh-CN"/>
        </w:rPr>
        <w:t>江西中超建设工程</w:t>
      </w:r>
      <w:r>
        <w:rPr>
          <w:rFonts w:hint="eastAsia" w:ascii="宋体" w:hAnsi="宋体" w:cs="宋体"/>
          <w:b/>
          <w:bCs/>
          <w:sz w:val="30"/>
          <w:szCs w:val="30"/>
          <w:u w:val="single"/>
        </w:rPr>
        <w:t>有限公司</w:t>
      </w:r>
      <w:r>
        <w:rPr>
          <w:rFonts w:hint="eastAsia" w:ascii="宋体" w:hAnsi="宋体" w:cs="宋体"/>
          <w:b/>
          <w:bCs/>
          <w:sz w:val="30"/>
          <w:szCs w:val="30"/>
          <w:u w:val="single"/>
          <w:lang w:eastAsia="zh-CN"/>
        </w:rPr>
        <w:t>高安分公司江西电力科技成果转化中心建设项目</w:t>
      </w:r>
    </w:p>
    <w:p w14:paraId="0687E8C8">
      <w:pPr>
        <w:spacing w:line="360" w:lineRule="auto"/>
        <w:ind w:firstLine="904" w:firstLineChars="300"/>
        <w:jc w:val="left"/>
        <w:rPr>
          <w:rFonts w:hint="eastAsia" w:ascii="宋体" w:hAnsi="宋体" w:eastAsia="宋体" w:cs="宋体"/>
          <w:b/>
          <w:bCs/>
          <w:sz w:val="30"/>
          <w:szCs w:val="30"/>
          <w:u w:val="single"/>
          <w:lang w:eastAsia="zh-CN"/>
        </w:rPr>
      </w:pPr>
      <w:r>
        <w:rPr>
          <w:rFonts w:hint="eastAsia" w:ascii="宋体" w:hAnsi="宋体" w:cs="宋体"/>
          <w:b/>
          <w:bCs/>
          <w:sz w:val="30"/>
          <w:szCs w:val="30"/>
        </w:rPr>
        <w:t>建设单位（盖章）：</w:t>
      </w:r>
      <w:r>
        <w:rPr>
          <w:rFonts w:hint="eastAsia" w:ascii="宋体" w:hAnsi="宋体" w:cs="宋体"/>
          <w:b/>
          <w:bCs/>
          <w:sz w:val="30"/>
          <w:szCs w:val="30"/>
          <w:u w:val="single"/>
          <w:lang w:eastAsia="zh-CN"/>
        </w:rPr>
        <w:t>江西中超建设工程有限公司高安分公司</w:t>
      </w:r>
    </w:p>
    <w:p w14:paraId="5380FF19">
      <w:pPr>
        <w:spacing w:line="360" w:lineRule="auto"/>
        <w:ind w:firstLine="904" w:firstLineChars="300"/>
        <w:jc w:val="left"/>
        <w:rPr>
          <w:rFonts w:ascii="宋体" w:hAnsi="宋体" w:cs="宋体"/>
          <w:b/>
          <w:bCs/>
          <w:sz w:val="30"/>
          <w:szCs w:val="30"/>
          <w:u w:val="single"/>
        </w:rPr>
      </w:pPr>
      <w:r>
        <w:rPr>
          <w:rFonts w:hint="eastAsia" w:ascii="宋体" w:hAnsi="宋体" w:cs="宋体"/>
          <w:b/>
          <w:bCs/>
          <w:sz w:val="30"/>
          <w:szCs w:val="30"/>
        </w:rPr>
        <w:t>编制日期：</w:t>
      </w:r>
      <w:r>
        <w:rPr>
          <w:rFonts w:hint="eastAsia" w:ascii="宋体" w:hAnsi="宋体" w:cs="宋体"/>
          <w:b/>
          <w:bCs/>
          <w:sz w:val="30"/>
          <w:szCs w:val="30"/>
          <w:u w:val="single"/>
        </w:rPr>
        <w:t>2025年</w:t>
      </w:r>
      <w:r>
        <w:rPr>
          <w:rFonts w:hint="eastAsia" w:ascii="宋体" w:hAnsi="宋体" w:cs="宋体"/>
          <w:b/>
          <w:bCs/>
          <w:sz w:val="30"/>
          <w:szCs w:val="30"/>
          <w:u w:val="single"/>
          <w:lang w:val="en-US" w:eastAsia="zh-CN"/>
        </w:rPr>
        <w:t>11</w:t>
      </w:r>
      <w:r>
        <w:rPr>
          <w:rFonts w:hint="eastAsia" w:ascii="宋体" w:hAnsi="宋体" w:cs="宋体"/>
          <w:b/>
          <w:bCs/>
          <w:sz w:val="30"/>
          <w:szCs w:val="30"/>
          <w:u w:val="single"/>
        </w:rPr>
        <w:t>月</w:t>
      </w:r>
    </w:p>
    <w:p w14:paraId="5EE86570">
      <w:pPr>
        <w:ind w:firstLine="880"/>
        <w:rPr>
          <w:rFonts w:eastAsia="仿宋"/>
          <w:sz w:val="44"/>
          <w:szCs w:val="44"/>
        </w:rPr>
      </w:pPr>
    </w:p>
    <w:p w14:paraId="48A17729">
      <w:pPr>
        <w:spacing w:line="288" w:lineRule="auto"/>
        <w:rPr>
          <w:rFonts w:ascii="仿宋_GB2312" w:eastAsia="仿宋_GB2312"/>
          <w:sz w:val="36"/>
          <w:szCs w:val="36"/>
        </w:rPr>
      </w:pPr>
      <w:bookmarkStart w:id="3" w:name="_Hlk57884087"/>
    </w:p>
    <w:p w14:paraId="22AB95E8">
      <w:pPr>
        <w:spacing w:line="288" w:lineRule="auto"/>
        <w:rPr>
          <w:rFonts w:ascii="仿宋_GB2312" w:eastAsia="仿宋_GB2312"/>
          <w:sz w:val="36"/>
          <w:szCs w:val="36"/>
        </w:rPr>
      </w:pPr>
    </w:p>
    <w:bookmarkEnd w:id="3"/>
    <w:p w14:paraId="0E1AE1F0">
      <w:pPr>
        <w:spacing w:line="288" w:lineRule="auto"/>
        <w:ind w:firstLine="721"/>
        <w:jc w:val="center"/>
        <w:outlineLvl w:val="0"/>
        <w:rPr>
          <w:rFonts w:ascii="楷体_GB2312" w:eastAsia="楷体_GB2312"/>
          <w:b/>
          <w:bCs/>
          <w:sz w:val="36"/>
          <w:szCs w:val="36"/>
        </w:rPr>
      </w:pPr>
      <w:bookmarkStart w:id="4" w:name="_Toc25767"/>
      <w:bookmarkStart w:id="5" w:name="_Toc14955"/>
      <w:bookmarkStart w:id="6" w:name="_Toc1160"/>
      <w:r>
        <w:rPr>
          <w:rFonts w:hint="eastAsia" w:ascii="楷体_GB2312" w:eastAsia="楷体_GB2312"/>
          <w:b/>
          <w:bCs/>
          <w:sz w:val="36"/>
          <w:szCs w:val="36"/>
        </w:rPr>
        <w:t>中华人民共和国生态环境部制</w:t>
      </w:r>
      <w:bookmarkEnd w:id="4"/>
      <w:bookmarkEnd w:id="5"/>
      <w:bookmarkEnd w:id="6"/>
    </w:p>
    <w:p w14:paraId="6AB98A84">
      <w:pPr>
        <w:spacing w:line="288" w:lineRule="auto"/>
        <w:ind w:firstLine="721"/>
        <w:rPr>
          <w:rFonts w:ascii="仿宋_GB2312" w:eastAsia="仿宋_GB2312"/>
          <w:b/>
          <w:bCs/>
          <w:sz w:val="36"/>
          <w:szCs w:val="36"/>
        </w:rPr>
        <w:sectPr>
          <w:footerReference r:id="rId5" w:type="default"/>
          <w:footerReference r:id="rId6"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51249AE7">
      <w:pPr>
        <w:pStyle w:val="18"/>
        <w:spacing w:line="240" w:lineRule="auto"/>
        <w:ind w:firstLine="0" w:firstLineChars="0"/>
        <w:jc w:val="center"/>
        <w:sectPr>
          <w:footerReference r:id="rId7"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sdt>
      <w:sdtPr>
        <w:rPr>
          <w:rFonts w:ascii="宋体" w:hAnsi="宋体"/>
          <w:sz w:val="21"/>
        </w:rPr>
        <w:id w:val="147481637"/>
        <w:docPartObj>
          <w:docPartGallery w:val="Table of Contents"/>
          <w:docPartUnique/>
        </w:docPartObj>
      </w:sdtPr>
      <w:sdtEndPr>
        <w:rPr>
          <w:rFonts w:hint="eastAsia" w:ascii="Times New Roman" w:hAnsi="Times New Roman"/>
          <w:b/>
          <w:sz w:val="21"/>
        </w:rPr>
      </w:sdtEndPr>
      <w:sdtContent>
        <w:p w14:paraId="750A238D">
          <w:pPr>
            <w:spacing w:line="240" w:lineRule="auto"/>
            <w:ind w:firstLine="0" w:firstLineChars="0"/>
            <w:jc w:val="center"/>
            <w:rPr>
              <w:b/>
              <w:bCs/>
              <w:sz w:val="44"/>
              <w:szCs w:val="52"/>
            </w:rPr>
          </w:pPr>
          <w:r>
            <w:rPr>
              <w:rFonts w:ascii="宋体" w:hAnsi="宋体"/>
              <w:b/>
              <w:bCs/>
              <w:sz w:val="44"/>
              <w:szCs w:val="52"/>
            </w:rPr>
            <w:t>目录</w:t>
          </w:r>
        </w:p>
        <w:p w14:paraId="6186E1D2">
          <w:pPr>
            <w:pStyle w:val="33"/>
            <w:tabs>
              <w:tab w:val="right" w:leader="dot" w:pos="8844"/>
            </w:tabs>
            <w:rPr>
              <w:rFonts w:hint="default" w:ascii="Times New Roman" w:hAnsi="Times New Roman" w:cs="Times New Roman" w:eastAsiaTheme="minorEastAsia"/>
            </w:rPr>
          </w:pP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TOC \o "1-2" \h \u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HYPERLINK \l _Toc20404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szCs w:val="52"/>
            </w:rPr>
            <w:t>建设项目环境影响报告表</w:t>
          </w:r>
          <w:r>
            <w:rPr>
              <w:rFonts w:hint="default" w:ascii="Times New Roman" w:hAnsi="Times New Roman" w:cs="Times New Roman" w:eastAsiaTheme="minorEastAsia"/>
            </w:rPr>
            <w:tab/>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PAGEREF _Toc20404 \h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3</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fldChar w:fldCharType="end"/>
          </w:r>
        </w:p>
        <w:p w14:paraId="51A58416">
          <w:pPr>
            <w:pStyle w:val="33"/>
            <w:tabs>
              <w:tab w:val="right" w:leader="dot" w:pos="8844"/>
            </w:tabs>
            <w:rPr>
              <w:rFonts w:hint="default" w:ascii="Times New Roman" w:hAnsi="Times New Roman" w:cs="Times New Roman" w:eastAsiaTheme="minorEastAsia"/>
            </w:rPr>
          </w:pP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HYPERLINK \l _Toc1160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bCs/>
              <w:szCs w:val="36"/>
            </w:rPr>
            <w:t>中华人民共和国生态环境部制</w:t>
          </w:r>
          <w:r>
            <w:rPr>
              <w:rFonts w:hint="default" w:ascii="Times New Roman" w:hAnsi="Times New Roman" w:cs="Times New Roman" w:eastAsiaTheme="minorEastAsia"/>
            </w:rPr>
            <w:tab/>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PAGEREF _Toc1160 \h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3</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fldChar w:fldCharType="end"/>
          </w:r>
        </w:p>
        <w:p w14:paraId="12E7CE23">
          <w:pPr>
            <w:pStyle w:val="33"/>
            <w:tabs>
              <w:tab w:val="right" w:leader="dot" w:pos="8844"/>
            </w:tabs>
            <w:rPr>
              <w:rFonts w:hint="default" w:ascii="Times New Roman" w:hAnsi="Times New Roman" w:cs="Times New Roman" w:eastAsiaTheme="minorEastAsia"/>
            </w:rPr>
          </w:pP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HYPERLINK \l _Toc18613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snapToGrid w:val="0"/>
              <w:szCs w:val="30"/>
            </w:rPr>
            <w:t>一、建设项目基本情况</w:t>
          </w:r>
          <w:r>
            <w:rPr>
              <w:rFonts w:hint="default" w:ascii="Times New Roman" w:hAnsi="Times New Roman" w:cs="Times New Roman" w:eastAsiaTheme="minorEastAsia"/>
            </w:rPr>
            <w:tab/>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PAGEREF _Toc18613 \h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4</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fldChar w:fldCharType="end"/>
          </w:r>
        </w:p>
        <w:p w14:paraId="6486AE85">
          <w:pPr>
            <w:pStyle w:val="33"/>
            <w:tabs>
              <w:tab w:val="right" w:leader="dot" w:pos="8844"/>
            </w:tabs>
            <w:rPr>
              <w:rFonts w:hint="default" w:ascii="Times New Roman" w:hAnsi="Times New Roman" w:cs="Times New Roman" w:eastAsiaTheme="minorEastAsia"/>
            </w:rPr>
          </w:pP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HYPERLINK \l _Toc24119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snapToGrid w:val="0"/>
              <w:szCs w:val="30"/>
            </w:rPr>
            <w:t>二、建设项目工程分析</w:t>
          </w:r>
          <w:r>
            <w:rPr>
              <w:rFonts w:hint="default" w:ascii="Times New Roman" w:hAnsi="Times New Roman" w:cs="Times New Roman" w:eastAsiaTheme="minorEastAsia"/>
            </w:rPr>
            <w:tab/>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PAGEREF _Toc24119 \h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25</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fldChar w:fldCharType="end"/>
          </w:r>
        </w:p>
        <w:p w14:paraId="6C0C26CE">
          <w:pPr>
            <w:pStyle w:val="33"/>
            <w:tabs>
              <w:tab w:val="right" w:leader="dot" w:pos="8844"/>
            </w:tabs>
            <w:rPr>
              <w:rFonts w:hint="default" w:ascii="Times New Roman" w:hAnsi="Times New Roman" w:cs="Times New Roman" w:eastAsiaTheme="minorEastAsia"/>
            </w:rPr>
          </w:pP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HYPERLINK \l _Toc863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snapToGrid w:val="0"/>
              <w:szCs w:val="30"/>
            </w:rPr>
            <w:t>三、区域环境质量现状、环境保护目标及评价标准</w:t>
          </w:r>
          <w:r>
            <w:rPr>
              <w:rFonts w:hint="default" w:ascii="Times New Roman" w:hAnsi="Times New Roman" w:cs="Times New Roman" w:eastAsiaTheme="minorEastAsia"/>
            </w:rPr>
            <w:tab/>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PAGEREF _Toc863 \h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38</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fldChar w:fldCharType="end"/>
          </w:r>
        </w:p>
        <w:p w14:paraId="04E07FC5">
          <w:pPr>
            <w:pStyle w:val="33"/>
            <w:tabs>
              <w:tab w:val="right" w:leader="dot" w:pos="8844"/>
            </w:tabs>
            <w:rPr>
              <w:rFonts w:hint="default" w:ascii="Times New Roman" w:hAnsi="Times New Roman" w:cs="Times New Roman" w:eastAsiaTheme="minorEastAsia"/>
            </w:rPr>
          </w:pP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HYPERLINK \l _Toc12369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snapToGrid w:val="0"/>
              <w:szCs w:val="30"/>
            </w:rPr>
            <w:t>四、主要环境影响和保护措施</w:t>
          </w:r>
          <w:r>
            <w:rPr>
              <w:rFonts w:hint="default" w:ascii="Times New Roman" w:hAnsi="Times New Roman" w:cs="Times New Roman" w:eastAsiaTheme="minorEastAsia"/>
            </w:rPr>
            <w:tab/>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PAGEREF _Toc12369 \h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43</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fldChar w:fldCharType="end"/>
          </w:r>
        </w:p>
        <w:p w14:paraId="57F0E8A0">
          <w:pPr>
            <w:pStyle w:val="33"/>
            <w:tabs>
              <w:tab w:val="right" w:leader="dot" w:pos="8844"/>
            </w:tabs>
            <w:rPr>
              <w:rFonts w:hint="default" w:ascii="Times New Roman" w:hAnsi="Times New Roman" w:cs="Times New Roman" w:eastAsiaTheme="minorEastAsia"/>
            </w:rPr>
          </w:pP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HYPERLINK \l _Toc10411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snapToGrid w:val="0"/>
              <w:szCs w:val="30"/>
            </w:rPr>
            <w:t>五、环境保护措施监督检查清单</w:t>
          </w:r>
          <w:r>
            <w:rPr>
              <w:rFonts w:hint="default" w:ascii="Times New Roman" w:hAnsi="Times New Roman" w:cs="Times New Roman" w:eastAsiaTheme="minorEastAsia"/>
            </w:rPr>
            <w:tab/>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PAGEREF _Toc10411 \h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69</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fldChar w:fldCharType="end"/>
          </w:r>
        </w:p>
        <w:p w14:paraId="0A109E5E">
          <w:pPr>
            <w:pStyle w:val="33"/>
            <w:tabs>
              <w:tab w:val="right" w:leader="dot" w:pos="8844"/>
            </w:tabs>
            <w:rPr>
              <w:rFonts w:hint="default" w:ascii="Times New Roman" w:hAnsi="Times New Roman" w:cs="Times New Roman" w:eastAsiaTheme="minorEastAsia"/>
            </w:rPr>
          </w:pP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HYPERLINK \l _Toc1211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snapToGrid w:val="0"/>
              <w:szCs w:val="30"/>
            </w:rPr>
            <w:t>六、结论</w:t>
          </w:r>
          <w:r>
            <w:rPr>
              <w:rFonts w:hint="default" w:ascii="Times New Roman" w:hAnsi="Times New Roman" w:cs="Times New Roman" w:eastAsiaTheme="minorEastAsia"/>
            </w:rPr>
            <w:tab/>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PAGEREF _Toc1211 \h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73</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fldChar w:fldCharType="end"/>
          </w:r>
        </w:p>
        <w:p w14:paraId="658292E1">
          <w:pPr>
            <w:pStyle w:val="33"/>
            <w:tabs>
              <w:tab w:val="right" w:leader="dot" w:pos="8844"/>
            </w:tabs>
            <w:rPr>
              <w:rFonts w:hint="default" w:ascii="Times New Roman" w:hAnsi="Times New Roman" w:cs="Times New Roman" w:eastAsiaTheme="minorEastAsia"/>
            </w:rPr>
          </w:pP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HYPERLINK \l _Toc6436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snapToGrid w:val="0"/>
              <w:szCs w:val="32"/>
            </w:rPr>
            <w:t>附表</w:t>
          </w:r>
          <w:r>
            <w:rPr>
              <w:rFonts w:hint="default" w:ascii="Times New Roman" w:hAnsi="Times New Roman" w:cs="Times New Roman" w:eastAsiaTheme="minorEastAsia"/>
            </w:rPr>
            <w:tab/>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PAGEREF _Toc6436 \h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74</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fldChar w:fldCharType="end"/>
          </w:r>
        </w:p>
        <w:p w14:paraId="07E4F787">
          <w:pPr>
            <w:pStyle w:val="33"/>
            <w:tabs>
              <w:tab w:val="right" w:leader="dot" w:pos="8844"/>
            </w:tabs>
            <w:rPr>
              <w:rFonts w:hint="default" w:ascii="Times New Roman" w:hAnsi="Times New Roman" w:cs="Times New Roman" w:eastAsiaTheme="minorEastAsia"/>
            </w:rPr>
          </w:pP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HYPERLINK \l _Toc14928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snapToGrid w:val="0"/>
              <w:szCs w:val="38"/>
            </w:rPr>
            <w:t>建设项目污染物排放量汇总表</w:t>
          </w:r>
          <w:r>
            <w:rPr>
              <w:rFonts w:hint="default" w:ascii="Times New Roman" w:hAnsi="Times New Roman" w:cs="Times New Roman" w:eastAsiaTheme="minorEastAsia"/>
            </w:rPr>
            <w:tab/>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PAGEREF _Toc14928 \h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74</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fldChar w:fldCharType="end"/>
          </w:r>
        </w:p>
        <w:p w14:paraId="254A0E2E">
          <w:pPr>
            <w:keepNext w:val="0"/>
            <w:keepLines w:val="0"/>
            <w:pageBreakBefore w:val="0"/>
            <w:widowControl w:val="0"/>
            <w:kinsoku/>
            <w:wordWrap/>
            <w:overflowPunct/>
            <w:topLinePunct w:val="0"/>
            <w:autoSpaceDE/>
            <w:autoSpaceDN/>
            <w:bidi w:val="0"/>
            <w:adjustRightInd/>
            <w:snapToGrid/>
            <w:spacing w:line="264" w:lineRule="auto"/>
            <w:textAlignment w:val="auto"/>
            <w:rPr>
              <w:rFonts w:hint="eastAsia" w:ascii="Times New Roman" w:hAnsi="Times New Roman"/>
              <w:b/>
              <w:sz w:val="21"/>
            </w:rPr>
          </w:pPr>
          <w:r>
            <w:rPr>
              <w:rFonts w:hint="default" w:ascii="Times New Roman" w:hAnsi="Times New Roman" w:cs="Times New Roman" w:eastAsiaTheme="minorEastAsia"/>
            </w:rPr>
            <w:fldChar w:fldCharType="end"/>
          </w:r>
        </w:p>
      </w:sdtContent>
    </w:sdt>
    <w:p w14:paraId="059A9274">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cs="Times New Roman"/>
          <w:b/>
          <w:bCs/>
          <w:color w:val="000000"/>
          <w:sz w:val="24"/>
          <w:szCs w:val="24"/>
          <w:lang w:val="en-US" w:eastAsia="zh-CN"/>
        </w:rPr>
        <w:sectPr>
          <w:footerReference r:id="rId8" w:type="default"/>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2803CED4">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cs="Times New Roman"/>
          <w:color w:val="000000"/>
          <w:sz w:val="24"/>
          <w:szCs w:val="24"/>
          <w:lang w:val="en-US" w:eastAsia="zh-CN"/>
        </w:rPr>
      </w:pPr>
      <w:r>
        <w:rPr>
          <w:rFonts w:hint="default" w:ascii="Times New Roman" w:hAnsi="Times New Roman" w:cs="Times New Roman"/>
          <w:b/>
          <w:bCs/>
          <w:color w:val="000000"/>
          <w:sz w:val="24"/>
          <w:szCs w:val="24"/>
          <w:lang w:val="en-US" w:eastAsia="zh-CN"/>
        </w:rPr>
        <w:t>附件</w:t>
      </w:r>
      <w:r>
        <w:rPr>
          <w:rFonts w:hint="eastAsia" w:cs="Times New Roman"/>
          <w:b/>
          <w:bCs/>
          <w:color w:val="000000"/>
          <w:sz w:val="24"/>
          <w:szCs w:val="24"/>
          <w:lang w:val="en-US" w:eastAsia="zh-CN"/>
        </w:rPr>
        <w:t>：</w:t>
      </w:r>
    </w:p>
    <w:p w14:paraId="61F30EFF">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附件1</w:t>
      </w:r>
      <w:r>
        <w:rPr>
          <w:rFonts w:hint="eastAsia" w:ascii="Times New Roman" w:hAnsi="Times New Roman" w:cs="Times New Roman"/>
          <w:color w:val="000000"/>
          <w:sz w:val="24"/>
          <w:szCs w:val="24"/>
          <w:highlight w:val="none"/>
          <w:lang w:val="en-US" w:eastAsia="zh-CN"/>
        </w:rPr>
        <w:t xml:space="preserve">  </w:t>
      </w:r>
      <w:r>
        <w:rPr>
          <w:rFonts w:hint="default" w:ascii="Times New Roman" w:hAnsi="Times New Roman" w:cs="Times New Roman"/>
          <w:color w:val="000000"/>
          <w:sz w:val="24"/>
          <w:szCs w:val="24"/>
          <w:highlight w:val="none"/>
          <w:lang w:val="en-US" w:eastAsia="zh-CN"/>
        </w:rPr>
        <w:t>委托书</w:t>
      </w:r>
    </w:p>
    <w:p w14:paraId="7ADCEF89">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附件2</w:t>
      </w:r>
      <w:r>
        <w:rPr>
          <w:rFonts w:hint="eastAsia" w:ascii="Times New Roman" w:hAnsi="Times New Roman" w:cs="Times New Roman"/>
          <w:color w:val="000000"/>
          <w:sz w:val="24"/>
          <w:szCs w:val="24"/>
          <w:highlight w:val="none"/>
          <w:lang w:val="en-US" w:eastAsia="zh-CN"/>
        </w:rPr>
        <w:t xml:space="preserve">  </w:t>
      </w:r>
      <w:r>
        <w:rPr>
          <w:rFonts w:hint="default" w:ascii="Times New Roman" w:hAnsi="Times New Roman" w:cs="Times New Roman"/>
          <w:color w:val="000000"/>
          <w:sz w:val="24"/>
          <w:szCs w:val="24"/>
          <w:highlight w:val="none"/>
          <w:lang w:val="en-US" w:eastAsia="zh-CN"/>
        </w:rPr>
        <w:t>承诺书</w:t>
      </w:r>
    </w:p>
    <w:p w14:paraId="0E651572">
      <w:pPr>
        <w:keepNext w:val="0"/>
        <w:keepLines w:val="0"/>
        <w:pageBreakBefore w:val="0"/>
        <w:widowControl w:val="0"/>
        <w:kinsoku/>
        <w:wordWrap/>
        <w:overflowPunct/>
        <w:topLinePunct w:val="0"/>
        <w:autoSpaceDE/>
        <w:autoSpaceDN/>
        <w:bidi w:val="0"/>
        <w:adjustRightInd/>
        <w:snapToGrid/>
        <w:spacing w:line="264" w:lineRule="auto"/>
        <w:textAlignment w:val="auto"/>
        <w:rPr>
          <w:rFonts w:hint="eastAsia"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附件3  营业执照</w:t>
      </w:r>
    </w:p>
    <w:p w14:paraId="3A0E2543">
      <w:pPr>
        <w:keepNext w:val="0"/>
        <w:keepLines w:val="0"/>
        <w:pageBreakBefore w:val="0"/>
        <w:widowControl w:val="0"/>
        <w:kinsoku/>
        <w:wordWrap/>
        <w:overflowPunct/>
        <w:topLinePunct w:val="0"/>
        <w:autoSpaceDE/>
        <w:autoSpaceDN/>
        <w:bidi w:val="0"/>
        <w:adjustRightInd/>
        <w:snapToGrid/>
        <w:spacing w:line="264" w:lineRule="auto"/>
        <w:textAlignment w:val="auto"/>
        <w:rPr>
          <w:rFonts w:hint="eastAsia"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附件4  法人身份证</w:t>
      </w:r>
    </w:p>
    <w:p w14:paraId="5DA4E928">
      <w:pPr>
        <w:keepNext w:val="0"/>
        <w:keepLines w:val="0"/>
        <w:pageBreakBefore w:val="0"/>
        <w:widowControl w:val="0"/>
        <w:kinsoku/>
        <w:wordWrap/>
        <w:overflowPunct/>
        <w:topLinePunct w:val="0"/>
        <w:autoSpaceDE/>
        <w:autoSpaceDN/>
        <w:bidi w:val="0"/>
        <w:adjustRightInd/>
        <w:snapToGrid/>
        <w:spacing w:line="264" w:lineRule="auto"/>
        <w:textAlignment w:val="auto"/>
        <w:rPr>
          <w:rFonts w:hint="eastAsia"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附件5  项目立项文件</w:t>
      </w:r>
    </w:p>
    <w:p w14:paraId="13B20073">
      <w:pPr>
        <w:keepNext w:val="0"/>
        <w:keepLines w:val="0"/>
        <w:pageBreakBefore w:val="0"/>
        <w:widowControl w:val="0"/>
        <w:kinsoku/>
        <w:wordWrap/>
        <w:overflowPunct/>
        <w:topLinePunct w:val="0"/>
        <w:autoSpaceDE/>
        <w:autoSpaceDN/>
        <w:bidi w:val="0"/>
        <w:adjustRightInd/>
        <w:snapToGrid/>
        <w:spacing w:line="264" w:lineRule="auto"/>
        <w:textAlignment w:val="auto"/>
        <w:rPr>
          <w:rFonts w:hint="eastAsia"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附件6  建设项目初审表</w:t>
      </w:r>
    </w:p>
    <w:p w14:paraId="75E834B2">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附件7  用地文件</w:t>
      </w:r>
    </w:p>
    <w:p w14:paraId="7135DA8B">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附件</w:t>
      </w:r>
      <w:r>
        <w:rPr>
          <w:rFonts w:hint="eastAsia" w:ascii="Times New Roman" w:hAnsi="Times New Roman" w:eastAsia="宋体" w:cs="Times New Roman"/>
          <w:color w:val="000000"/>
          <w:sz w:val="24"/>
          <w:szCs w:val="24"/>
          <w:highlight w:val="none"/>
          <w:lang w:val="en-US" w:eastAsia="zh-CN"/>
        </w:rPr>
        <w:t xml:space="preserve">8  </w:t>
      </w:r>
      <w:r>
        <w:rPr>
          <w:rFonts w:hint="default" w:ascii="Times New Roman" w:hAnsi="Times New Roman" w:eastAsia="宋体" w:cs="Times New Roman"/>
          <w:color w:val="000000"/>
          <w:sz w:val="24"/>
          <w:szCs w:val="24"/>
          <w:highlight w:val="none"/>
          <w:lang w:val="en-US" w:eastAsia="zh-CN"/>
        </w:rPr>
        <w:t>扩区调区规划环评批文</w:t>
      </w:r>
    </w:p>
    <w:p w14:paraId="0291C2D1">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附件9  引用的监测报告（节选）</w:t>
      </w:r>
    </w:p>
    <w:p w14:paraId="3120D25E">
      <w:pPr>
        <w:rPr>
          <w:rFonts w:hint="default"/>
          <w:lang w:val="en-US" w:eastAsia="zh-CN"/>
        </w:rPr>
      </w:pPr>
    </w:p>
    <w:p w14:paraId="1354E8E9">
      <w:pPr>
        <w:keepNext w:val="0"/>
        <w:keepLines w:val="0"/>
        <w:pageBreakBefore w:val="0"/>
        <w:widowControl w:val="0"/>
        <w:kinsoku/>
        <w:wordWrap/>
        <w:overflowPunct/>
        <w:topLinePunct w:val="0"/>
        <w:autoSpaceDE/>
        <w:autoSpaceDN/>
        <w:bidi w:val="0"/>
        <w:adjustRightInd/>
        <w:snapToGrid/>
        <w:spacing w:line="264" w:lineRule="auto"/>
        <w:jc w:val="left"/>
        <w:textAlignment w:val="auto"/>
        <w:rPr>
          <w:rFonts w:hint="default" w:ascii="Times New Roman" w:hAnsi="Times New Roman" w:cs="Times New Roman"/>
          <w:b w:val="0"/>
          <w:bCs w:val="0"/>
          <w:color w:val="000000"/>
          <w:sz w:val="24"/>
          <w:szCs w:val="24"/>
          <w:highlight w:val="none"/>
          <w:lang w:val="en-US" w:eastAsia="zh-CN"/>
        </w:rPr>
      </w:pPr>
      <w:r>
        <w:rPr>
          <w:rFonts w:hint="default" w:ascii="Times New Roman" w:hAnsi="Times New Roman" w:cs="Times New Roman"/>
          <w:b/>
          <w:bCs/>
          <w:color w:val="000000"/>
          <w:sz w:val="24"/>
          <w:szCs w:val="24"/>
          <w:highlight w:val="none"/>
          <w:lang w:val="en-US" w:eastAsia="zh-CN"/>
        </w:rPr>
        <w:t>附图</w:t>
      </w:r>
      <w:r>
        <w:rPr>
          <w:rFonts w:hint="eastAsia" w:cs="Times New Roman"/>
          <w:b/>
          <w:bCs/>
          <w:color w:val="000000"/>
          <w:sz w:val="24"/>
          <w:szCs w:val="24"/>
          <w:highlight w:val="none"/>
          <w:lang w:val="en-US" w:eastAsia="zh-CN"/>
        </w:rPr>
        <w:t>：</w:t>
      </w:r>
    </w:p>
    <w:p w14:paraId="1C7D42CB">
      <w:pPr>
        <w:jc w:val="left"/>
        <w:rPr>
          <w:rFonts w:hint="default" w:eastAsia="宋体"/>
          <w:b w:val="0"/>
          <w:bCs w:val="0"/>
          <w:sz w:val="24"/>
          <w:szCs w:val="24"/>
          <w:lang w:val="en-US" w:eastAsia="zh-CN"/>
        </w:rPr>
      </w:pPr>
      <w:r>
        <w:rPr>
          <w:rFonts w:hint="eastAsia"/>
          <w:b w:val="0"/>
          <w:bCs w:val="0"/>
          <w:sz w:val="24"/>
          <w:szCs w:val="24"/>
          <w:lang w:eastAsia="zh-CN"/>
        </w:rPr>
        <w:t>附图</w:t>
      </w:r>
      <w:r>
        <w:rPr>
          <w:rFonts w:hint="eastAsia"/>
          <w:b w:val="0"/>
          <w:bCs w:val="0"/>
          <w:sz w:val="24"/>
          <w:szCs w:val="24"/>
          <w:lang w:val="en-US" w:eastAsia="zh-CN"/>
        </w:rPr>
        <w:t>1 项目所在地地理位置图</w:t>
      </w:r>
    </w:p>
    <w:p w14:paraId="7A114A1B">
      <w:pPr>
        <w:jc w:val="left"/>
        <w:rPr>
          <w:rFonts w:hint="eastAsia"/>
          <w:b w:val="0"/>
          <w:bCs w:val="0"/>
          <w:sz w:val="24"/>
          <w:szCs w:val="24"/>
          <w:lang w:val="en-US" w:eastAsia="zh-CN"/>
        </w:rPr>
      </w:pPr>
      <w:r>
        <w:rPr>
          <w:rFonts w:hint="eastAsia"/>
          <w:b w:val="0"/>
          <w:bCs w:val="0"/>
          <w:sz w:val="24"/>
          <w:szCs w:val="24"/>
          <w:lang w:eastAsia="zh-CN"/>
        </w:rPr>
        <w:t>附图</w:t>
      </w:r>
      <w:r>
        <w:rPr>
          <w:rFonts w:hint="eastAsia"/>
          <w:b w:val="0"/>
          <w:bCs w:val="0"/>
          <w:sz w:val="24"/>
          <w:szCs w:val="24"/>
          <w:lang w:val="en-US" w:eastAsia="zh-CN"/>
        </w:rPr>
        <w:t>2 项目所在厂区平面布置图</w:t>
      </w:r>
    </w:p>
    <w:p w14:paraId="3F98DD5C">
      <w:pPr>
        <w:jc w:val="left"/>
        <w:rPr>
          <w:rFonts w:hint="default" w:eastAsia="宋体"/>
          <w:b w:val="0"/>
          <w:bCs w:val="0"/>
          <w:sz w:val="24"/>
          <w:szCs w:val="24"/>
          <w:lang w:val="en-US" w:eastAsia="zh-CN"/>
        </w:rPr>
      </w:pPr>
      <w:r>
        <w:rPr>
          <w:rFonts w:hint="eastAsia"/>
          <w:b w:val="0"/>
          <w:bCs w:val="0"/>
          <w:sz w:val="24"/>
          <w:szCs w:val="24"/>
          <w:lang w:eastAsia="zh-CN"/>
        </w:rPr>
        <w:t>附图</w:t>
      </w:r>
      <w:r>
        <w:rPr>
          <w:rFonts w:hint="eastAsia"/>
          <w:b w:val="0"/>
          <w:bCs w:val="0"/>
          <w:sz w:val="24"/>
          <w:szCs w:val="24"/>
          <w:lang w:val="en-US" w:eastAsia="zh-CN"/>
        </w:rPr>
        <w:t>3 周边环境敏感点分布示意图</w:t>
      </w:r>
    </w:p>
    <w:p w14:paraId="4D667566">
      <w:pPr>
        <w:jc w:val="left"/>
        <w:rPr>
          <w:rFonts w:hint="default" w:eastAsia="宋体"/>
          <w:b w:val="0"/>
          <w:bCs w:val="0"/>
          <w:sz w:val="24"/>
          <w:szCs w:val="24"/>
          <w:lang w:val="en-US" w:eastAsia="zh-CN"/>
        </w:rPr>
      </w:pPr>
      <w:r>
        <w:rPr>
          <w:rFonts w:hint="eastAsia"/>
          <w:b w:val="0"/>
          <w:bCs w:val="0"/>
          <w:sz w:val="24"/>
          <w:szCs w:val="24"/>
          <w:lang w:eastAsia="zh-CN"/>
        </w:rPr>
        <w:t>附图</w:t>
      </w:r>
      <w:r>
        <w:rPr>
          <w:rFonts w:hint="eastAsia"/>
          <w:b w:val="0"/>
          <w:bCs w:val="0"/>
          <w:sz w:val="24"/>
          <w:szCs w:val="24"/>
          <w:lang w:val="en-US" w:eastAsia="zh-CN"/>
        </w:rPr>
        <w:t>4 区域水环境功能区划图</w:t>
      </w:r>
    </w:p>
    <w:p w14:paraId="7558AC02">
      <w:pPr>
        <w:jc w:val="left"/>
        <w:rPr>
          <w:rFonts w:hint="default"/>
          <w:b w:val="0"/>
          <w:bCs w:val="0"/>
          <w:lang w:val="en-US" w:eastAsia="zh-CN"/>
        </w:rPr>
      </w:pPr>
      <w:r>
        <w:rPr>
          <w:rFonts w:hint="eastAsia"/>
          <w:b w:val="0"/>
          <w:bCs w:val="0"/>
          <w:sz w:val="24"/>
          <w:szCs w:val="24"/>
          <w:lang w:eastAsia="zh-CN"/>
        </w:rPr>
        <w:t>附图</w:t>
      </w:r>
      <w:r>
        <w:rPr>
          <w:rFonts w:hint="eastAsia"/>
          <w:b w:val="0"/>
          <w:bCs w:val="0"/>
          <w:sz w:val="24"/>
          <w:szCs w:val="24"/>
          <w:lang w:val="en-US" w:eastAsia="zh-CN"/>
        </w:rPr>
        <w:t>5 项目三线一单管控分区图</w:t>
      </w:r>
    </w:p>
    <w:p w14:paraId="53798E35">
      <w:pPr>
        <w:jc w:val="left"/>
        <w:rPr>
          <w:rFonts w:hint="default" w:eastAsia="宋体"/>
          <w:b w:val="0"/>
          <w:bCs w:val="0"/>
          <w:sz w:val="24"/>
          <w:szCs w:val="24"/>
          <w:lang w:val="en-US" w:eastAsia="zh-CN"/>
        </w:rPr>
      </w:pPr>
      <w:r>
        <w:rPr>
          <w:rFonts w:hint="eastAsia"/>
          <w:b w:val="0"/>
          <w:bCs w:val="0"/>
          <w:sz w:val="24"/>
          <w:szCs w:val="24"/>
          <w:lang w:eastAsia="zh-CN"/>
        </w:rPr>
        <w:t>附图</w:t>
      </w:r>
      <w:r>
        <w:rPr>
          <w:rFonts w:hint="eastAsia"/>
          <w:b w:val="0"/>
          <w:bCs w:val="0"/>
          <w:sz w:val="24"/>
          <w:szCs w:val="24"/>
          <w:lang w:val="en-US" w:eastAsia="zh-CN"/>
        </w:rPr>
        <w:t>6 项目周边四至与工程师现场踏勘图</w:t>
      </w:r>
    </w:p>
    <w:p w14:paraId="3457373B">
      <w:pPr>
        <w:jc w:val="left"/>
        <w:rPr>
          <w:rFonts w:hint="default" w:eastAsia="宋体"/>
          <w:b w:val="0"/>
          <w:bCs w:val="0"/>
          <w:lang w:val="en-US" w:eastAsia="zh-CN"/>
        </w:rPr>
      </w:pPr>
      <w:r>
        <w:rPr>
          <w:rFonts w:hint="eastAsia"/>
          <w:b w:val="0"/>
          <w:bCs w:val="0"/>
          <w:sz w:val="24"/>
          <w:szCs w:val="24"/>
          <w:lang w:eastAsia="zh-CN"/>
        </w:rPr>
        <w:t>附图</w:t>
      </w:r>
      <w:r>
        <w:rPr>
          <w:rFonts w:hint="eastAsia"/>
          <w:b w:val="0"/>
          <w:bCs w:val="0"/>
          <w:sz w:val="24"/>
          <w:szCs w:val="24"/>
          <w:lang w:val="en-US" w:eastAsia="zh-CN"/>
        </w:rPr>
        <w:t>7 高安市重点管控单元图</w:t>
      </w:r>
    </w:p>
    <w:p w14:paraId="4F798394">
      <w:pPr>
        <w:jc w:val="left"/>
        <w:rPr>
          <w:rFonts w:hint="default" w:eastAsia="宋体"/>
          <w:b w:val="0"/>
          <w:bCs w:val="0"/>
          <w:sz w:val="24"/>
          <w:szCs w:val="24"/>
          <w:lang w:val="en-US" w:eastAsia="zh-CN"/>
        </w:rPr>
      </w:pPr>
      <w:r>
        <w:rPr>
          <w:rFonts w:hint="eastAsia"/>
          <w:b w:val="0"/>
          <w:bCs w:val="0"/>
          <w:sz w:val="24"/>
          <w:szCs w:val="24"/>
          <w:lang w:eastAsia="zh-CN"/>
        </w:rPr>
        <w:t>附图</w:t>
      </w:r>
      <w:r>
        <w:rPr>
          <w:rFonts w:hint="eastAsia"/>
          <w:b w:val="0"/>
          <w:bCs w:val="0"/>
          <w:sz w:val="24"/>
          <w:szCs w:val="24"/>
          <w:lang w:val="en-US" w:eastAsia="zh-CN"/>
        </w:rPr>
        <w:t>8 新世纪工业园土地利用现状图</w:t>
      </w:r>
    </w:p>
    <w:p w14:paraId="591635B3">
      <w:pPr>
        <w:jc w:val="left"/>
        <w:rPr>
          <w:rFonts w:hint="default" w:eastAsia="宋体"/>
          <w:b w:val="0"/>
          <w:bCs w:val="0"/>
          <w:sz w:val="24"/>
          <w:szCs w:val="24"/>
          <w:lang w:val="en-US" w:eastAsia="zh-CN"/>
        </w:rPr>
      </w:pPr>
      <w:r>
        <w:rPr>
          <w:rFonts w:hint="eastAsia"/>
          <w:b w:val="0"/>
          <w:bCs w:val="0"/>
          <w:sz w:val="24"/>
          <w:szCs w:val="24"/>
          <w:lang w:eastAsia="zh-CN"/>
        </w:rPr>
        <w:t>附图</w:t>
      </w:r>
      <w:r>
        <w:rPr>
          <w:rFonts w:hint="eastAsia"/>
          <w:b w:val="0"/>
          <w:bCs w:val="0"/>
          <w:sz w:val="24"/>
          <w:szCs w:val="24"/>
          <w:lang w:val="en-US" w:eastAsia="zh-CN"/>
        </w:rPr>
        <w:t>9 新世纪产业园土地利用规划图</w:t>
      </w:r>
    </w:p>
    <w:p w14:paraId="447AF98B">
      <w:pPr>
        <w:jc w:val="left"/>
        <w:rPr>
          <w:rFonts w:hint="default" w:eastAsia="宋体"/>
          <w:b w:val="0"/>
          <w:bCs w:val="0"/>
          <w:sz w:val="24"/>
          <w:szCs w:val="24"/>
          <w:lang w:val="en-US" w:eastAsia="zh-CN"/>
        </w:rPr>
      </w:pPr>
      <w:r>
        <w:rPr>
          <w:rFonts w:hint="eastAsia"/>
          <w:b w:val="0"/>
          <w:bCs w:val="0"/>
          <w:sz w:val="24"/>
          <w:szCs w:val="24"/>
          <w:lang w:eastAsia="zh-CN"/>
        </w:rPr>
        <w:t>附图</w:t>
      </w:r>
      <w:r>
        <w:rPr>
          <w:rFonts w:hint="eastAsia"/>
          <w:b w:val="0"/>
          <w:bCs w:val="0"/>
          <w:sz w:val="24"/>
          <w:szCs w:val="24"/>
          <w:lang w:val="en-US" w:eastAsia="zh-CN"/>
        </w:rPr>
        <w:t>10 新世纪产业园污水管网图</w:t>
      </w:r>
    </w:p>
    <w:p w14:paraId="6A949D0A">
      <w:pPr>
        <w:jc w:val="left"/>
        <w:rPr>
          <w:rFonts w:hint="default" w:eastAsia="宋体"/>
          <w:b w:val="0"/>
          <w:bCs w:val="0"/>
          <w:sz w:val="24"/>
          <w:szCs w:val="24"/>
          <w:lang w:val="en-US" w:eastAsia="zh-CN"/>
        </w:rPr>
      </w:pPr>
      <w:r>
        <w:rPr>
          <w:rFonts w:hint="eastAsia"/>
          <w:b w:val="0"/>
          <w:bCs w:val="0"/>
          <w:sz w:val="24"/>
          <w:szCs w:val="24"/>
          <w:lang w:eastAsia="zh-CN"/>
        </w:rPr>
        <w:t>附图</w:t>
      </w:r>
      <w:r>
        <w:rPr>
          <w:rFonts w:hint="eastAsia"/>
          <w:b w:val="0"/>
          <w:bCs w:val="0"/>
          <w:sz w:val="24"/>
          <w:szCs w:val="24"/>
          <w:lang w:val="en-US" w:eastAsia="zh-CN"/>
        </w:rPr>
        <w:t>11 项目卫生防护距离包络线图</w:t>
      </w:r>
    </w:p>
    <w:p w14:paraId="434CDD12">
      <w:pPr>
        <w:jc w:val="left"/>
        <w:rPr>
          <w:rFonts w:hint="eastAsia"/>
          <w:b w:val="0"/>
          <w:bCs w:val="0"/>
          <w:sz w:val="24"/>
          <w:szCs w:val="24"/>
          <w:lang w:val="en-US" w:eastAsia="zh-CN"/>
        </w:rPr>
      </w:pPr>
      <w:r>
        <w:rPr>
          <w:rFonts w:hint="eastAsia"/>
          <w:b w:val="0"/>
          <w:bCs w:val="0"/>
          <w:sz w:val="24"/>
          <w:szCs w:val="24"/>
          <w:lang w:eastAsia="zh-CN"/>
        </w:rPr>
        <w:t>附图</w:t>
      </w:r>
      <w:r>
        <w:rPr>
          <w:rFonts w:hint="eastAsia"/>
          <w:b w:val="0"/>
          <w:bCs w:val="0"/>
          <w:sz w:val="24"/>
          <w:szCs w:val="24"/>
          <w:lang w:val="en-US" w:eastAsia="zh-CN"/>
        </w:rPr>
        <w:t>12 高安市生态保护红线划定范围图</w:t>
      </w:r>
    </w:p>
    <w:p w14:paraId="67032435">
      <w:pPr>
        <w:ind w:firstLine="480"/>
        <w:rPr>
          <w:rFonts w:hint="eastAsia"/>
          <w:b w:val="0"/>
          <w:bCs w:val="0"/>
          <w:sz w:val="24"/>
          <w:szCs w:val="24"/>
          <w:lang w:val="en-US" w:eastAsia="zh-CN"/>
        </w:rPr>
      </w:pPr>
      <w:r>
        <w:rPr>
          <w:rFonts w:hint="eastAsia"/>
          <w:b w:val="0"/>
          <w:bCs w:val="0"/>
          <w:sz w:val="24"/>
          <w:szCs w:val="24"/>
          <w:lang w:eastAsia="zh-CN"/>
        </w:rPr>
        <w:t>附图</w:t>
      </w:r>
      <w:r>
        <w:rPr>
          <w:rFonts w:hint="eastAsia"/>
          <w:b w:val="0"/>
          <w:bCs w:val="0"/>
          <w:sz w:val="24"/>
          <w:szCs w:val="24"/>
          <w:lang w:val="en-US" w:eastAsia="zh-CN"/>
        </w:rPr>
        <w:t>13 项目分区防渗图</w:t>
      </w:r>
    </w:p>
    <w:p w14:paraId="52548E83">
      <w:pPr>
        <w:jc w:val="left"/>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eastAsia="zh-CN"/>
        </w:rPr>
        <w:t>附图</w:t>
      </w:r>
      <w:r>
        <w:rPr>
          <w:rFonts w:hint="eastAsia" w:ascii="Times New Roman" w:hAnsi="Times New Roman" w:eastAsia="宋体" w:cs="Times New Roman"/>
          <w:b w:val="0"/>
          <w:bCs w:val="0"/>
          <w:sz w:val="24"/>
          <w:szCs w:val="24"/>
          <w:lang w:val="en-US" w:eastAsia="zh-CN"/>
        </w:rPr>
        <w:t>14 项目周边企业分布图</w:t>
      </w:r>
    </w:p>
    <w:p w14:paraId="4118C5D1">
      <w:pPr>
        <w:jc w:val="left"/>
        <w:rPr>
          <w:rFonts w:hint="default" w:ascii="Times New Roman" w:hAnsi="Times New Roman" w:eastAsia="宋体" w:cs="Times New Roman"/>
          <w:b w:val="0"/>
          <w:bCs w:val="0"/>
          <w:color w:val="FF0000"/>
          <w:sz w:val="24"/>
          <w:szCs w:val="24"/>
          <w:lang w:val="en-US" w:eastAsia="zh-CN"/>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eastAsia" w:ascii="Times New Roman" w:hAnsi="Times New Roman" w:eastAsia="宋体" w:cs="Times New Roman"/>
          <w:b w:val="0"/>
          <w:bCs w:val="0"/>
          <w:color w:val="FF0000"/>
          <w:sz w:val="24"/>
          <w:szCs w:val="24"/>
          <w:lang w:val="en-US" w:eastAsia="zh-CN"/>
        </w:rPr>
        <w:t>附图15</w:t>
      </w:r>
      <w:r>
        <w:rPr>
          <w:rFonts w:hint="eastAsia" w:cs="Times New Roman"/>
          <w:b w:val="0"/>
          <w:bCs w:val="0"/>
          <w:color w:val="FF0000"/>
          <w:sz w:val="24"/>
          <w:szCs w:val="24"/>
          <w:lang w:val="en-US" w:eastAsia="zh-CN"/>
        </w:rPr>
        <w:t xml:space="preserve"> 项目厂区雨污管网图</w:t>
      </w:r>
    </w:p>
    <w:p w14:paraId="6978A8CF">
      <w:pPr>
        <w:pStyle w:val="38"/>
        <w:ind w:firstLine="600"/>
        <w:jc w:val="center"/>
        <w:outlineLvl w:val="0"/>
        <w:rPr>
          <w:rFonts w:ascii="黑体" w:hAnsi="黑体" w:eastAsia="黑体"/>
          <w:snapToGrid w:val="0"/>
          <w:sz w:val="30"/>
          <w:szCs w:val="30"/>
        </w:rPr>
      </w:pPr>
      <w:bookmarkStart w:id="7" w:name="_Toc18613"/>
      <w:r>
        <w:rPr>
          <w:rFonts w:hint="eastAsia" w:ascii="黑体" w:hAnsi="黑体" w:eastAsia="黑体"/>
          <w:snapToGrid w:val="0"/>
          <w:sz w:val="30"/>
          <w:szCs w:val="30"/>
        </w:rPr>
        <w:t>一、建设项目基本情况</w:t>
      </w:r>
      <w:bookmarkEnd w:id="7"/>
    </w:p>
    <w:tbl>
      <w:tblPr>
        <w:tblStyle w:val="41"/>
        <w:tblW w:w="499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608"/>
        <w:gridCol w:w="1414"/>
        <w:gridCol w:w="2039"/>
        <w:gridCol w:w="3796"/>
      </w:tblGrid>
      <w:tr w14:paraId="73ED0D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7" w:type="pct"/>
            <w:tcMar>
              <w:top w:w="16" w:type="dxa"/>
              <w:left w:w="16" w:type="dxa"/>
              <w:right w:w="16" w:type="dxa"/>
            </w:tcMar>
            <w:vAlign w:val="center"/>
          </w:tcPr>
          <w:p w14:paraId="22EFBCE6">
            <w:pPr>
              <w:spacing w:line="360" w:lineRule="exact"/>
              <w:ind w:firstLine="0" w:firstLineChars="0"/>
              <w:jc w:val="center"/>
              <w:rPr>
                <w:rFonts w:ascii="宋体" w:hAnsi="宋体" w:cs="宋体"/>
              </w:rPr>
            </w:pPr>
            <w:r>
              <w:rPr>
                <w:rFonts w:hint="eastAsia" w:ascii="宋体" w:hAnsi="宋体" w:cs="宋体"/>
              </w:rPr>
              <w:t>建设项目</w:t>
            </w:r>
          </w:p>
          <w:p w14:paraId="5D68F581">
            <w:pPr>
              <w:spacing w:line="360" w:lineRule="exact"/>
              <w:ind w:firstLine="0" w:firstLineChars="0"/>
              <w:jc w:val="center"/>
              <w:rPr>
                <w:rFonts w:ascii="宋体" w:hAnsi="宋体" w:cs="宋体"/>
              </w:rPr>
            </w:pPr>
            <w:r>
              <w:rPr>
                <w:rFonts w:hint="eastAsia" w:ascii="宋体" w:hAnsi="宋体" w:cs="宋体"/>
              </w:rPr>
              <w:t>名称</w:t>
            </w:r>
          </w:p>
        </w:tc>
        <w:tc>
          <w:tcPr>
            <w:tcW w:w="4092" w:type="pct"/>
            <w:gridSpan w:val="3"/>
            <w:vAlign w:val="center"/>
          </w:tcPr>
          <w:p w14:paraId="22E2821B">
            <w:pPr>
              <w:spacing w:line="360" w:lineRule="exact"/>
              <w:ind w:firstLine="0" w:firstLineChars="0"/>
              <w:jc w:val="left"/>
              <w:rPr>
                <w:rFonts w:hint="eastAsia" w:eastAsia="宋体"/>
                <w:lang w:eastAsia="zh-CN"/>
              </w:rPr>
            </w:pPr>
            <w:r>
              <w:rPr>
                <w:rFonts w:hint="eastAsia" w:ascii="宋体" w:hAnsi="宋体" w:cs="宋体"/>
                <w:lang w:eastAsia="zh-CN"/>
              </w:rPr>
              <w:t>江西中超建设工程有限公司高安分公司江西电力科技成果转化中心建设项目</w:t>
            </w:r>
          </w:p>
        </w:tc>
      </w:tr>
      <w:tr w14:paraId="03DA92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7" w:type="pct"/>
            <w:tcMar>
              <w:top w:w="16" w:type="dxa"/>
              <w:left w:w="16" w:type="dxa"/>
              <w:right w:w="16" w:type="dxa"/>
            </w:tcMar>
            <w:vAlign w:val="center"/>
          </w:tcPr>
          <w:p w14:paraId="35F33864">
            <w:pPr>
              <w:spacing w:line="360" w:lineRule="exact"/>
              <w:ind w:firstLine="0" w:firstLineChars="0"/>
              <w:jc w:val="center"/>
              <w:rPr>
                <w:rFonts w:ascii="宋体" w:hAnsi="宋体" w:cs="宋体"/>
              </w:rPr>
            </w:pPr>
            <w:r>
              <w:rPr>
                <w:rFonts w:hint="eastAsia" w:ascii="宋体" w:hAnsi="宋体" w:cs="宋体"/>
              </w:rPr>
              <w:t>项目代码</w:t>
            </w:r>
          </w:p>
        </w:tc>
        <w:tc>
          <w:tcPr>
            <w:tcW w:w="4092" w:type="pct"/>
            <w:gridSpan w:val="3"/>
            <w:vAlign w:val="center"/>
          </w:tcPr>
          <w:p w14:paraId="7374316C">
            <w:pPr>
              <w:spacing w:line="360" w:lineRule="exact"/>
              <w:ind w:firstLine="0" w:firstLineChars="0"/>
              <w:jc w:val="center"/>
              <w:rPr>
                <w:rFonts w:hint="default" w:eastAsia="宋体"/>
                <w:lang w:val="en-US" w:eastAsia="zh-CN"/>
              </w:rPr>
            </w:pPr>
            <w:r>
              <w:rPr>
                <w:rFonts w:hint="eastAsia"/>
                <w:lang w:val="en-US" w:eastAsia="zh-CN"/>
              </w:rPr>
              <w:t>2412-360983-04-05-877307</w:t>
            </w:r>
          </w:p>
        </w:tc>
      </w:tr>
      <w:tr w14:paraId="634370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7" w:type="pct"/>
            <w:tcMar>
              <w:top w:w="16" w:type="dxa"/>
              <w:left w:w="16" w:type="dxa"/>
              <w:right w:w="16" w:type="dxa"/>
            </w:tcMar>
            <w:vAlign w:val="center"/>
          </w:tcPr>
          <w:p w14:paraId="2876A6A4">
            <w:pPr>
              <w:spacing w:line="360" w:lineRule="exact"/>
              <w:ind w:firstLine="0" w:firstLineChars="0"/>
              <w:jc w:val="center"/>
              <w:rPr>
                <w:rFonts w:ascii="宋体" w:hAnsi="宋体" w:cs="宋体"/>
              </w:rPr>
            </w:pPr>
            <w:r>
              <w:rPr>
                <w:rFonts w:hint="eastAsia" w:ascii="宋体" w:hAnsi="宋体" w:cs="宋体"/>
              </w:rPr>
              <w:t>建设单位</w:t>
            </w:r>
          </w:p>
          <w:p w14:paraId="42BB9967">
            <w:pPr>
              <w:spacing w:line="360" w:lineRule="exact"/>
              <w:ind w:firstLine="0" w:firstLineChars="0"/>
              <w:jc w:val="center"/>
              <w:rPr>
                <w:rFonts w:ascii="宋体" w:hAnsi="宋体" w:cs="宋体"/>
              </w:rPr>
            </w:pPr>
            <w:r>
              <w:rPr>
                <w:rFonts w:hint="eastAsia" w:ascii="宋体" w:hAnsi="宋体" w:cs="宋体"/>
              </w:rPr>
              <w:t>联系人</w:t>
            </w:r>
          </w:p>
        </w:tc>
        <w:tc>
          <w:tcPr>
            <w:tcW w:w="798" w:type="pct"/>
            <w:vAlign w:val="center"/>
          </w:tcPr>
          <w:p w14:paraId="76C63681">
            <w:pPr>
              <w:spacing w:line="360" w:lineRule="exact"/>
              <w:ind w:firstLine="0" w:firstLineChars="0"/>
              <w:jc w:val="center"/>
            </w:pPr>
            <w:r>
              <w:rPr>
                <w:rFonts w:hint="eastAsia"/>
              </w:rPr>
              <w:t>伍轶</w:t>
            </w:r>
          </w:p>
        </w:tc>
        <w:tc>
          <w:tcPr>
            <w:tcW w:w="1150" w:type="pct"/>
            <w:vAlign w:val="center"/>
          </w:tcPr>
          <w:p w14:paraId="07701296">
            <w:pPr>
              <w:spacing w:line="360" w:lineRule="exact"/>
              <w:ind w:firstLine="0" w:firstLineChars="0"/>
              <w:jc w:val="center"/>
            </w:pPr>
            <w:r>
              <w:t>联系方式</w:t>
            </w:r>
          </w:p>
        </w:tc>
        <w:tc>
          <w:tcPr>
            <w:tcW w:w="2143" w:type="pct"/>
            <w:vAlign w:val="center"/>
          </w:tcPr>
          <w:p w14:paraId="7241DCC5">
            <w:pPr>
              <w:spacing w:line="360" w:lineRule="exact"/>
              <w:ind w:firstLine="0" w:firstLineChars="0"/>
              <w:jc w:val="center"/>
            </w:pPr>
            <w:r>
              <w:rPr>
                <w:rFonts w:hint="eastAsia"/>
              </w:rPr>
              <w:t>13970877556</w:t>
            </w:r>
          </w:p>
        </w:tc>
      </w:tr>
      <w:tr w14:paraId="3693BD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7" w:type="pct"/>
            <w:tcMar>
              <w:top w:w="16" w:type="dxa"/>
              <w:left w:w="16" w:type="dxa"/>
              <w:right w:w="16" w:type="dxa"/>
            </w:tcMar>
            <w:vAlign w:val="center"/>
          </w:tcPr>
          <w:p w14:paraId="0D2D3D2A">
            <w:pPr>
              <w:spacing w:line="360" w:lineRule="exact"/>
              <w:ind w:firstLine="0" w:firstLineChars="0"/>
              <w:jc w:val="center"/>
              <w:rPr>
                <w:rFonts w:ascii="宋体" w:hAnsi="宋体" w:cs="宋体"/>
              </w:rPr>
            </w:pPr>
            <w:r>
              <w:rPr>
                <w:rFonts w:hint="eastAsia" w:ascii="宋体" w:hAnsi="宋体" w:cs="宋体"/>
              </w:rPr>
              <w:t>建设地点</w:t>
            </w:r>
          </w:p>
        </w:tc>
        <w:tc>
          <w:tcPr>
            <w:tcW w:w="4092" w:type="pct"/>
            <w:gridSpan w:val="3"/>
            <w:vAlign w:val="center"/>
          </w:tcPr>
          <w:p w14:paraId="704470EF">
            <w:pPr>
              <w:spacing w:line="360" w:lineRule="exact"/>
              <w:ind w:firstLine="0" w:firstLineChars="0"/>
              <w:jc w:val="center"/>
              <w:rPr>
                <w:rFonts w:hint="eastAsia" w:eastAsia="宋体"/>
                <w:lang w:eastAsia="zh-CN"/>
              </w:rPr>
            </w:pPr>
            <w:r>
              <w:rPr>
                <w:rFonts w:hint="eastAsia" w:ascii="Times New Roman" w:hAnsi="Times New Roman" w:cs="Times New Roman"/>
                <w:sz w:val="24"/>
              </w:rPr>
              <w:t>江西高安高新技术产业园区新世纪产业园</w:t>
            </w:r>
            <w:r>
              <w:rPr>
                <w:rFonts w:hint="eastAsia" w:cs="Times New Roman"/>
                <w:sz w:val="24"/>
                <w:lang w:eastAsia="zh-CN"/>
              </w:rPr>
              <w:t>祥符收费站组团</w:t>
            </w:r>
          </w:p>
        </w:tc>
      </w:tr>
      <w:tr w14:paraId="55DDDC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7" w:type="pct"/>
            <w:tcMar>
              <w:top w:w="16" w:type="dxa"/>
              <w:left w:w="16" w:type="dxa"/>
              <w:right w:w="16" w:type="dxa"/>
            </w:tcMar>
            <w:vAlign w:val="center"/>
          </w:tcPr>
          <w:p w14:paraId="278FECF9">
            <w:pPr>
              <w:spacing w:line="360" w:lineRule="exact"/>
              <w:ind w:firstLine="0" w:firstLineChars="0"/>
              <w:jc w:val="center"/>
              <w:rPr>
                <w:rFonts w:ascii="宋体" w:hAnsi="宋体" w:cs="宋体"/>
              </w:rPr>
            </w:pPr>
            <w:r>
              <w:rPr>
                <w:rFonts w:hint="eastAsia" w:ascii="宋体" w:hAnsi="宋体" w:cs="宋体"/>
              </w:rPr>
              <w:t>地理坐标</w:t>
            </w:r>
          </w:p>
        </w:tc>
        <w:tc>
          <w:tcPr>
            <w:tcW w:w="4092" w:type="pct"/>
            <w:gridSpan w:val="3"/>
            <w:vAlign w:val="center"/>
          </w:tcPr>
          <w:p w14:paraId="59365960">
            <w:pPr>
              <w:spacing w:line="360" w:lineRule="exact"/>
              <w:ind w:firstLine="0" w:firstLineChars="0"/>
              <w:jc w:val="center"/>
            </w:pPr>
            <w:r>
              <w:t>东经</w:t>
            </w:r>
            <w:r>
              <w:rPr>
                <w:rFonts w:hint="eastAsia"/>
              </w:rPr>
              <w:t>115°</w:t>
            </w:r>
            <w:r>
              <w:rPr>
                <w:rFonts w:hint="eastAsia"/>
                <w:lang w:val="en-US" w:eastAsia="zh-CN"/>
              </w:rPr>
              <w:t>28</w:t>
            </w:r>
            <w:r>
              <w:rPr>
                <w:rFonts w:hint="eastAsia"/>
              </w:rPr>
              <w:t>′</w:t>
            </w:r>
            <w:r>
              <w:rPr>
                <w:rFonts w:hint="eastAsia"/>
                <w:lang w:val="en-US" w:eastAsia="zh-CN"/>
              </w:rPr>
              <w:t>16.983</w:t>
            </w:r>
            <w:r>
              <w:rPr>
                <w:rFonts w:hint="eastAsia"/>
              </w:rPr>
              <w:t>″</w:t>
            </w:r>
            <w:r>
              <w:t>，北纬</w:t>
            </w:r>
            <w:r>
              <w:rPr>
                <w:rFonts w:hint="eastAsia"/>
                <w:kern w:val="10"/>
              </w:rPr>
              <w:t>28°</w:t>
            </w:r>
            <w:r>
              <w:rPr>
                <w:rFonts w:hint="eastAsia"/>
                <w:kern w:val="10"/>
                <w:lang w:val="en-US" w:eastAsia="zh-CN"/>
              </w:rPr>
              <w:t>29</w:t>
            </w:r>
            <w:r>
              <w:rPr>
                <w:rFonts w:hint="eastAsia"/>
                <w:kern w:val="10"/>
              </w:rPr>
              <w:t>′</w:t>
            </w:r>
            <w:r>
              <w:rPr>
                <w:rFonts w:hint="eastAsia"/>
                <w:kern w:val="10"/>
                <w:lang w:val="en-US" w:eastAsia="zh-CN"/>
              </w:rPr>
              <w:t>6.178</w:t>
            </w:r>
            <w:r>
              <w:rPr>
                <w:rFonts w:hint="eastAsia"/>
                <w:kern w:val="10"/>
              </w:rPr>
              <w:t>″</w:t>
            </w:r>
          </w:p>
        </w:tc>
      </w:tr>
      <w:tr w14:paraId="71B121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7" w:type="pct"/>
            <w:tcMar>
              <w:top w:w="16" w:type="dxa"/>
              <w:left w:w="16" w:type="dxa"/>
              <w:right w:w="16" w:type="dxa"/>
            </w:tcMar>
            <w:vAlign w:val="center"/>
          </w:tcPr>
          <w:p w14:paraId="4AE6D466">
            <w:pPr>
              <w:spacing w:line="360" w:lineRule="exact"/>
              <w:ind w:firstLine="0" w:firstLineChars="0"/>
              <w:jc w:val="center"/>
            </w:pPr>
            <w:r>
              <w:t>国民经济</w:t>
            </w:r>
          </w:p>
          <w:p w14:paraId="55BC3D83">
            <w:pPr>
              <w:spacing w:line="360" w:lineRule="exact"/>
              <w:ind w:firstLine="0" w:firstLineChars="0"/>
              <w:jc w:val="center"/>
            </w:pPr>
            <w:r>
              <w:t>行业类别</w:t>
            </w:r>
          </w:p>
        </w:tc>
        <w:tc>
          <w:tcPr>
            <w:tcW w:w="798" w:type="pct"/>
            <w:vAlign w:val="center"/>
          </w:tcPr>
          <w:p w14:paraId="6345BB0C">
            <w:pPr>
              <w:pStyle w:val="65"/>
              <w:spacing w:line="240" w:lineRule="auto"/>
              <w:jc w:val="left"/>
              <w:rPr>
                <w:rFonts w:hint="eastAsia"/>
                <w:szCs w:val="21"/>
              </w:rPr>
            </w:pPr>
            <w:r>
              <w:rPr>
                <w:rFonts w:hint="eastAsia"/>
                <w:szCs w:val="21"/>
              </w:rPr>
              <w:t>C3022砼结构构件制造</w:t>
            </w:r>
          </w:p>
          <w:p w14:paraId="65332C66">
            <w:pPr>
              <w:spacing w:line="240" w:lineRule="auto"/>
              <w:ind w:left="0" w:leftChars="0" w:firstLine="0" w:firstLineChars="0"/>
              <w:rPr>
                <w:rFonts w:hint="default" w:eastAsia="宋体"/>
                <w:lang w:val="en-US" w:eastAsia="zh-CN"/>
              </w:rPr>
            </w:pPr>
            <w:r>
              <w:rPr>
                <w:rFonts w:hint="eastAsia"/>
                <w:szCs w:val="21"/>
                <w:lang w:val="en-US" w:eastAsia="zh-CN"/>
              </w:rPr>
              <w:t>C3360金属表面处理及热处理加工</w:t>
            </w:r>
          </w:p>
        </w:tc>
        <w:tc>
          <w:tcPr>
            <w:tcW w:w="1150" w:type="pct"/>
            <w:vAlign w:val="center"/>
          </w:tcPr>
          <w:p w14:paraId="5AC11887">
            <w:pPr>
              <w:spacing w:line="240" w:lineRule="auto"/>
              <w:ind w:firstLine="0" w:firstLineChars="0"/>
              <w:jc w:val="center"/>
            </w:pPr>
            <w:bookmarkStart w:id="8" w:name="_Hlk49843745"/>
            <w:r>
              <w:t>建设项目</w:t>
            </w:r>
          </w:p>
          <w:p w14:paraId="1E209465">
            <w:pPr>
              <w:spacing w:line="240" w:lineRule="auto"/>
              <w:ind w:firstLine="0" w:firstLineChars="0"/>
              <w:jc w:val="center"/>
            </w:pPr>
            <w:r>
              <w:t>行业类别</w:t>
            </w:r>
            <w:bookmarkEnd w:id="8"/>
          </w:p>
        </w:tc>
        <w:tc>
          <w:tcPr>
            <w:tcW w:w="2143" w:type="pct"/>
            <w:vAlign w:val="center"/>
          </w:tcPr>
          <w:p w14:paraId="02D39A55">
            <w:pPr>
              <w:pStyle w:val="65"/>
              <w:spacing w:line="240" w:lineRule="auto"/>
              <w:jc w:val="left"/>
              <w:rPr>
                <w:rFonts w:hint="eastAsia"/>
                <w:color w:val="auto"/>
                <w:lang w:val="en-US" w:eastAsia="zh-CN"/>
              </w:rPr>
            </w:pPr>
            <w:r>
              <w:rPr>
                <w:rFonts w:hint="eastAsia"/>
                <w:color w:val="auto"/>
                <w:lang w:eastAsia="zh-CN"/>
              </w:rPr>
              <w:t>二十七</w:t>
            </w:r>
            <w:r>
              <w:rPr>
                <w:rFonts w:hint="eastAsia"/>
                <w:color w:val="auto"/>
              </w:rPr>
              <w:t>、</w:t>
            </w:r>
            <w:r>
              <w:rPr>
                <w:rFonts w:hint="eastAsia"/>
                <w:color w:val="auto"/>
                <w:lang w:eastAsia="zh-CN"/>
              </w:rPr>
              <w:t>非金属矿物制品业</w:t>
            </w:r>
            <w:r>
              <w:rPr>
                <w:rFonts w:hint="eastAsia"/>
                <w:color w:val="auto"/>
                <w:lang w:val="en-US" w:eastAsia="zh-CN"/>
              </w:rPr>
              <w:t>30</w:t>
            </w:r>
            <w:r>
              <w:rPr>
                <w:rFonts w:hint="eastAsia"/>
                <w:color w:val="auto"/>
              </w:rPr>
              <w:t>、</w:t>
            </w:r>
            <w:r>
              <w:rPr>
                <w:rFonts w:hint="eastAsia"/>
                <w:color w:val="auto"/>
                <w:lang w:val="en-US" w:eastAsia="zh-CN"/>
              </w:rPr>
              <w:t>55.石膏、水泥制品及类似制品302</w:t>
            </w:r>
          </w:p>
          <w:p w14:paraId="52DF7C91">
            <w:pPr>
              <w:pStyle w:val="65"/>
              <w:spacing w:line="240" w:lineRule="auto"/>
              <w:jc w:val="left"/>
              <w:rPr>
                <w:rFonts w:hint="default"/>
                <w:lang w:val="en-US"/>
              </w:rPr>
            </w:pPr>
            <w:r>
              <w:rPr>
                <w:rFonts w:hint="eastAsia"/>
                <w:color w:val="auto"/>
                <w:lang w:val="en-US" w:eastAsia="zh-CN"/>
              </w:rPr>
              <w:t>三十</w:t>
            </w:r>
            <w:r>
              <w:rPr>
                <w:rFonts w:hint="eastAsia"/>
                <w:color w:val="auto"/>
              </w:rPr>
              <w:t>、</w:t>
            </w:r>
            <w:r>
              <w:rPr>
                <w:rFonts w:hint="eastAsia"/>
                <w:color w:val="auto"/>
                <w:lang w:eastAsia="zh-CN"/>
              </w:rPr>
              <w:t>金属矿物制品业</w:t>
            </w:r>
            <w:r>
              <w:rPr>
                <w:rFonts w:hint="eastAsia"/>
                <w:color w:val="auto"/>
                <w:lang w:val="en-US" w:eastAsia="zh-CN"/>
              </w:rPr>
              <w:t>33</w:t>
            </w:r>
            <w:r>
              <w:rPr>
                <w:rFonts w:hint="eastAsia"/>
                <w:color w:val="auto"/>
              </w:rPr>
              <w:t>、</w:t>
            </w:r>
            <w:r>
              <w:rPr>
                <w:rFonts w:hint="eastAsia"/>
                <w:color w:val="auto"/>
                <w:lang w:val="en-US" w:eastAsia="zh-CN"/>
              </w:rPr>
              <w:t>67.金属表面处理及热处理加工</w:t>
            </w:r>
          </w:p>
        </w:tc>
      </w:tr>
      <w:tr w14:paraId="63B2EE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7" w:type="pct"/>
            <w:tcMar>
              <w:top w:w="16" w:type="dxa"/>
              <w:left w:w="16" w:type="dxa"/>
              <w:right w:w="16" w:type="dxa"/>
            </w:tcMar>
            <w:vAlign w:val="center"/>
          </w:tcPr>
          <w:p w14:paraId="41E7226A">
            <w:pPr>
              <w:spacing w:line="360" w:lineRule="exact"/>
              <w:ind w:firstLine="0" w:firstLineChars="0"/>
              <w:jc w:val="center"/>
            </w:pPr>
            <w:r>
              <w:t>建设性质</w:t>
            </w:r>
          </w:p>
        </w:tc>
        <w:tc>
          <w:tcPr>
            <w:tcW w:w="798" w:type="pct"/>
            <w:vAlign w:val="center"/>
          </w:tcPr>
          <w:p w14:paraId="32B12514">
            <w:pPr>
              <w:spacing w:line="360" w:lineRule="exact"/>
              <w:ind w:firstLine="0" w:firstLineChars="0"/>
              <w:jc w:val="left"/>
            </w:pPr>
            <w:r>
              <w:rPr>
                <w:rFonts w:hint="eastAsia"/>
                <w:lang w:eastAsia="zh-CN"/>
              </w:rPr>
              <w:t>☑</w:t>
            </w:r>
            <w:r>
              <w:t>新建（迁建）</w:t>
            </w:r>
          </w:p>
          <w:p w14:paraId="2E2128C7">
            <w:pPr>
              <w:spacing w:line="360" w:lineRule="exact"/>
              <w:ind w:firstLine="0" w:firstLineChars="0"/>
              <w:jc w:val="left"/>
              <w:rPr>
                <w:rFonts w:ascii="宋体" w:hAnsi="宋体" w:cs="宋体"/>
              </w:rPr>
            </w:pPr>
            <w:r>
              <w:rPr>
                <w:rFonts w:hint="eastAsia" w:ascii="宋体" w:hAnsi="宋体" w:cs="宋体"/>
                <w:lang w:eastAsia="zh-CN"/>
              </w:rPr>
              <w:t>□</w:t>
            </w:r>
            <w:r>
              <w:rPr>
                <w:rFonts w:hint="eastAsia" w:ascii="宋体" w:hAnsi="宋体" w:cs="宋体"/>
              </w:rPr>
              <w:t>改建</w:t>
            </w:r>
          </w:p>
          <w:p w14:paraId="75EFECB7">
            <w:pPr>
              <w:spacing w:line="360" w:lineRule="exact"/>
              <w:ind w:firstLine="0" w:firstLineChars="0"/>
              <w:jc w:val="left"/>
              <w:rPr>
                <w:rFonts w:ascii="宋体" w:hAnsi="宋体" w:cs="宋体"/>
              </w:rPr>
            </w:pPr>
            <w:r>
              <w:rPr>
                <w:rFonts w:hint="eastAsia" w:ascii="宋体" w:hAnsi="宋体" w:cs="宋体"/>
                <w:lang w:eastAsia="zh-CN"/>
              </w:rPr>
              <w:t>□</w:t>
            </w:r>
            <w:r>
              <w:rPr>
                <w:rFonts w:hint="eastAsia" w:ascii="宋体" w:hAnsi="宋体" w:cs="宋体"/>
              </w:rPr>
              <w:t>扩建</w:t>
            </w:r>
          </w:p>
          <w:p w14:paraId="01F7CBBC">
            <w:pPr>
              <w:spacing w:line="360" w:lineRule="exact"/>
              <w:ind w:firstLine="0" w:firstLineChars="0"/>
              <w:jc w:val="left"/>
            </w:pPr>
            <w:r>
              <w:rPr>
                <w:rFonts w:hint="eastAsia" w:ascii="宋体" w:hAnsi="宋体" w:cs="宋体"/>
              </w:rPr>
              <w:t>□技术改造</w:t>
            </w:r>
          </w:p>
        </w:tc>
        <w:tc>
          <w:tcPr>
            <w:tcW w:w="1150" w:type="pct"/>
            <w:vAlign w:val="center"/>
          </w:tcPr>
          <w:p w14:paraId="0EB62773">
            <w:pPr>
              <w:spacing w:line="360" w:lineRule="exact"/>
              <w:ind w:firstLine="0" w:firstLineChars="0"/>
              <w:jc w:val="center"/>
            </w:pPr>
            <w:r>
              <w:t>建设项目</w:t>
            </w:r>
          </w:p>
          <w:p w14:paraId="12547E5B">
            <w:pPr>
              <w:spacing w:line="360" w:lineRule="exact"/>
              <w:ind w:firstLine="0" w:firstLineChars="0"/>
              <w:jc w:val="center"/>
            </w:pPr>
            <w:r>
              <w:t>申报情形</w:t>
            </w:r>
          </w:p>
        </w:tc>
        <w:tc>
          <w:tcPr>
            <w:tcW w:w="2143" w:type="pct"/>
            <w:vAlign w:val="center"/>
          </w:tcPr>
          <w:p w14:paraId="37B266CE">
            <w:pPr>
              <w:spacing w:line="360" w:lineRule="exact"/>
              <w:ind w:firstLine="0" w:firstLineChars="0"/>
              <w:jc w:val="left"/>
              <w:rPr>
                <w:rFonts w:ascii="宋体" w:hAnsi="宋体" w:cs="宋体"/>
              </w:rPr>
            </w:pPr>
            <w:r>
              <w:rPr>
                <w:rFonts w:hint="eastAsia" w:ascii="宋体" w:hAnsi="宋体" w:cs="宋体"/>
              </w:rPr>
              <w:t>☑首次申报项目</w:t>
            </w:r>
          </w:p>
          <w:p w14:paraId="7EA0B54E">
            <w:pPr>
              <w:spacing w:line="360" w:lineRule="exact"/>
              <w:ind w:firstLine="0" w:firstLineChars="0"/>
              <w:jc w:val="left"/>
              <w:rPr>
                <w:rFonts w:ascii="宋体" w:hAnsi="宋体" w:cs="宋体"/>
              </w:rPr>
            </w:pPr>
            <w:r>
              <w:rPr>
                <w:rFonts w:hint="eastAsia" w:ascii="宋体" w:hAnsi="宋体" w:cs="宋体"/>
              </w:rPr>
              <w:t>□不予批准后再次申报项目</w:t>
            </w:r>
          </w:p>
          <w:p w14:paraId="19B3257F">
            <w:pPr>
              <w:spacing w:line="360" w:lineRule="exact"/>
              <w:ind w:firstLine="0" w:firstLineChars="0"/>
              <w:jc w:val="left"/>
              <w:rPr>
                <w:rFonts w:ascii="宋体" w:hAnsi="宋体" w:cs="宋体"/>
              </w:rPr>
            </w:pPr>
            <w:r>
              <w:rPr>
                <w:rFonts w:hint="eastAsia" w:ascii="宋体" w:hAnsi="宋体" w:cs="宋体"/>
              </w:rPr>
              <w:t>□超五年重新审核项目</w:t>
            </w:r>
          </w:p>
          <w:p w14:paraId="5B5482D2">
            <w:pPr>
              <w:spacing w:line="360" w:lineRule="exact"/>
              <w:ind w:firstLine="0" w:firstLineChars="0"/>
              <w:jc w:val="left"/>
            </w:pPr>
            <w:r>
              <w:rPr>
                <w:rFonts w:hint="eastAsia" w:ascii="宋体" w:hAnsi="宋体" w:cs="宋体"/>
              </w:rPr>
              <w:t>□重大变动重新报批项目</w:t>
            </w:r>
          </w:p>
        </w:tc>
      </w:tr>
      <w:tr w14:paraId="7CB899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7" w:type="pct"/>
            <w:tcMar>
              <w:top w:w="16" w:type="dxa"/>
              <w:left w:w="16" w:type="dxa"/>
              <w:right w:w="16" w:type="dxa"/>
            </w:tcMar>
            <w:vAlign w:val="center"/>
          </w:tcPr>
          <w:p w14:paraId="29846DE7">
            <w:pPr>
              <w:spacing w:line="360" w:lineRule="exact"/>
              <w:ind w:firstLine="0" w:firstLineChars="0"/>
              <w:jc w:val="center"/>
            </w:pPr>
            <w:r>
              <w:t>项目审批</w:t>
            </w:r>
          </w:p>
          <w:p w14:paraId="7B0FF989">
            <w:pPr>
              <w:spacing w:line="360" w:lineRule="exact"/>
              <w:ind w:firstLine="0" w:firstLineChars="0"/>
              <w:jc w:val="center"/>
            </w:pPr>
            <w:r>
              <w:t>（核准/备案）部门（选填）</w:t>
            </w:r>
          </w:p>
        </w:tc>
        <w:tc>
          <w:tcPr>
            <w:tcW w:w="798" w:type="pct"/>
            <w:vAlign w:val="center"/>
          </w:tcPr>
          <w:p w14:paraId="1E392D50">
            <w:pPr>
              <w:spacing w:line="360" w:lineRule="exact"/>
              <w:ind w:firstLine="0" w:firstLineChars="0"/>
              <w:jc w:val="left"/>
            </w:pPr>
            <w:r>
              <w:rPr>
                <w:rFonts w:hint="eastAsia"/>
              </w:rPr>
              <w:t>高安市发展和改革委员会</w:t>
            </w:r>
          </w:p>
        </w:tc>
        <w:tc>
          <w:tcPr>
            <w:tcW w:w="1150" w:type="pct"/>
            <w:vAlign w:val="center"/>
          </w:tcPr>
          <w:p w14:paraId="7DC14691">
            <w:pPr>
              <w:spacing w:line="360" w:lineRule="exact"/>
              <w:ind w:firstLine="0" w:firstLineChars="0"/>
              <w:jc w:val="center"/>
            </w:pPr>
            <w:r>
              <w:t>项目审批（核准/</w:t>
            </w:r>
          </w:p>
          <w:p w14:paraId="756E8398">
            <w:pPr>
              <w:spacing w:line="360" w:lineRule="exact"/>
              <w:ind w:firstLine="0" w:firstLineChars="0"/>
              <w:jc w:val="center"/>
            </w:pPr>
            <w:r>
              <w:t>备案）文号（选填）</w:t>
            </w:r>
          </w:p>
        </w:tc>
        <w:tc>
          <w:tcPr>
            <w:tcW w:w="2143" w:type="pct"/>
            <w:vAlign w:val="center"/>
          </w:tcPr>
          <w:p w14:paraId="57DF6417">
            <w:pPr>
              <w:spacing w:line="360" w:lineRule="exact"/>
              <w:ind w:firstLine="0" w:firstLineChars="0"/>
              <w:jc w:val="center"/>
            </w:pPr>
            <w:r>
              <w:rPr>
                <w:rFonts w:hint="eastAsia"/>
                <w:lang w:val="en-US" w:eastAsia="zh-CN"/>
              </w:rPr>
              <w:t>2412-360983-04-05-877307</w:t>
            </w:r>
          </w:p>
        </w:tc>
      </w:tr>
      <w:tr w14:paraId="02D252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7" w:type="pct"/>
            <w:tcMar>
              <w:top w:w="16" w:type="dxa"/>
              <w:left w:w="16" w:type="dxa"/>
              <w:right w:w="16" w:type="dxa"/>
            </w:tcMar>
            <w:vAlign w:val="center"/>
          </w:tcPr>
          <w:p w14:paraId="7C339717">
            <w:pPr>
              <w:spacing w:line="360" w:lineRule="exact"/>
              <w:ind w:firstLine="0" w:firstLineChars="0"/>
              <w:jc w:val="center"/>
            </w:pPr>
            <w:r>
              <w:t>总投资</w:t>
            </w:r>
          </w:p>
          <w:p w14:paraId="227AA9CB">
            <w:pPr>
              <w:spacing w:line="360" w:lineRule="exact"/>
              <w:ind w:firstLine="0" w:firstLineChars="0"/>
              <w:jc w:val="center"/>
            </w:pPr>
            <w:r>
              <w:t>（万元）</w:t>
            </w:r>
          </w:p>
        </w:tc>
        <w:tc>
          <w:tcPr>
            <w:tcW w:w="798" w:type="pct"/>
            <w:vAlign w:val="center"/>
          </w:tcPr>
          <w:p w14:paraId="10096112">
            <w:pPr>
              <w:spacing w:line="360" w:lineRule="exact"/>
              <w:ind w:firstLine="0" w:firstLineChars="0"/>
              <w:jc w:val="center"/>
              <w:rPr>
                <w:rFonts w:hint="default" w:eastAsia="宋体"/>
                <w:color w:val="auto"/>
                <w:highlight w:val="none"/>
                <w:lang w:val="en-US" w:eastAsia="zh-CN"/>
              </w:rPr>
            </w:pPr>
            <w:r>
              <w:rPr>
                <w:rFonts w:hint="eastAsia"/>
                <w:color w:val="auto"/>
                <w:highlight w:val="none"/>
                <w:lang w:val="en-US" w:eastAsia="zh-CN"/>
              </w:rPr>
              <w:t>30000</w:t>
            </w:r>
          </w:p>
        </w:tc>
        <w:tc>
          <w:tcPr>
            <w:tcW w:w="1150" w:type="pct"/>
            <w:tcMar>
              <w:top w:w="16" w:type="dxa"/>
              <w:left w:w="16" w:type="dxa"/>
              <w:right w:w="16" w:type="dxa"/>
            </w:tcMar>
            <w:vAlign w:val="center"/>
          </w:tcPr>
          <w:p w14:paraId="7D97AC3F">
            <w:pPr>
              <w:spacing w:line="360" w:lineRule="exact"/>
              <w:ind w:firstLine="0" w:firstLineChars="0"/>
              <w:jc w:val="center"/>
              <w:rPr>
                <w:color w:val="auto"/>
                <w:highlight w:val="none"/>
              </w:rPr>
            </w:pPr>
            <w:r>
              <w:rPr>
                <w:color w:val="auto"/>
                <w:highlight w:val="none"/>
              </w:rPr>
              <w:t>环保投资（万元）</w:t>
            </w:r>
          </w:p>
        </w:tc>
        <w:tc>
          <w:tcPr>
            <w:tcW w:w="2143" w:type="pct"/>
            <w:vAlign w:val="center"/>
          </w:tcPr>
          <w:p w14:paraId="2A19755B">
            <w:pPr>
              <w:spacing w:line="360" w:lineRule="exact"/>
              <w:ind w:firstLine="0" w:firstLineChars="0"/>
              <w:jc w:val="center"/>
              <w:rPr>
                <w:rFonts w:hint="default" w:eastAsia="宋体"/>
                <w:color w:val="auto"/>
                <w:highlight w:val="none"/>
                <w:lang w:val="en-US" w:eastAsia="zh-CN"/>
              </w:rPr>
            </w:pPr>
            <w:r>
              <w:rPr>
                <w:rFonts w:hint="eastAsia"/>
                <w:color w:val="auto"/>
                <w:highlight w:val="none"/>
                <w:lang w:val="en-US" w:eastAsia="zh-CN"/>
              </w:rPr>
              <w:t>188</w:t>
            </w:r>
          </w:p>
        </w:tc>
      </w:tr>
      <w:tr w14:paraId="42B109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7" w:type="pct"/>
            <w:tcMar>
              <w:top w:w="16" w:type="dxa"/>
              <w:left w:w="16" w:type="dxa"/>
              <w:right w:w="16" w:type="dxa"/>
            </w:tcMar>
            <w:vAlign w:val="center"/>
          </w:tcPr>
          <w:p w14:paraId="6C675988">
            <w:pPr>
              <w:spacing w:line="360" w:lineRule="exact"/>
              <w:ind w:firstLine="0" w:firstLineChars="0"/>
              <w:jc w:val="center"/>
            </w:pPr>
            <w:r>
              <w:t>环保投资占比（%）</w:t>
            </w:r>
          </w:p>
        </w:tc>
        <w:tc>
          <w:tcPr>
            <w:tcW w:w="798" w:type="pct"/>
            <w:vAlign w:val="center"/>
          </w:tcPr>
          <w:p w14:paraId="45AA2053">
            <w:pPr>
              <w:spacing w:line="360" w:lineRule="exact"/>
              <w:ind w:firstLine="0" w:firstLineChars="0"/>
              <w:jc w:val="center"/>
              <w:rPr>
                <w:rFonts w:hint="default" w:eastAsia="宋体"/>
                <w:color w:val="auto"/>
                <w:highlight w:val="none"/>
                <w:lang w:val="en-US" w:eastAsia="zh-CN"/>
              </w:rPr>
            </w:pPr>
            <w:r>
              <w:rPr>
                <w:rFonts w:hint="eastAsia"/>
                <w:color w:val="auto"/>
                <w:highlight w:val="none"/>
                <w:lang w:val="en-US" w:eastAsia="zh-CN"/>
              </w:rPr>
              <w:t>0.63</w:t>
            </w:r>
          </w:p>
        </w:tc>
        <w:tc>
          <w:tcPr>
            <w:tcW w:w="1150" w:type="pct"/>
            <w:tcMar>
              <w:top w:w="16" w:type="dxa"/>
              <w:left w:w="16" w:type="dxa"/>
              <w:right w:w="16" w:type="dxa"/>
            </w:tcMar>
            <w:vAlign w:val="center"/>
          </w:tcPr>
          <w:p w14:paraId="5DB8FE75">
            <w:pPr>
              <w:spacing w:line="360" w:lineRule="exact"/>
              <w:ind w:firstLine="0" w:firstLineChars="0"/>
              <w:jc w:val="center"/>
              <w:rPr>
                <w:color w:val="auto"/>
                <w:highlight w:val="none"/>
              </w:rPr>
            </w:pPr>
            <w:r>
              <w:rPr>
                <w:color w:val="auto"/>
                <w:highlight w:val="none"/>
              </w:rPr>
              <w:t>施工工期</w:t>
            </w:r>
          </w:p>
        </w:tc>
        <w:tc>
          <w:tcPr>
            <w:tcW w:w="2143" w:type="pct"/>
            <w:vAlign w:val="center"/>
          </w:tcPr>
          <w:p w14:paraId="02E5A7D8">
            <w:pPr>
              <w:spacing w:line="360" w:lineRule="exact"/>
              <w:ind w:firstLine="0" w:firstLineChars="0"/>
              <w:jc w:val="center"/>
              <w:rPr>
                <w:rFonts w:hint="default"/>
                <w:color w:val="auto"/>
                <w:highlight w:val="none"/>
                <w:lang w:val="en-US"/>
              </w:rPr>
            </w:pPr>
            <w:r>
              <w:rPr>
                <w:rFonts w:hint="eastAsia"/>
                <w:color w:val="auto"/>
                <w:highlight w:val="none"/>
                <w:lang w:val="en-US" w:eastAsia="zh-CN"/>
              </w:rPr>
              <w:t>12个月</w:t>
            </w:r>
          </w:p>
        </w:tc>
      </w:tr>
      <w:tr w14:paraId="2F4423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7" w:type="pct"/>
            <w:tcMar>
              <w:top w:w="16" w:type="dxa"/>
              <w:left w:w="16" w:type="dxa"/>
              <w:right w:w="16" w:type="dxa"/>
            </w:tcMar>
            <w:vAlign w:val="center"/>
          </w:tcPr>
          <w:p w14:paraId="1012EDA6">
            <w:pPr>
              <w:spacing w:line="360" w:lineRule="exact"/>
              <w:ind w:firstLine="0" w:firstLineChars="0"/>
              <w:jc w:val="center"/>
            </w:pPr>
            <w:r>
              <w:t>是否开工建设</w:t>
            </w:r>
          </w:p>
        </w:tc>
        <w:tc>
          <w:tcPr>
            <w:tcW w:w="798" w:type="pct"/>
            <w:vAlign w:val="center"/>
          </w:tcPr>
          <w:p w14:paraId="410C055E">
            <w:pPr>
              <w:spacing w:line="360" w:lineRule="exact"/>
              <w:ind w:firstLine="0" w:firstLineChars="0"/>
            </w:pPr>
            <w:r>
              <w:rPr/>
              <w:sym w:font="Wingdings 2" w:char="0052"/>
            </w:r>
            <w:r>
              <w:t>否</w:t>
            </w:r>
          </w:p>
          <w:p w14:paraId="6898D4B7">
            <w:pPr>
              <w:spacing w:line="360" w:lineRule="exact"/>
              <w:ind w:firstLine="0" w:firstLineChars="0"/>
            </w:pPr>
            <w:r>
              <w:rPr/>
              <w:sym w:font="Wingdings 2" w:char="00A3"/>
            </w:r>
            <w:r>
              <w:t>是：</w:t>
            </w:r>
          </w:p>
        </w:tc>
        <w:tc>
          <w:tcPr>
            <w:tcW w:w="1150" w:type="pct"/>
            <w:tcMar>
              <w:top w:w="16" w:type="dxa"/>
              <w:left w:w="16" w:type="dxa"/>
              <w:right w:w="16" w:type="dxa"/>
            </w:tcMar>
            <w:vAlign w:val="center"/>
          </w:tcPr>
          <w:p w14:paraId="3CF2D205">
            <w:pPr>
              <w:spacing w:line="360" w:lineRule="exact"/>
              <w:ind w:firstLine="0" w:firstLineChars="0"/>
              <w:jc w:val="center"/>
              <w:rPr>
                <w:spacing w:val="-6"/>
              </w:rPr>
            </w:pPr>
            <w:r>
              <w:rPr>
                <w:spacing w:val="-6"/>
              </w:rPr>
              <w:t>用地（用海）</w:t>
            </w:r>
          </w:p>
          <w:p w14:paraId="7DE7ACEF">
            <w:pPr>
              <w:spacing w:line="360" w:lineRule="exact"/>
              <w:ind w:firstLine="0" w:firstLineChars="0"/>
              <w:jc w:val="center"/>
            </w:pPr>
            <w:r>
              <w:rPr>
                <w:spacing w:val="-6"/>
              </w:rPr>
              <w:t>面积（</w:t>
            </w:r>
            <w:r>
              <w:rPr>
                <w:rFonts w:hint="eastAsia"/>
                <w:spacing w:val="-6"/>
              </w:rPr>
              <w:t>㎡</w:t>
            </w:r>
            <w:r>
              <w:rPr>
                <w:spacing w:val="-6"/>
              </w:rPr>
              <w:t>）</w:t>
            </w:r>
          </w:p>
        </w:tc>
        <w:tc>
          <w:tcPr>
            <w:tcW w:w="2143" w:type="pct"/>
            <w:vAlign w:val="center"/>
          </w:tcPr>
          <w:p w14:paraId="6F8A47C1">
            <w:pPr>
              <w:spacing w:line="360" w:lineRule="exact"/>
              <w:ind w:firstLine="0" w:firstLineChars="0"/>
              <w:jc w:val="center"/>
              <w:rPr>
                <w:rFonts w:hint="default" w:eastAsia="宋体"/>
                <w:lang w:val="en-US" w:eastAsia="zh-CN"/>
              </w:rPr>
            </w:pPr>
            <w:r>
              <w:rPr>
                <w:rFonts w:hint="eastAsia"/>
                <w:lang w:val="en-US" w:eastAsia="zh-CN"/>
              </w:rPr>
              <w:t>28707</w:t>
            </w:r>
          </w:p>
        </w:tc>
      </w:tr>
      <w:tr w14:paraId="0A6CAB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 w:type="pct"/>
            <w:tcBorders>
              <w:bottom w:val="single" w:color="auto" w:sz="4" w:space="0"/>
            </w:tcBorders>
            <w:vAlign w:val="center"/>
          </w:tcPr>
          <w:p w14:paraId="6C3FDF1B">
            <w:pPr>
              <w:autoSpaceDE w:val="0"/>
              <w:autoSpaceDN w:val="0"/>
              <w:spacing w:line="360" w:lineRule="exact"/>
              <w:ind w:firstLine="0" w:firstLineChars="0"/>
              <w:jc w:val="center"/>
              <w:rPr>
                <w:rFonts w:ascii="宋体" w:hAnsi="宋体" w:cs="宋体"/>
                <w:kern w:val="0"/>
              </w:rPr>
            </w:pPr>
            <w:r>
              <w:rPr>
                <w:rFonts w:hint="eastAsia" w:ascii="宋体" w:hAnsi="宋体" w:cs="宋体"/>
                <w:kern w:val="0"/>
              </w:rPr>
              <w:t>专项评价设置情况</w:t>
            </w:r>
          </w:p>
        </w:tc>
        <w:tc>
          <w:tcPr>
            <w:tcW w:w="4092" w:type="pct"/>
            <w:gridSpan w:val="3"/>
            <w:tcBorders>
              <w:bottom w:val="single" w:color="auto" w:sz="4" w:space="0"/>
            </w:tcBorders>
            <w:vAlign w:val="center"/>
          </w:tcPr>
          <w:p w14:paraId="06DC0FB2">
            <w:pPr>
              <w:pStyle w:val="62"/>
              <w:bidi w:val="0"/>
            </w:pPr>
            <w:r>
              <w:rPr>
                <w:rFonts w:hint="eastAsia"/>
                <w:lang w:val="en-US" w:eastAsia="zh-CN"/>
              </w:rPr>
              <w:t xml:space="preserve">表1-1 </w:t>
            </w:r>
            <w:r>
              <w:t>专项评价设置原则表</w:t>
            </w:r>
          </w:p>
          <w:tbl>
            <w:tblPr>
              <w:tblStyle w:val="41"/>
              <w:tblW w:w="689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0"/>
              <w:gridCol w:w="3887"/>
              <w:gridCol w:w="1355"/>
              <w:gridCol w:w="795"/>
            </w:tblGrid>
            <w:tr w14:paraId="6B3D6A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624" w:type="pct"/>
                  <w:tcBorders>
                    <w:tl2br w:val="nil"/>
                    <w:tr2bl w:val="nil"/>
                  </w:tcBorders>
                  <w:vAlign w:val="center"/>
                </w:tcPr>
                <w:p w14:paraId="7B3D00B2">
                  <w:pPr>
                    <w:pStyle w:val="56"/>
                    <w:bidi w:val="0"/>
                    <w:rPr>
                      <w:color w:val="auto"/>
                    </w:rPr>
                  </w:pPr>
                  <w:r>
                    <w:rPr>
                      <w:rFonts w:hint="eastAsia"/>
                    </w:rPr>
                    <w:t>专项评价的类别</w:t>
                  </w:r>
                </w:p>
              </w:tc>
              <w:tc>
                <w:tcPr>
                  <w:tcW w:w="2818" w:type="pct"/>
                  <w:tcBorders>
                    <w:tl2br w:val="nil"/>
                    <w:tr2bl w:val="nil"/>
                  </w:tcBorders>
                  <w:vAlign w:val="center"/>
                </w:tcPr>
                <w:p w14:paraId="4377EFB0">
                  <w:pPr>
                    <w:pStyle w:val="56"/>
                    <w:bidi w:val="0"/>
                    <w:rPr>
                      <w:color w:val="auto"/>
                    </w:rPr>
                  </w:pPr>
                  <w:r>
                    <w:rPr>
                      <w:rFonts w:hint="eastAsia"/>
                    </w:rPr>
                    <w:t>设置原则</w:t>
                  </w:r>
                </w:p>
              </w:tc>
              <w:tc>
                <w:tcPr>
                  <w:tcW w:w="982" w:type="pct"/>
                  <w:tcBorders>
                    <w:tl2br w:val="nil"/>
                    <w:tr2bl w:val="nil"/>
                  </w:tcBorders>
                  <w:vAlign w:val="center"/>
                </w:tcPr>
                <w:p w14:paraId="17ED3851">
                  <w:pPr>
                    <w:pStyle w:val="56"/>
                    <w:bidi w:val="0"/>
                    <w:rPr>
                      <w:color w:val="auto"/>
                    </w:rPr>
                  </w:pPr>
                  <w:r>
                    <w:rPr>
                      <w:rFonts w:hint="eastAsia"/>
                    </w:rPr>
                    <w:t>本项目情况</w:t>
                  </w:r>
                </w:p>
              </w:tc>
              <w:tc>
                <w:tcPr>
                  <w:tcW w:w="574" w:type="pct"/>
                  <w:tcBorders>
                    <w:tl2br w:val="nil"/>
                    <w:tr2bl w:val="nil"/>
                  </w:tcBorders>
                  <w:vAlign w:val="center"/>
                </w:tcPr>
                <w:p w14:paraId="777E6D4E">
                  <w:pPr>
                    <w:pStyle w:val="56"/>
                    <w:bidi w:val="0"/>
                  </w:pPr>
                  <w:r>
                    <w:rPr>
                      <w:rFonts w:hint="eastAsia"/>
                    </w:rPr>
                    <w:t>设置</w:t>
                  </w:r>
                </w:p>
                <w:p w14:paraId="2E65A795">
                  <w:pPr>
                    <w:pStyle w:val="56"/>
                    <w:bidi w:val="0"/>
                    <w:rPr>
                      <w:color w:val="auto"/>
                    </w:rPr>
                  </w:pPr>
                  <w:r>
                    <w:rPr>
                      <w:rFonts w:hint="eastAsia"/>
                    </w:rPr>
                    <w:t>情况</w:t>
                  </w:r>
                </w:p>
              </w:tc>
            </w:tr>
            <w:tr w14:paraId="52C8F3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624" w:type="pct"/>
                  <w:tcBorders>
                    <w:tl2br w:val="nil"/>
                    <w:tr2bl w:val="nil"/>
                  </w:tcBorders>
                  <w:vAlign w:val="center"/>
                </w:tcPr>
                <w:p w14:paraId="3429982B">
                  <w:pPr>
                    <w:pStyle w:val="56"/>
                    <w:bidi w:val="0"/>
                    <w:rPr>
                      <w:color w:val="auto"/>
                    </w:rPr>
                  </w:pPr>
                  <w:r>
                    <w:rPr>
                      <w:rFonts w:hint="eastAsia"/>
                    </w:rPr>
                    <w:t>大气</w:t>
                  </w:r>
                </w:p>
              </w:tc>
              <w:tc>
                <w:tcPr>
                  <w:tcW w:w="2818" w:type="pct"/>
                  <w:tcBorders>
                    <w:tl2br w:val="nil"/>
                    <w:tr2bl w:val="nil"/>
                  </w:tcBorders>
                  <w:vAlign w:val="center"/>
                </w:tcPr>
                <w:p w14:paraId="722E9EC9">
                  <w:pPr>
                    <w:pStyle w:val="56"/>
                    <w:bidi w:val="0"/>
                    <w:rPr>
                      <w:rFonts w:hint="eastAsia" w:eastAsia="宋体"/>
                      <w:color w:val="auto"/>
                      <w:lang w:eastAsia="zh-CN"/>
                    </w:rPr>
                  </w:pPr>
                  <w:r>
                    <w:rPr>
                      <w:rFonts w:hint="eastAsia"/>
                    </w:rPr>
                    <w:t>排放废气含有毒有害污染物1、二噁英、苯并[a]芘、氰化物、氯气且厂界外500米范围内有环境空气保护目标2的建设项目</w:t>
                  </w:r>
                  <w:r>
                    <w:rPr>
                      <w:rFonts w:hint="eastAsia"/>
                      <w:lang w:eastAsia="zh-CN"/>
                    </w:rPr>
                    <w:t>。</w:t>
                  </w:r>
                </w:p>
              </w:tc>
              <w:tc>
                <w:tcPr>
                  <w:tcW w:w="982" w:type="pct"/>
                  <w:tcBorders>
                    <w:tl2br w:val="nil"/>
                    <w:tr2bl w:val="nil"/>
                  </w:tcBorders>
                  <w:vAlign w:val="center"/>
                </w:tcPr>
                <w:p w14:paraId="6ED04035">
                  <w:pPr>
                    <w:pStyle w:val="56"/>
                    <w:bidi w:val="0"/>
                    <w:rPr>
                      <w:color w:val="auto"/>
                    </w:rPr>
                  </w:pPr>
                  <w:r>
                    <w:rPr>
                      <w:rFonts w:hint="eastAsia"/>
                    </w:rPr>
                    <w:t>不涉及</w:t>
                  </w:r>
                </w:p>
              </w:tc>
              <w:tc>
                <w:tcPr>
                  <w:tcW w:w="574" w:type="pct"/>
                  <w:tcBorders>
                    <w:tl2br w:val="nil"/>
                    <w:tr2bl w:val="nil"/>
                  </w:tcBorders>
                  <w:vAlign w:val="center"/>
                </w:tcPr>
                <w:p w14:paraId="0A9B3CDC">
                  <w:pPr>
                    <w:pStyle w:val="56"/>
                    <w:bidi w:val="0"/>
                    <w:rPr>
                      <w:color w:val="auto"/>
                    </w:rPr>
                  </w:pPr>
                  <w:r>
                    <w:rPr>
                      <w:rFonts w:hint="eastAsia"/>
                    </w:rPr>
                    <w:t>不展开</w:t>
                  </w:r>
                </w:p>
              </w:tc>
            </w:tr>
            <w:tr w14:paraId="3AE336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624" w:type="pct"/>
                  <w:tcBorders>
                    <w:tl2br w:val="nil"/>
                    <w:tr2bl w:val="nil"/>
                  </w:tcBorders>
                  <w:vAlign w:val="center"/>
                </w:tcPr>
                <w:p w14:paraId="53996989">
                  <w:pPr>
                    <w:pStyle w:val="56"/>
                    <w:bidi w:val="0"/>
                    <w:rPr>
                      <w:color w:val="auto"/>
                    </w:rPr>
                  </w:pPr>
                  <w:r>
                    <w:rPr>
                      <w:rFonts w:hint="eastAsia"/>
                    </w:rPr>
                    <w:t>地表水</w:t>
                  </w:r>
                </w:p>
              </w:tc>
              <w:tc>
                <w:tcPr>
                  <w:tcW w:w="2818" w:type="pct"/>
                  <w:tcBorders>
                    <w:tl2br w:val="nil"/>
                    <w:tr2bl w:val="nil"/>
                  </w:tcBorders>
                  <w:vAlign w:val="center"/>
                </w:tcPr>
                <w:p w14:paraId="78F17FFD">
                  <w:pPr>
                    <w:pStyle w:val="56"/>
                    <w:bidi w:val="0"/>
                    <w:jc w:val="left"/>
                    <w:rPr>
                      <w:rFonts w:hint="eastAsia" w:eastAsia="宋体"/>
                      <w:color w:val="auto"/>
                      <w:lang w:eastAsia="zh-CN"/>
                    </w:rPr>
                  </w:pPr>
                  <w:r>
                    <w:rPr>
                      <w:rFonts w:hint="eastAsia"/>
                    </w:rPr>
                    <w:t>新增工业废水直排建设项目（槽罐车外送污水处理厂的除外）；新增废水直排的污水集中处理厂</w:t>
                  </w:r>
                  <w:r>
                    <w:rPr>
                      <w:rFonts w:hint="eastAsia"/>
                      <w:lang w:eastAsia="zh-CN"/>
                    </w:rPr>
                    <w:t>。</w:t>
                  </w:r>
                </w:p>
              </w:tc>
              <w:tc>
                <w:tcPr>
                  <w:tcW w:w="982" w:type="pct"/>
                  <w:tcBorders>
                    <w:tl2br w:val="nil"/>
                    <w:tr2bl w:val="nil"/>
                  </w:tcBorders>
                  <w:vAlign w:val="center"/>
                </w:tcPr>
                <w:p w14:paraId="61AFB0A9">
                  <w:pPr>
                    <w:pStyle w:val="56"/>
                    <w:bidi w:val="0"/>
                    <w:jc w:val="left"/>
                    <w:rPr>
                      <w:color w:val="auto"/>
                    </w:rPr>
                  </w:pPr>
                  <w:r>
                    <w:rPr>
                      <w:rFonts w:hint="eastAsia"/>
                      <w:lang w:eastAsia="zh-CN"/>
                    </w:rPr>
                    <w:t>项目产生的废水</w:t>
                  </w:r>
                  <w:r>
                    <w:rPr>
                      <w:rFonts w:hint="eastAsia"/>
                    </w:rPr>
                    <w:t>间接排放</w:t>
                  </w:r>
                </w:p>
              </w:tc>
              <w:tc>
                <w:tcPr>
                  <w:tcW w:w="574" w:type="pct"/>
                  <w:tcBorders>
                    <w:tl2br w:val="nil"/>
                    <w:tr2bl w:val="nil"/>
                  </w:tcBorders>
                  <w:vAlign w:val="center"/>
                </w:tcPr>
                <w:p w14:paraId="33F8CD51">
                  <w:pPr>
                    <w:pStyle w:val="56"/>
                    <w:bidi w:val="0"/>
                    <w:rPr>
                      <w:color w:val="auto"/>
                    </w:rPr>
                  </w:pPr>
                  <w:r>
                    <w:rPr>
                      <w:rFonts w:hint="eastAsia"/>
                    </w:rPr>
                    <w:t>不开展</w:t>
                  </w:r>
                </w:p>
              </w:tc>
            </w:tr>
            <w:tr w14:paraId="29C9B3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624" w:type="pct"/>
                  <w:tcBorders>
                    <w:tl2br w:val="nil"/>
                    <w:tr2bl w:val="nil"/>
                  </w:tcBorders>
                  <w:vAlign w:val="center"/>
                </w:tcPr>
                <w:p w14:paraId="53C2D967">
                  <w:pPr>
                    <w:pStyle w:val="56"/>
                    <w:bidi w:val="0"/>
                    <w:rPr>
                      <w:color w:val="auto"/>
                    </w:rPr>
                  </w:pPr>
                  <w:r>
                    <w:rPr>
                      <w:rFonts w:hint="eastAsia"/>
                    </w:rPr>
                    <w:t>环境风险</w:t>
                  </w:r>
                </w:p>
              </w:tc>
              <w:tc>
                <w:tcPr>
                  <w:tcW w:w="2818" w:type="pct"/>
                  <w:tcBorders>
                    <w:tl2br w:val="nil"/>
                    <w:tr2bl w:val="nil"/>
                  </w:tcBorders>
                  <w:vAlign w:val="center"/>
                </w:tcPr>
                <w:p w14:paraId="50DAFCBE">
                  <w:pPr>
                    <w:pStyle w:val="56"/>
                    <w:bidi w:val="0"/>
                    <w:jc w:val="left"/>
                    <w:rPr>
                      <w:color w:val="auto"/>
                    </w:rPr>
                  </w:pPr>
                  <w:r>
                    <w:rPr>
                      <w:rFonts w:hint="eastAsia"/>
                    </w:rPr>
                    <w:t>有毒有害和易燃易爆危险物质存储量超过临界量3的建设项目</w:t>
                  </w:r>
                </w:p>
              </w:tc>
              <w:tc>
                <w:tcPr>
                  <w:tcW w:w="982" w:type="pct"/>
                  <w:tcBorders>
                    <w:tl2br w:val="nil"/>
                    <w:tr2bl w:val="nil"/>
                  </w:tcBorders>
                  <w:vAlign w:val="center"/>
                </w:tcPr>
                <w:p w14:paraId="717D2489">
                  <w:pPr>
                    <w:pStyle w:val="56"/>
                    <w:bidi w:val="0"/>
                    <w:rPr>
                      <w:color w:val="auto"/>
                    </w:rPr>
                  </w:pPr>
                  <w:r>
                    <w:rPr>
                      <w:rFonts w:hint="eastAsia"/>
                    </w:rPr>
                    <w:t>不涉及</w:t>
                  </w:r>
                </w:p>
              </w:tc>
              <w:tc>
                <w:tcPr>
                  <w:tcW w:w="574" w:type="pct"/>
                  <w:tcBorders>
                    <w:tl2br w:val="nil"/>
                    <w:tr2bl w:val="nil"/>
                  </w:tcBorders>
                  <w:vAlign w:val="center"/>
                </w:tcPr>
                <w:p w14:paraId="43A84838">
                  <w:pPr>
                    <w:pStyle w:val="56"/>
                    <w:bidi w:val="0"/>
                    <w:rPr>
                      <w:color w:val="auto"/>
                    </w:rPr>
                  </w:pPr>
                  <w:r>
                    <w:rPr>
                      <w:rFonts w:hint="eastAsia"/>
                    </w:rPr>
                    <w:t>不展开</w:t>
                  </w:r>
                </w:p>
              </w:tc>
            </w:tr>
            <w:tr w14:paraId="0B7DCB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624" w:type="pct"/>
                  <w:tcBorders>
                    <w:tl2br w:val="nil"/>
                    <w:tr2bl w:val="nil"/>
                  </w:tcBorders>
                  <w:vAlign w:val="center"/>
                </w:tcPr>
                <w:p w14:paraId="4B5ED2A4">
                  <w:pPr>
                    <w:pStyle w:val="56"/>
                    <w:bidi w:val="0"/>
                    <w:rPr>
                      <w:color w:val="auto"/>
                    </w:rPr>
                  </w:pPr>
                  <w:r>
                    <w:rPr>
                      <w:rFonts w:hint="eastAsia"/>
                    </w:rPr>
                    <w:t>生态</w:t>
                  </w:r>
                </w:p>
              </w:tc>
              <w:tc>
                <w:tcPr>
                  <w:tcW w:w="2818" w:type="pct"/>
                  <w:tcBorders>
                    <w:tl2br w:val="nil"/>
                    <w:tr2bl w:val="nil"/>
                  </w:tcBorders>
                  <w:vAlign w:val="center"/>
                </w:tcPr>
                <w:p w14:paraId="2C787BA7">
                  <w:pPr>
                    <w:pStyle w:val="56"/>
                    <w:bidi w:val="0"/>
                    <w:jc w:val="left"/>
                    <w:rPr>
                      <w:rFonts w:hint="eastAsia" w:eastAsia="宋体"/>
                      <w:color w:val="auto"/>
                      <w:lang w:eastAsia="zh-CN"/>
                    </w:rPr>
                  </w:pPr>
                  <w:r>
                    <w:rPr>
                      <w:rFonts w:hint="eastAsia"/>
                    </w:rPr>
                    <w:t>取水口下游500米范围内有重要水生生物的自然产卵场、索饵场、越冬场和洄游通道的新增河道取水的污染类建设项目</w:t>
                  </w:r>
                  <w:r>
                    <w:rPr>
                      <w:rFonts w:hint="eastAsia"/>
                      <w:lang w:eastAsia="zh-CN"/>
                    </w:rPr>
                    <w:t>。</w:t>
                  </w:r>
                </w:p>
              </w:tc>
              <w:tc>
                <w:tcPr>
                  <w:tcW w:w="982" w:type="pct"/>
                  <w:tcBorders>
                    <w:tl2br w:val="nil"/>
                    <w:tr2bl w:val="nil"/>
                  </w:tcBorders>
                  <w:vAlign w:val="center"/>
                </w:tcPr>
                <w:p w14:paraId="01B9ABB7">
                  <w:pPr>
                    <w:pStyle w:val="56"/>
                    <w:bidi w:val="0"/>
                    <w:rPr>
                      <w:color w:val="auto"/>
                    </w:rPr>
                  </w:pPr>
                  <w:r>
                    <w:rPr>
                      <w:rFonts w:hint="eastAsia"/>
                    </w:rPr>
                    <w:t>不涉及</w:t>
                  </w:r>
                </w:p>
              </w:tc>
              <w:tc>
                <w:tcPr>
                  <w:tcW w:w="574" w:type="pct"/>
                  <w:tcBorders>
                    <w:tl2br w:val="nil"/>
                    <w:tr2bl w:val="nil"/>
                  </w:tcBorders>
                  <w:vAlign w:val="center"/>
                </w:tcPr>
                <w:p w14:paraId="1DC103BA">
                  <w:pPr>
                    <w:pStyle w:val="56"/>
                    <w:bidi w:val="0"/>
                    <w:rPr>
                      <w:color w:val="auto"/>
                    </w:rPr>
                  </w:pPr>
                  <w:r>
                    <w:rPr>
                      <w:rFonts w:hint="eastAsia"/>
                    </w:rPr>
                    <w:t>不展开</w:t>
                  </w:r>
                </w:p>
              </w:tc>
            </w:tr>
            <w:tr w14:paraId="4F5661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624" w:type="pct"/>
                  <w:tcBorders>
                    <w:tl2br w:val="nil"/>
                    <w:tr2bl w:val="nil"/>
                  </w:tcBorders>
                  <w:vAlign w:val="center"/>
                </w:tcPr>
                <w:p w14:paraId="43B24AF2">
                  <w:pPr>
                    <w:pStyle w:val="56"/>
                    <w:bidi w:val="0"/>
                    <w:rPr>
                      <w:color w:val="auto"/>
                    </w:rPr>
                  </w:pPr>
                  <w:r>
                    <w:rPr>
                      <w:rFonts w:hint="eastAsia"/>
                    </w:rPr>
                    <w:t>海洋</w:t>
                  </w:r>
                </w:p>
              </w:tc>
              <w:tc>
                <w:tcPr>
                  <w:tcW w:w="2818" w:type="pct"/>
                  <w:tcBorders>
                    <w:tl2br w:val="nil"/>
                    <w:tr2bl w:val="nil"/>
                  </w:tcBorders>
                  <w:vAlign w:val="center"/>
                </w:tcPr>
                <w:p w14:paraId="0EF846D7">
                  <w:pPr>
                    <w:pStyle w:val="56"/>
                    <w:bidi w:val="0"/>
                    <w:rPr>
                      <w:color w:val="auto"/>
                    </w:rPr>
                  </w:pPr>
                  <w:r>
                    <w:rPr>
                      <w:rFonts w:hint="eastAsia"/>
                    </w:rPr>
                    <w:t>直接向海排放污染物的海洋工程建设项目</w:t>
                  </w:r>
                </w:p>
              </w:tc>
              <w:tc>
                <w:tcPr>
                  <w:tcW w:w="982" w:type="pct"/>
                  <w:tcBorders>
                    <w:tl2br w:val="nil"/>
                    <w:tr2bl w:val="nil"/>
                  </w:tcBorders>
                  <w:vAlign w:val="center"/>
                </w:tcPr>
                <w:p w14:paraId="49D1B7FC">
                  <w:pPr>
                    <w:pStyle w:val="56"/>
                    <w:bidi w:val="0"/>
                    <w:rPr>
                      <w:color w:val="auto"/>
                    </w:rPr>
                  </w:pPr>
                  <w:r>
                    <w:rPr>
                      <w:rFonts w:hint="eastAsia"/>
                    </w:rPr>
                    <w:t>不涉及</w:t>
                  </w:r>
                </w:p>
              </w:tc>
              <w:tc>
                <w:tcPr>
                  <w:tcW w:w="574" w:type="pct"/>
                  <w:tcBorders>
                    <w:tl2br w:val="nil"/>
                    <w:tr2bl w:val="nil"/>
                  </w:tcBorders>
                  <w:vAlign w:val="center"/>
                </w:tcPr>
                <w:p w14:paraId="43DA35F5">
                  <w:pPr>
                    <w:pStyle w:val="56"/>
                    <w:bidi w:val="0"/>
                    <w:rPr>
                      <w:color w:val="auto"/>
                    </w:rPr>
                  </w:pPr>
                  <w:r>
                    <w:rPr>
                      <w:rFonts w:hint="eastAsia"/>
                    </w:rPr>
                    <w:t>不展开</w:t>
                  </w:r>
                </w:p>
              </w:tc>
            </w:tr>
            <w:tr w14:paraId="3CC298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5000" w:type="pct"/>
                  <w:gridSpan w:val="4"/>
                  <w:tcBorders>
                    <w:tl2br w:val="nil"/>
                    <w:tr2bl w:val="nil"/>
                  </w:tcBorders>
                  <w:vAlign w:val="center"/>
                </w:tcPr>
                <w:p w14:paraId="5864CB80">
                  <w:pPr>
                    <w:pStyle w:val="56"/>
                    <w:bidi w:val="0"/>
                  </w:pPr>
                  <w:r>
                    <w:rPr>
                      <w:rFonts w:hint="eastAsia"/>
                    </w:rPr>
                    <w:t>注：1.废气中有毒有害污染物指纳入《有毒有害大气污染物名录》的</w:t>
                  </w:r>
                </w:p>
                <w:p w14:paraId="17083A93">
                  <w:pPr>
                    <w:pStyle w:val="56"/>
                    <w:bidi w:val="0"/>
                    <w:jc w:val="left"/>
                  </w:pPr>
                  <w:r>
                    <w:rPr>
                      <w:rFonts w:hint="eastAsia"/>
                    </w:rPr>
                    <w:t>污染物（不包括无排放标准的污染物）。</w:t>
                  </w:r>
                </w:p>
                <w:p w14:paraId="1C53ECBB">
                  <w:pPr>
                    <w:pStyle w:val="56"/>
                    <w:bidi w:val="0"/>
                    <w:jc w:val="left"/>
                  </w:pPr>
                  <w:r>
                    <w:rPr>
                      <w:rFonts w:hint="eastAsia"/>
                      <w:lang w:val="en-US" w:eastAsia="zh-CN"/>
                    </w:rPr>
                    <w:t xml:space="preserve">      </w:t>
                  </w:r>
                  <w:r>
                    <w:rPr>
                      <w:rFonts w:hint="eastAsia"/>
                    </w:rPr>
                    <w:t>2.环境空气保护目标指自然保护区、风景名胜区、居住区、文化区和农村地区中人群较集中的区域。</w:t>
                  </w:r>
                </w:p>
                <w:p w14:paraId="6BF559BC">
                  <w:pPr>
                    <w:pStyle w:val="56"/>
                    <w:bidi w:val="0"/>
                    <w:ind w:firstLine="630" w:firstLineChars="300"/>
                    <w:jc w:val="left"/>
                    <w:rPr>
                      <w:color w:val="auto"/>
                    </w:rPr>
                  </w:pPr>
                  <w:r>
                    <w:rPr>
                      <w:rFonts w:hint="eastAsia"/>
                    </w:rPr>
                    <w:t>3.临界量及其计算方法可参考《建设项目环境风险评价技术导则》（HJ169-2018）附录B、附录C。</w:t>
                  </w:r>
                </w:p>
              </w:tc>
            </w:tr>
          </w:tbl>
          <w:p w14:paraId="293A78D3">
            <w:pPr>
              <w:pStyle w:val="102"/>
              <w:spacing w:line="360" w:lineRule="exact"/>
              <w:ind w:firstLine="480" w:firstLineChars="200"/>
            </w:pPr>
            <w:r>
              <w:rPr>
                <w:rFonts w:hint="eastAsia"/>
              </w:rPr>
              <w:t>根据表1-</w:t>
            </w:r>
            <w:r>
              <w:t>1</w:t>
            </w:r>
            <w:r>
              <w:rPr>
                <w:rFonts w:hint="eastAsia"/>
              </w:rPr>
              <w:t>的判断可知，本项目不需设置专项评价</w:t>
            </w:r>
            <w:r>
              <w:t>。</w:t>
            </w:r>
          </w:p>
        </w:tc>
      </w:tr>
      <w:tr w14:paraId="5A6F01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07" w:type="pct"/>
            <w:tcBorders>
              <w:top w:val="single" w:color="auto" w:sz="4" w:space="0"/>
            </w:tcBorders>
            <w:vAlign w:val="center"/>
          </w:tcPr>
          <w:p w14:paraId="2D9B8132">
            <w:pPr>
              <w:autoSpaceDE w:val="0"/>
              <w:autoSpaceDN w:val="0"/>
              <w:spacing w:line="360" w:lineRule="exact"/>
              <w:ind w:firstLine="0" w:firstLineChars="0"/>
              <w:jc w:val="center"/>
              <w:rPr>
                <w:rFonts w:ascii="宋体" w:hAnsi="宋体" w:cs="宋体"/>
                <w:kern w:val="0"/>
              </w:rPr>
            </w:pPr>
            <w:r>
              <w:rPr>
                <w:rFonts w:hint="eastAsia" w:ascii="宋体" w:hAnsi="宋体" w:cs="宋体"/>
              </w:rPr>
              <w:t>规划情况</w:t>
            </w:r>
          </w:p>
        </w:tc>
        <w:tc>
          <w:tcPr>
            <w:tcW w:w="4092" w:type="pct"/>
            <w:gridSpan w:val="3"/>
            <w:tcBorders>
              <w:top w:val="single" w:color="auto" w:sz="4" w:space="0"/>
            </w:tcBorders>
            <w:vAlign w:val="center"/>
          </w:tcPr>
          <w:p w14:paraId="199898E6">
            <w:pPr>
              <w:widowControl/>
              <w:ind w:firstLine="482"/>
              <w:jc w:val="left"/>
              <w:rPr>
                <w:rFonts w:hint="eastAsia" w:eastAsia="宋体"/>
                <w:lang w:eastAsia="zh-CN"/>
              </w:rPr>
            </w:pPr>
            <w:r>
              <w:rPr>
                <w:rFonts w:hint="eastAsia"/>
                <w:b/>
                <w:bCs/>
              </w:rPr>
              <w:t>规划名称</w:t>
            </w:r>
            <w:r>
              <w:rPr>
                <w:rFonts w:hint="eastAsia"/>
              </w:rPr>
              <w:t>：高安高新技术产业园区开展扩区调区控制性详细规划</w:t>
            </w:r>
            <w:r>
              <w:rPr>
                <w:rFonts w:hint="eastAsia"/>
                <w:lang w:eastAsia="zh-CN"/>
              </w:rPr>
              <w:t>。</w:t>
            </w:r>
          </w:p>
          <w:p w14:paraId="5BAB9F10">
            <w:pPr>
              <w:widowControl/>
              <w:ind w:firstLine="482"/>
              <w:jc w:val="left"/>
            </w:pPr>
            <w:r>
              <w:rPr>
                <w:rFonts w:hint="eastAsia"/>
                <w:b/>
                <w:bCs/>
              </w:rPr>
              <w:t>审批机构</w:t>
            </w:r>
            <w:r>
              <w:rPr>
                <w:rFonts w:hint="eastAsia"/>
              </w:rPr>
              <w:t>：江西省发改委</w:t>
            </w:r>
            <w:r>
              <w:rPr>
                <w:rFonts w:hint="eastAsia"/>
                <w:lang w:eastAsia="zh-CN"/>
              </w:rPr>
              <w:t>。</w:t>
            </w:r>
          </w:p>
          <w:p w14:paraId="14852A7B">
            <w:pPr>
              <w:widowControl/>
              <w:ind w:firstLine="482"/>
              <w:jc w:val="left"/>
              <w:rPr>
                <w:rFonts w:hAnsi="宋体"/>
                <w:kern w:val="0"/>
              </w:rPr>
            </w:pPr>
            <w:r>
              <w:rPr>
                <w:rFonts w:hint="eastAsia" w:ascii="宋体" w:hAnsi="宋体" w:cs="宋体"/>
                <w:b/>
                <w:bCs/>
                <w:kern w:val="0"/>
                <w:lang w:bidi="ar"/>
              </w:rPr>
              <w:t>审批文件名称及文号：</w:t>
            </w:r>
            <w:r>
              <w:rPr>
                <w:rFonts w:hint="eastAsia"/>
              </w:rPr>
              <w:t>2023年4月</w:t>
            </w:r>
            <w:r>
              <w:rPr>
                <w:rFonts w:hint="eastAsia" w:ascii="宋体" w:hAnsi="宋体" w:cs="宋体"/>
                <w:kern w:val="0"/>
                <w:lang w:bidi="ar"/>
              </w:rPr>
              <w:t>《</w:t>
            </w:r>
            <w:r>
              <w:rPr>
                <w:rFonts w:hint="eastAsia"/>
              </w:rPr>
              <w:t>江西省发展改革委关于同意高安高新技术产业园区开展扩区调区前期工作的复函</w:t>
            </w:r>
            <w:r>
              <w:rPr>
                <w:rFonts w:hint="eastAsia" w:ascii="宋体" w:hAnsi="宋体" w:cs="宋体"/>
                <w:kern w:val="0"/>
                <w:lang w:bidi="ar"/>
              </w:rPr>
              <w:t>》。</w:t>
            </w:r>
          </w:p>
        </w:tc>
      </w:tr>
      <w:tr w14:paraId="1D6FCA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7" w:type="pct"/>
            <w:vAlign w:val="center"/>
          </w:tcPr>
          <w:p w14:paraId="02B70FF4">
            <w:pPr>
              <w:ind w:firstLine="0" w:firstLineChars="0"/>
              <w:jc w:val="center"/>
              <w:rPr>
                <w:rFonts w:ascii="宋体" w:hAnsi="宋体" w:cs="宋体"/>
              </w:rPr>
            </w:pPr>
            <w:r>
              <w:rPr>
                <w:rFonts w:hint="eastAsia" w:ascii="宋体" w:hAnsi="宋体" w:cs="宋体"/>
              </w:rPr>
              <w:t>规划环境影响评价情况</w:t>
            </w:r>
          </w:p>
        </w:tc>
        <w:tc>
          <w:tcPr>
            <w:tcW w:w="4092" w:type="pct"/>
            <w:gridSpan w:val="3"/>
          </w:tcPr>
          <w:p w14:paraId="4CD32851">
            <w:pPr>
              <w:widowControl/>
              <w:autoSpaceDE w:val="0"/>
              <w:ind w:firstLine="482" w:firstLineChars="200"/>
            </w:pPr>
            <w:r>
              <w:rPr>
                <w:b/>
                <w:bCs/>
                <w:kern w:val="0"/>
                <w:lang w:bidi="ar"/>
              </w:rPr>
              <w:t>规划环境影响评价文件名称：</w:t>
            </w:r>
            <w:r>
              <w:rPr>
                <w:kern w:val="0"/>
                <w:lang w:bidi="ar"/>
              </w:rPr>
              <w:t>《江西高安高新技术产业园区扩区调区规划环境影响报告书》</w:t>
            </w:r>
            <w:r>
              <w:rPr>
                <w:rFonts w:hint="eastAsia"/>
                <w:kern w:val="0"/>
                <w:lang w:eastAsia="zh-CN" w:bidi="ar"/>
              </w:rPr>
              <w:t>。</w:t>
            </w:r>
          </w:p>
          <w:p w14:paraId="62E19AFA">
            <w:pPr>
              <w:widowControl/>
              <w:autoSpaceDE w:val="0"/>
              <w:ind w:firstLine="482" w:firstLineChars="200"/>
            </w:pPr>
            <w:r>
              <w:rPr>
                <w:b/>
                <w:bCs/>
                <w:kern w:val="0"/>
                <w:lang w:bidi="ar"/>
              </w:rPr>
              <w:t>审查机关：</w:t>
            </w:r>
            <w:r>
              <w:rPr>
                <w:kern w:val="0"/>
                <w:lang w:bidi="ar"/>
              </w:rPr>
              <w:t>江西省生态环境厅</w:t>
            </w:r>
            <w:r>
              <w:rPr>
                <w:rFonts w:hint="eastAsia"/>
                <w:kern w:val="0"/>
                <w:lang w:eastAsia="zh-CN" w:bidi="ar"/>
              </w:rPr>
              <w:t>。</w:t>
            </w:r>
          </w:p>
          <w:p w14:paraId="227FAD1C">
            <w:pPr>
              <w:widowControl/>
              <w:autoSpaceDE w:val="0"/>
              <w:ind w:firstLine="482" w:firstLineChars="200"/>
              <w:rPr>
                <w:szCs w:val="24"/>
                <w:lang w:bidi="ar"/>
              </w:rPr>
            </w:pPr>
            <w:r>
              <w:rPr>
                <w:b/>
                <w:bCs/>
                <w:kern w:val="0"/>
                <w:lang w:bidi="ar"/>
              </w:rPr>
              <w:t>审查文件名称及文号：</w:t>
            </w:r>
            <w:r>
              <w:rPr>
                <w:kern w:val="0"/>
                <w:lang w:bidi="ar"/>
              </w:rPr>
              <w:t>《江西省生态环境厅关于江西高安高新技术产业园区扩区调区规划环境影响报告书审查意见的函》（赣环环评函〔2024〕69号）</w:t>
            </w:r>
            <w:r>
              <w:rPr>
                <w:rFonts w:hint="eastAsia"/>
                <w:kern w:val="0"/>
                <w:lang w:bidi="ar"/>
              </w:rPr>
              <w:t>。</w:t>
            </w:r>
          </w:p>
        </w:tc>
      </w:tr>
      <w:tr w14:paraId="5E36D5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7" w:type="pct"/>
            <w:vAlign w:val="center"/>
          </w:tcPr>
          <w:p w14:paraId="2BACA15B">
            <w:pPr>
              <w:ind w:firstLine="0" w:firstLineChars="0"/>
              <w:jc w:val="center"/>
              <w:rPr>
                <w:rFonts w:hint="eastAsia" w:ascii="宋体" w:hAnsi="宋体" w:cs="宋体"/>
              </w:rPr>
            </w:pPr>
            <w:r>
              <w:rPr>
                <w:rFonts w:hint="eastAsia" w:ascii="宋体" w:hAnsi="宋体" w:cs="宋体"/>
                <w:kern w:val="0"/>
              </w:rPr>
              <w:t>规划及规划环境影响评价符合性分析</w:t>
            </w:r>
          </w:p>
        </w:tc>
        <w:tc>
          <w:tcPr>
            <w:tcW w:w="4092" w:type="pct"/>
            <w:gridSpan w:val="3"/>
          </w:tcPr>
          <w:p w14:paraId="1599C9EC">
            <w:pPr>
              <w:widowControl/>
              <w:ind w:firstLine="482"/>
            </w:pPr>
            <w:r>
              <w:rPr>
                <w:rFonts w:hint="eastAsia" w:ascii="宋体" w:hAnsi="宋体" w:cs="宋体"/>
                <w:b/>
                <w:bCs/>
                <w:kern w:val="0"/>
                <w:lang w:bidi="ar"/>
              </w:rPr>
              <w:t>一、与《高安市高新技术产业园区扩区调区控制性详细规划》规划相符性分析</w:t>
            </w:r>
          </w:p>
          <w:p w14:paraId="349769B1">
            <w:pPr>
              <w:widowControl/>
              <w:ind w:firstLine="480"/>
              <w:rPr>
                <w:kern w:val="0"/>
                <w:lang w:bidi="ar"/>
              </w:rPr>
            </w:pPr>
            <w:r>
              <w:rPr>
                <w:kern w:val="0"/>
                <w:lang w:bidi="ar"/>
              </w:rPr>
              <w:t>江西高安高新技术产业园区本轮总规划面积为3896.47公顷，仍为“一区三园”的格局，即新世纪产业园、建筑陶瓷产业园、建材环保产业园。</w:t>
            </w:r>
            <w:r>
              <w:rPr>
                <w:rFonts w:hint="eastAsia"/>
                <w:kern w:val="0"/>
                <w:lang w:bidi="ar"/>
              </w:rPr>
              <w:t>本项目位于</w:t>
            </w:r>
            <w:r>
              <w:rPr>
                <w:kern w:val="0"/>
                <w:lang w:bidi="ar"/>
              </w:rPr>
              <w:t>新世纪产业园</w:t>
            </w:r>
            <w:r>
              <w:rPr>
                <w:rFonts w:hint="eastAsia"/>
                <w:kern w:val="0"/>
                <w:lang w:bidi="ar"/>
              </w:rPr>
              <w:t>。</w:t>
            </w:r>
          </w:p>
          <w:p w14:paraId="4CA7A5B7">
            <w:pPr>
              <w:widowControl/>
              <w:ind w:firstLine="480"/>
              <w:rPr>
                <w:kern w:val="0"/>
                <w:lang w:bidi="ar"/>
              </w:rPr>
            </w:pPr>
            <w:r>
              <w:rPr>
                <w:kern w:val="0"/>
                <w:lang w:bidi="ar"/>
              </w:rPr>
              <w:t>新世纪产业园位于高安市中心城区东部，由新世纪产业园工业园核心组团、杨家湖组团和祥符收费站组团三部分组成，沿320国道分布，规划面积1444.80公顷；原核准面积877.01公顷，如图附图26所示，调出面积共43.11公顷，调出地块一面积为23.73公顷，现状为空地，无现状工业企业，高安市国土空间规划已将该地块规划为城市商住用地，故调出，调出地块二面积为11.09公顷，现状为商住用地，并已开发建设完成，调出地块无现状工业企业，以后作为服务城市发展空间使用，另有其他零星边角共调出面积8.29公顷。</w:t>
            </w:r>
          </w:p>
          <w:p w14:paraId="4753016D">
            <w:pPr>
              <w:pStyle w:val="25"/>
              <w:spacing w:after="0"/>
              <w:ind w:left="0" w:leftChars="0" w:firstLine="480"/>
              <w:jc w:val="left"/>
            </w:pPr>
            <w:r>
              <w:rPr>
                <w:rFonts w:hint="eastAsia"/>
              </w:rPr>
              <w:t>新世纪产业园调入面积共610.9公顷，调入地块分别为；地块三（39.6公顷）、地块四（123.8公顷）、地块五（65.1公顷）、地块六（66.9公顷）、地块七</w:t>
            </w:r>
            <w:r>
              <w:rPr>
                <w:rFonts w:hint="eastAsia"/>
                <w:lang w:eastAsia="zh-CN"/>
              </w:rPr>
              <w:t>（</w:t>
            </w:r>
            <w:r>
              <w:rPr>
                <w:rFonts w:hint="eastAsia"/>
              </w:rPr>
              <w:t>20.8公顷</w:t>
            </w:r>
            <w:r>
              <w:rPr>
                <w:rFonts w:hint="eastAsia"/>
                <w:lang w:eastAsia="zh-CN"/>
              </w:rPr>
              <w:t>）</w:t>
            </w:r>
            <w:r>
              <w:rPr>
                <w:rFonts w:hint="eastAsia"/>
              </w:rPr>
              <w:t>、地块八</w:t>
            </w:r>
            <w:r>
              <w:rPr>
                <w:rFonts w:hint="eastAsia"/>
                <w:lang w:eastAsia="zh-CN"/>
              </w:rPr>
              <w:t>（</w:t>
            </w:r>
            <w:r>
              <w:rPr>
                <w:rFonts w:hint="eastAsia"/>
              </w:rPr>
              <w:t>178.9公顷</w:t>
            </w:r>
            <w:r>
              <w:rPr>
                <w:rFonts w:hint="eastAsia"/>
                <w:lang w:eastAsia="zh-CN"/>
              </w:rPr>
              <w:t>）</w:t>
            </w:r>
            <w:r>
              <w:rPr>
                <w:rFonts w:hint="eastAsia"/>
              </w:rPr>
              <w:t>、地块九</w:t>
            </w:r>
            <w:r>
              <w:rPr>
                <w:rFonts w:hint="eastAsia"/>
                <w:lang w:eastAsia="zh-CN"/>
              </w:rPr>
              <w:t>（</w:t>
            </w:r>
            <w:r>
              <w:rPr>
                <w:rFonts w:hint="eastAsia"/>
              </w:rPr>
              <w:t>55.3公顷</w:t>
            </w:r>
            <w:r>
              <w:rPr>
                <w:rFonts w:hint="eastAsia"/>
                <w:lang w:eastAsia="zh-CN"/>
              </w:rPr>
              <w:t>）</w:t>
            </w:r>
            <w:r>
              <w:rPr>
                <w:rFonts w:hint="eastAsia"/>
              </w:rPr>
              <w:t>、地块十</w:t>
            </w:r>
            <w:r>
              <w:rPr>
                <w:rFonts w:hint="eastAsia"/>
                <w:lang w:eastAsia="zh-CN"/>
              </w:rPr>
              <w:t>（</w:t>
            </w:r>
            <w:r>
              <w:rPr>
                <w:rFonts w:hint="eastAsia"/>
              </w:rPr>
              <w:t>7.4公顷</w:t>
            </w:r>
            <w:r>
              <w:rPr>
                <w:rFonts w:hint="eastAsia"/>
                <w:lang w:eastAsia="zh-CN"/>
              </w:rPr>
              <w:t>）</w:t>
            </w:r>
            <w:r>
              <w:rPr>
                <w:rFonts w:hint="eastAsia"/>
              </w:rPr>
              <w:t>、地块十一</w:t>
            </w:r>
            <w:r>
              <w:rPr>
                <w:rFonts w:hint="eastAsia"/>
                <w:lang w:eastAsia="zh-CN"/>
              </w:rPr>
              <w:t>（</w:t>
            </w:r>
            <w:r>
              <w:rPr>
                <w:rFonts w:hint="eastAsia"/>
              </w:rPr>
              <w:t>37.6公顷</w:t>
            </w:r>
            <w:r>
              <w:rPr>
                <w:rFonts w:hint="eastAsia"/>
                <w:lang w:eastAsia="zh-CN"/>
              </w:rPr>
              <w:t>）</w:t>
            </w:r>
            <w:r>
              <w:rPr>
                <w:rFonts w:hint="eastAsia"/>
              </w:rPr>
              <w:t>、调入零星地块（15.5公顷），调入地块现状使用情况：地块三已使用，现状主要为工业企业；地块四大部分未使用，现状大部分为空地，作为园区备用地，其余为六家工业企业；地块五大部分未使用，现状大部分为空地，作为园区备用地，其余为两家工业企业；地块六已使用，现状主要为工业企业；地块七已使用，现状主要为工业企业。地块八大部分未使用，现状大部分为空地，作为园区备用地，其余为两家工业企业。地块九大部分未使用，现状大部分为空地，作为园区备用地。地块十已使用，现状主要为工业企业。地块十一已使用，现状主要为工业企业，小部分为空地，作为园区备用地。</w:t>
            </w:r>
          </w:p>
          <w:p w14:paraId="2302A46B">
            <w:pPr>
              <w:pStyle w:val="25"/>
              <w:spacing w:after="0"/>
              <w:ind w:left="0" w:leftChars="0" w:firstLine="480"/>
              <w:jc w:val="left"/>
            </w:pPr>
            <w:r>
              <w:rPr>
                <w:rFonts w:hint="eastAsia"/>
              </w:rPr>
              <w:t>新世纪产业园规划形成三个功能片区，其中工业园核心组团四至范围为东至东风大道，南至产业园区管委会，西至翠微路，北至平安大道，用地面积884.56公顷，打造为新能源、新材料、装备制造、绿色光源、纺织、电子信息、配套服务产业区；杨家湖组团四至范围为东至经六路，南至祥符镇城镇开发边界，西至祥符镇城镇开发边界，北至祥符镇区，用地面积144.99公顷，打造为新能源、电子信息、配套服务产业区；祥符收费站组团四至范围为东至经十二路，南至纬八路，西至经八路，北至高安东高速管理中心，用地面积415.25公顷，打造为新能源、装备制造、配套服务产业区。本项目位于祥符收费站组团。</w:t>
            </w:r>
          </w:p>
          <w:p w14:paraId="44394AA1">
            <w:pPr>
              <w:pStyle w:val="62"/>
              <w:bidi w:val="0"/>
            </w:pPr>
            <w:r>
              <w:rPr>
                <w:rFonts w:hint="default"/>
                <w:lang w:val="en-US" w:eastAsia="zh-CN"/>
              </w:rPr>
              <w:t>表1-</w:t>
            </w:r>
            <w:r>
              <w:rPr>
                <w:rFonts w:hint="eastAsia"/>
                <w:lang w:val="en-US" w:eastAsia="zh-CN"/>
              </w:rPr>
              <w:t>2</w:t>
            </w:r>
            <w:r>
              <w:rPr>
                <w:rFonts w:hint="default"/>
                <w:lang w:val="en-US" w:eastAsia="zh-CN"/>
              </w:rPr>
              <w:t xml:space="preserve"> </w:t>
            </w:r>
            <w:r>
              <w:rPr>
                <w:rFonts w:hint="eastAsia"/>
              </w:rPr>
              <w:t>江西高安高新技术产业园用地布局规划一览表</w:t>
            </w:r>
          </w:p>
          <w:tbl>
            <w:tblPr>
              <w:tblStyle w:val="145"/>
              <w:tblW w:w="498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28" w:type="dxa"/>
                <w:left w:w="28" w:type="dxa"/>
                <w:bottom w:w="28" w:type="dxa"/>
                <w:right w:w="28" w:type="dxa"/>
              </w:tblCellMar>
            </w:tblPr>
            <w:tblGrid>
              <w:gridCol w:w="906"/>
              <w:gridCol w:w="979"/>
              <w:gridCol w:w="1211"/>
              <w:gridCol w:w="3913"/>
            </w:tblGrid>
            <w:tr w14:paraId="1E933D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70" w:hRule="atLeast"/>
              </w:trPr>
              <w:tc>
                <w:tcPr>
                  <w:tcW w:w="646" w:type="pct"/>
                  <w:tcBorders>
                    <w:tl2br w:val="nil"/>
                    <w:tr2bl w:val="nil"/>
                  </w:tcBorders>
                  <w:vAlign w:val="center"/>
                </w:tcPr>
                <w:p w14:paraId="50B06DBA">
                  <w:pPr>
                    <w:pStyle w:val="56"/>
                    <w:bidi w:val="0"/>
                    <w:rPr>
                      <w:color w:val="auto"/>
                    </w:rPr>
                  </w:pPr>
                  <w:r>
                    <w:t>分区名称</w:t>
                  </w:r>
                </w:p>
              </w:tc>
              <w:tc>
                <w:tcPr>
                  <w:tcW w:w="698" w:type="pct"/>
                  <w:tcBorders>
                    <w:tl2br w:val="nil"/>
                    <w:tr2bl w:val="nil"/>
                  </w:tcBorders>
                  <w:vAlign w:val="center"/>
                </w:tcPr>
                <w:p w14:paraId="5450E8E9">
                  <w:pPr>
                    <w:pStyle w:val="56"/>
                    <w:bidi w:val="0"/>
                    <w:rPr>
                      <w:color w:val="auto"/>
                    </w:rPr>
                  </w:pPr>
                  <w:r>
                    <w:t>组团</w:t>
                  </w:r>
                </w:p>
              </w:tc>
              <w:tc>
                <w:tcPr>
                  <w:tcW w:w="864" w:type="pct"/>
                  <w:tcBorders>
                    <w:tl2br w:val="nil"/>
                    <w:tr2bl w:val="nil"/>
                  </w:tcBorders>
                  <w:vAlign w:val="center"/>
                </w:tcPr>
                <w:p w14:paraId="37EA6A79">
                  <w:pPr>
                    <w:pStyle w:val="56"/>
                    <w:bidi w:val="0"/>
                    <w:rPr>
                      <w:color w:val="auto"/>
                    </w:rPr>
                  </w:pPr>
                  <w:r>
                    <w:t>规划面积（hm2）</w:t>
                  </w:r>
                </w:p>
              </w:tc>
              <w:tc>
                <w:tcPr>
                  <w:tcW w:w="2791" w:type="pct"/>
                  <w:tcBorders>
                    <w:tl2br w:val="nil"/>
                    <w:tr2bl w:val="nil"/>
                  </w:tcBorders>
                  <w:vAlign w:val="center"/>
                </w:tcPr>
                <w:p w14:paraId="0A3E7996">
                  <w:pPr>
                    <w:pStyle w:val="56"/>
                    <w:bidi w:val="0"/>
                    <w:rPr>
                      <w:color w:val="auto"/>
                    </w:rPr>
                  </w:pPr>
                  <w:r>
                    <w:t>四至范围</w:t>
                  </w:r>
                </w:p>
              </w:tc>
            </w:tr>
            <w:tr w14:paraId="28EA82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347" w:hRule="atLeast"/>
              </w:trPr>
              <w:tc>
                <w:tcPr>
                  <w:tcW w:w="646" w:type="pct"/>
                  <w:vMerge w:val="restart"/>
                  <w:tcBorders>
                    <w:tl2br w:val="nil"/>
                    <w:tr2bl w:val="nil"/>
                  </w:tcBorders>
                  <w:vAlign w:val="center"/>
                </w:tcPr>
                <w:p w14:paraId="5218CA64">
                  <w:pPr>
                    <w:pStyle w:val="56"/>
                    <w:bidi w:val="0"/>
                  </w:pPr>
                  <w:r>
                    <w:t>新世纪</w:t>
                  </w:r>
                </w:p>
                <w:p w14:paraId="6F23DAAE">
                  <w:pPr>
                    <w:pStyle w:val="56"/>
                    <w:bidi w:val="0"/>
                    <w:rPr>
                      <w:color w:val="auto"/>
                    </w:rPr>
                  </w:pPr>
                  <w:r>
                    <w:t>产业园</w:t>
                  </w:r>
                </w:p>
              </w:tc>
              <w:tc>
                <w:tcPr>
                  <w:tcW w:w="698" w:type="pct"/>
                  <w:tcBorders>
                    <w:tl2br w:val="nil"/>
                    <w:tr2bl w:val="nil"/>
                  </w:tcBorders>
                  <w:vAlign w:val="center"/>
                </w:tcPr>
                <w:p w14:paraId="3A195197">
                  <w:pPr>
                    <w:pStyle w:val="56"/>
                    <w:bidi w:val="0"/>
                    <w:rPr>
                      <w:color w:val="auto"/>
                    </w:rPr>
                  </w:pPr>
                  <w:r>
                    <w:t>工业园核心组团</w:t>
                  </w:r>
                </w:p>
              </w:tc>
              <w:tc>
                <w:tcPr>
                  <w:tcW w:w="864" w:type="pct"/>
                  <w:tcBorders>
                    <w:tl2br w:val="nil"/>
                    <w:tr2bl w:val="nil"/>
                  </w:tcBorders>
                  <w:vAlign w:val="center"/>
                </w:tcPr>
                <w:p w14:paraId="209FB1C9">
                  <w:pPr>
                    <w:pStyle w:val="56"/>
                    <w:bidi w:val="0"/>
                    <w:rPr>
                      <w:color w:val="auto"/>
                    </w:rPr>
                  </w:pPr>
                  <w:r>
                    <w:t>884.56</w:t>
                  </w:r>
                </w:p>
              </w:tc>
              <w:tc>
                <w:tcPr>
                  <w:tcW w:w="2791" w:type="pct"/>
                  <w:tcBorders>
                    <w:tl2br w:val="nil"/>
                    <w:tr2bl w:val="nil"/>
                  </w:tcBorders>
                  <w:vAlign w:val="top"/>
                </w:tcPr>
                <w:p w14:paraId="087459E9">
                  <w:pPr>
                    <w:pStyle w:val="56"/>
                    <w:bidi w:val="0"/>
                    <w:jc w:val="left"/>
                    <w:rPr>
                      <w:color w:val="auto"/>
                    </w:rPr>
                  </w:pPr>
                  <w:r>
                    <w:t>东至东风大道，南至产业园区管委会，西至翠微路，北至平安大道。</w:t>
                  </w:r>
                </w:p>
              </w:tc>
            </w:tr>
            <w:tr w14:paraId="261448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0" w:hRule="atLeast"/>
              </w:trPr>
              <w:tc>
                <w:tcPr>
                  <w:tcW w:w="646" w:type="pct"/>
                  <w:vMerge w:val="continue"/>
                  <w:tcBorders>
                    <w:tl2br w:val="nil"/>
                    <w:tr2bl w:val="nil"/>
                  </w:tcBorders>
                  <w:vAlign w:val="center"/>
                </w:tcPr>
                <w:p w14:paraId="1C1B2FF0">
                  <w:pPr>
                    <w:pStyle w:val="56"/>
                    <w:spacing w:line="240" w:lineRule="auto"/>
                    <w:jc w:val="center"/>
                    <w:rPr>
                      <w:color w:val="auto"/>
                    </w:rPr>
                  </w:pPr>
                </w:p>
              </w:tc>
              <w:tc>
                <w:tcPr>
                  <w:tcW w:w="698" w:type="pct"/>
                  <w:tcBorders>
                    <w:tl2br w:val="nil"/>
                    <w:tr2bl w:val="nil"/>
                  </w:tcBorders>
                  <w:vAlign w:val="center"/>
                </w:tcPr>
                <w:p w14:paraId="592AAC8A">
                  <w:pPr>
                    <w:pStyle w:val="56"/>
                    <w:bidi w:val="0"/>
                    <w:rPr>
                      <w:color w:val="auto"/>
                    </w:rPr>
                  </w:pPr>
                  <w:r>
                    <w:t>杨家湖组团</w:t>
                  </w:r>
                </w:p>
              </w:tc>
              <w:tc>
                <w:tcPr>
                  <w:tcW w:w="864" w:type="pct"/>
                  <w:tcBorders>
                    <w:tl2br w:val="nil"/>
                    <w:tr2bl w:val="nil"/>
                  </w:tcBorders>
                  <w:vAlign w:val="center"/>
                </w:tcPr>
                <w:p w14:paraId="1B7946B3">
                  <w:pPr>
                    <w:pStyle w:val="56"/>
                    <w:bidi w:val="0"/>
                    <w:rPr>
                      <w:color w:val="auto"/>
                    </w:rPr>
                  </w:pPr>
                  <w:r>
                    <w:t>144.99</w:t>
                  </w:r>
                </w:p>
              </w:tc>
              <w:tc>
                <w:tcPr>
                  <w:tcW w:w="2791" w:type="pct"/>
                  <w:tcBorders>
                    <w:tl2br w:val="nil"/>
                    <w:tr2bl w:val="nil"/>
                  </w:tcBorders>
                  <w:vAlign w:val="top"/>
                </w:tcPr>
                <w:p w14:paraId="1BF1C16E">
                  <w:pPr>
                    <w:pStyle w:val="56"/>
                    <w:bidi w:val="0"/>
                    <w:jc w:val="left"/>
                    <w:rPr>
                      <w:color w:val="auto"/>
                    </w:rPr>
                  </w:pPr>
                  <w:r>
                    <w:t>东至经六路，南至祥符镇城镇开发边界，西至祥符镇城镇开发边界，北至祥符镇区。</w:t>
                  </w:r>
                </w:p>
              </w:tc>
            </w:tr>
            <w:tr w14:paraId="3204E0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580" w:hRule="atLeast"/>
              </w:trPr>
              <w:tc>
                <w:tcPr>
                  <w:tcW w:w="646" w:type="pct"/>
                  <w:vMerge w:val="continue"/>
                  <w:tcBorders>
                    <w:tl2br w:val="nil"/>
                    <w:tr2bl w:val="nil"/>
                  </w:tcBorders>
                  <w:vAlign w:val="center"/>
                </w:tcPr>
                <w:p w14:paraId="0BBB34CF">
                  <w:pPr>
                    <w:pStyle w:val="56"/>
                    <w:spacing w:line="240" w:lineRule="auto"/>
                    <w:jc w:val="center"/>
                    <w:rPr>
                      <w:color w:val="auto"/>
                    </w:rPr>
                  </w:pPr>
                </w:p>
              </w:tc>
              <w:tc>
                <w:tcPr>
                  <w:tcW w:w="698" w:type="pct"/>
                  <w:tcBorders>
                    <w:tl2br w:val="nil"/>
                    <w:tr2bl w:val="nil"/>
                  </w:tcBorders>
                  <w:vAlign w:val="center"/>
                </w:tcPr>
                <w:p w14:paraId="34C3339B">
                  <w:pPr>
                    <w:pStyle w:val="56"/>
                    <w:bidi w:val="0"/>
                    <w:rPr>
                      <w:color w:val="auto"/>
                    </w:rPr>
                  </w:pPr>
                  <w:r>
                    <w:t>祥符收费站组团</w:t>
                  </w:r>
                </w:p>
              </w:tc>
              <w:tc>
                <w:tcPr>
                  <w:tcW w:w="864" w:type="pct"/>
                  <w:tcBorders>
                    <w:tl2br w:val="nil"/>
                    <w:tr2bl w:val="nil"/>
                  </w:tcBorders>
                  <w:vAlign w:val="center"/>
                </w:tcPr>
                <w:p w14:paraId="671BD3E7">
                  <w:pPr>
                    <w:pStyle w:val="56"/>
                    <w:bidi w:val="0"/>
                    <w:rPr>
                      <w:color w:val="auto"/>
                    </w:rPr>
                  </w:pPr>
                  <w:r>
                    <w:t>415.25</w:t>
                  </w:r>
                </w:p>
              </w:tc>
              <w:tc>
                <w:tcPr>
                  <w:tcW w:w="2791" w:type="pct"/>
                  <w:tcBorders>
                    <w:tl2br w:val="nil"/>
                    <w:tr2bl w:val="nil"/>
                  </w:tcBorders>
                  <w:vAlign w:val="top"/>
                </w:tcPr>
                <w:p w14:paraId="1AB945DD">
                  <w:pPr>
                    <w:pStyle w:val="56"/>
                    <w:bidi w:val="0"/>
                    <w:jc w:val="left"/>
                    <w:rPr>
                      <w:color w:val="auto"/>
                    </w:rPr>
                  </w:pPr>
                  <w:r>
                    <w:t>东至经十二路，南至纬八路，西至经八路，北至高安东高速管理中心。</w:t>
                  </w:r>
                </w:p>
              </w:tc>
            </w:tr>
            <w:tr w14:paraId="639272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192" w:hRule="atLeast"/>
              </w:trPr>
              <w:tc>
                <w:tcPr>
                  <w:tcW w:w="646" w:type="pct"/>
                  <w:vMerge w:val="continue"/>
                  <w:tcBorders>
                    <w:tl2br w:val="nil"/>
                    <w:tr2bl w:val="nil"/>
                  </w:tcBorders>
                  <w:vAlign w:val="center"/>
                </w:tcPr>
                <w:p w14:paraId="3F416C73">
                  <w:pPr>
                    <w:pStyle w:val="56"/>
                    <w:spacing w:line="240" w:lineRule="auto"/>
                    <w:jc w:val="center"/>
                    <w:rPr>
                      <w:color w:val="auto"/>
                    </w:rPr>
                  </w:pPr>
                </w:p>
              </w:tc>
              <w:tc>
                <w:tcPr>
                  <w:tcW w:w="698" w:type="pct"/>
                  <w:tcBorders>
                    <w:tl2br w:val="nil"/>
                    <w:tr2bl w:val="nil"/>
                  </w:tcBorders>
                  <w:vAlign w:val="center"/>
                </w:tcPr>
                <w:p w14:paraId="4BB56E26">
                  <w:pPr>
                    <w:pStyle w:val="56"/>
                    <w:bidi w:val="0"/>
                    <w:rPr>
                      <w:color w:val="auto"/>
                    </w:rPr>
                  </w:pPr>
                  <w:r>
                    <w:t>小计</w:t>
                  </w:r>
                </w:p>
              </w:tc>
              <w:tc>
                <w:tcPr>
                  <w:tcW w:w="864" w:type="pct"/>
                  <w:tcBorders>
                    <w:tl2br w:val="nil"/>
                    <w:tr2bl w:val="nil"/>
                  </w:tcBorders>
                  <w:vAlign w:val="center"/>
                </w:tcPr>
                <w:p w14:paraId="009B4A28">
                  <w:pPr>
                    <w:pStyle w:val="56"/>
                    <w:bidi w:val="0"/>
                    <w:rPr>
                      <w:color w:val="auto"/>
                    </w:rPr>
                  </w:pPr>
                  <w:r>
                    <w:t>1444.8</w:t>
                  </w:r>
                </w:p>
              </w:tc>
              <w:tc>
                <w:tcPr>
                  <w:tcW w:w="2791" w:type="pct"/>
                  <w:tcBorders>
                    <w:tl2br w:val="nil"/>
                    <w:tr2bl w:val="nil"/>
                  </w:tcBorders>
                  <w:vAlign w:val="top"/>
                </w:tcPr>
                <w:p w14:paraId="33F8C4C4">
                  <w:pPr>
                    <w:pStyle w:val="56"/>
                    <w:spacing w:line="240" w:lineRule="auto"/>
                    <w:jc w:val="both"/>
                    <w:rPr>
                      <w:color w:val="auto"/>
                    </w:rPr>
                  </w:pPr>
                </w:p>
              </w:tc>
            </w:tr>
            <w:tr w14:paraId="0519B1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90" w:hRule="atLeast"/>
              </w:trPr>
              <w:tc>
                <w:tcPr>
                  <w:tcW w:w="646" w:type="pct"/>
                  <w:vMerge w:val="restart"/>
                  <w:tcBorders>
                    <w:tl2br w:val="nil"/>
                    <w:tr2bl w:val="nil"/>
                  </w:tcBorders>
                  <w:vAlign w:val="center"/>
                </w:tcPr>
                <w:p w14:paraId="0E83B511">
                  <w:pPr>
                    <w:pStyle w:val="56"/>
                    <w:bidi w:val="0"/>
                  </w:pPr>
                  <w:r>
                    <w:t>建筑陶</w:t>
                  </w:r>
                </w:p>
                <w:p w14:paraId="19FB673C">
                  <w:pPr>
                    <w:pStyle w:val="56"/>
                    <w:bidi w:val="0"/>
                    <w:rPr>
                      <w:color w:val="auto"/>
                    </w:rPr>
                  </w:pPr>
                  <w:r>
                    <w:t>瓷产业园</w:t>
                  </w:r>
                </w:p>
              </w:tc>
              <w:tc>
                <w:tcPr>
                  <w:tcW w:w="698" w:type="pct"/>
                  <w:tcBorders>
                    <w:tl2br w:val="nil"/>
                    <w:tr2bl w:val="nil"/>
                  </w:tcBorders>
                  <w:vAlign w:val="center"/>
                </w:tcPr>
                <w:p w14:paraId="348E1966">
                  <w:pPr>
                    <w:pStyle w:val="56"/>
                    <w:bidi w:val="0"/>
                    <w:rPr>
                      <w:color w:val="auto"/>
                    </w:rPr>
                  </w:pPr>
                  <w:r>
                    <w:t>西组团</w:t>
                  </w:r>
                </w:p>
              </w:tc>
              <w:tc>
                <w:tcPr>
                  <w:tcW w:w="864" w:type="pct"/>
                  <w:tcBorders>
                    <w:tl2br w:val="nil"/>
                    <w:tr2bl w:val="nil"/>
                  </w:tcBorders>
                  <w:vAlign w:val="center"/>
                </w:tcPr>
                <w:p w14:paraId="74355C44">
                  <w:pPr>
                    <w:pStyle w:val="56"/>
                    <w:bidi w:val="0"/>
                    <w:rPr>
                      <w:color w:val="auto"/>
                    </w:rPr>
                  </w:pPr>
                  <w:r>
                    <w:t>272.55</w:t>
                  </w:r>
                </w:p>
              </w:tc>
              <w:tc>
                <w:tcPr>
                  <w:tcW w:w="2791" w:type="pct"/>
                  <w:tcBorders>
                    <w:tl2br w:val="nil"/>
                    <w:tr2bl w:val="nil"/>
                  </w:tcBorders>
                  <w:vAlign w:val="top"/>
                </w:tcPr>
                <w:p w14:paraId="41BED314">
                  <w:pPr>
                    <w:pStyle w:val="56"/>
                    <w:bidi w:val="0"/>
                    <w:jc w:val="left"/>
                    <w:rPr>
                      <w:color w:val="auto"/>
                    </w:rPr>
                  </w:pPr>
                  <w:r>
                    <w:t>东至新街镇城镇开发边界，南至新街镇城镇开发边界，西至新街镇城镇开发边界，北至新街镇城镇开发边界。</w:t>
                  </w:r>
                </w:p>
              </w:tc>
            </w:tr>
            <w:tr w14:paraId="4D93C1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0" w:hRule="atLeast"/>
              </w:trPr>
              <w:tc>
                <w:tcPr>
                  <w:tcW w:w="646" w:type="pct"/>
                  <w:vMerge w:val="continue"/>
                  <w:tcBorders>
                    <w:tl2br w:val="nil"/>
                    <w:tr2bl w:val="nil"/>
                  </w:tcBorders>
                  <w:vAlign w:val="center"/>
                </w:tcPr>
                <w:p w14:paraId="21ABAC10">
                  <w:pPr>
                    <w:pStyle w:val="56"/>
                    <w:spacing w:line="240" w:lineRule="auto"/>
                    <w:jc w:val="center"/>
                    <w:rPr>
                      <w:color w:val="auto"/>
                    </w:rPr>
                  </w:pPr>
                </w:p>
              </w:tc>
              <w:tc>
                <w:tcPr>
                  <w:tcW w:w="698" w:type="pct"/>
                  <w:tcBorders>
                    <w:tl2br w:val="nil"/>
                    <w:tr2bl w:val="nil"/>
                  </w:tcBorders>
                  <w:vAlign w:val="center"/>
                </w:tcPr>
                <w:p w14:paraId="3C33F105">
                  <w:pPr>
                    <w:pStyle w:val="56"/>
                    <w:bidi w:val="0"/>
                    <w:rPr>
                      <w:color w:val="auto"/>
                    </w:rPr>
                  </w:pPr>
                  <w:r>
                    <w:t>建陶核心组团</w:t>
                  </w:r>
                </w:p>
              </w:tc>
              <w:tc>
                <w:tcPr>
                  <w:tcW w:w="864" w:type="pct"/>
                  <w:tcBorders>
                    <w:tl2br w:val="nil"/>
                    <w:tr2bl w:val="nil"/>
                  </w:tcBorders>
                  <w:vAlign w:val="center"/>
                </w:tcPr>
                <w:p w14:paraId="6F4A8F8F">
                  <w:pPr>
                    <w:pStyle w:val="56"/>
                    <w:bidi w:val="0"/>
                    <w:rPr>
                      <w:color w:val="auto"/>
                    </w:rPr>
                  </w:pPr>
                  <w:r>
                    <w:t>1398.14</w:t>
                  </w:r>
                </w:p>
              </w:tc>
              <w:tc>
                <w:tcPr>
                  <w:tcW w:w="2791" w:type="pct"/>
                  <w:tcBorders>
                    <w:tl2br w:val="nil"/>
                    <w:tr2bl w:val="nil"/>
                  </w:tcBorders>
                  <w:vAlign w:val="top"/>
                </w:tcPr>
                <w:p w14:paraId="2A0DD5A1">
                  <w:pPr>
                    <w:pStyle w:val="56"/>
                    <w:bidi w:val="0"/>
                    <w:jc w:val="left"/>
                    <w:rPr>
                      <w:color w:val="auto"/>
                    </w:rPr>
                  </w:pPr>
                  <w:r>
                    <w:t>东至独城镇山东水库，南至新中源南路，西至高胡公路，北至独城镇城镇开发边界。</w:t>
                  </w:r>
                </w:p>
              </w:tc>
            </w:tr>
            <w:tr w14:paraId="63641C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90" w:hRule="atLeast"/>
              </w:trPr>
              <w:tc>
                <w:tcPr>
                  <w:tcW w:w="646" w:type="pct"/>
                  <w:vMerge w:val="continue"/>
                  <w:tcBorders>
                    <w:tl2br w:val="nil"/>
                    <w:tr2bl w:val="nil"/>
                  </w:tcBorders>
                  <w:vAlign w:val="center"/>
                </w:tcPr>
                <w:p w14:paraId="0092B2D5">
                  <w:pPr>
                    <w:pStyle w:val="56"/>
                    <w:spacing w:line="240" w:lineRule="auto"/>
                    <w:jc w:val="center"/>
                    <w:rPr>
                      <w:color w:val="auto"/>
                    </w:rPr>
                  </w:pPr>
                </w:p>
              </w:tc>
              <w:tc>
                <w:tcPr>
                  <w:tcW w:w="698" w:type="pct"/>
                  <w:tcBorders>
                    <w:tl2br w:val="nil"/>
                    <w:tr2bl w:val="nil"/>
                  </w:tcBorders>
                  <w:vAlign w:val="center"/>
                </w:tcPr>
                <w:p w14:paraId="7E0FDBE4">
                  <w:pPr>
                    <w:pStyle w:val="56"/>
                    <w:bidi w:val="0"/>
                    <w:rPr>
                      <w:color w:val="auto"/>
                    </w:rPr>
                  </w:pPr>
                  <w:r>
                    <w:t>铁路沿线组团</w:t>
                  </w:r>
                </w:p>
              </w:tc>
              <w:tc>
                <w:tcPr>
                  <w:tcW w:w="864" w:type="pct"/>
                  <w:tcBorders>
                    <w:tl2br w:val="nil"/>
                    <w:tr2bl w:val="nil"/>
                  </w:tcBorders>
                  <w:vAlign w:val="center"/>
                </w:tcPr>
                <w:p w14:paraId="752FE5C6">
                  <w:pPr>
                    <w:pStyle w:val="56"/>
                    <w:bidi w:val="0"/>
                    <w:rPr>
                      <w:color w:val="auto"/>
                    </w:rPr>
                  </w:pPr>
                  <w:r>
                    <w:t>460.61</w:t>
                  </w:r>
                </w:p>
              </w:tc>
              <w:tc>
                <w:tcPr>
                  <w:tcW w:w="2791" w:type="pct"/>
                  <w:tcBorders>
                    <w:tl2br w:val="nil"/>
                    <w:tr2bl w:val="nil"/>
                  </w:tcBorders>
                  <w:vAlign w:val="top"/>
                </w:tcPr>
                <w:p w14:paraId="09796B50">
                  <w:pPr>
                    <w:pStyle w:val="56"/>
                    <w:bidi w:val="0"/>
                    <w:jc w:val="left"/>
                    <w:rPr>
                      <w:color w:val="auto"/>
                    </w:rPr>
                  </w:pPr>
                  <w:r>
                    <w:t>东至龛塘水库，南至八景镇城镇开发边界，西至八景镇城镇开发边界，北至独八路。</w:t>
                  </w:r>
                </w:p>
              </w:tc>
            </w:tr>
            <w:tr w14:paraId="02F8D7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90" w:hRule="atLeast"/>
              </w:trPr>
              <w:tc>
                <w:tcPr>
                  <w:tcW w:w="646" w:type="pct"/>
                  <w:vMerge w:val="continue"/>
                  <w:tcBorders>
                    <w:tl2br w:val="nil"/>
                    <w:tr2bl w:val="nil"/>
                  </w:tcBorders>
                  <w:vAlign w:val="center"/>
                </w:tcPr>
                <w:p w14:paraId="27E225E4">
                  <w:pPr>
                    <w:pStyle w:val="56"/>
                    <w:spacing w:line="240" w:lineRule="auto"/>
                    <w:jc w:val="center"/>
                    <w:rPr>
                      <w:color w:val="auto"/>
                    </w:rPr>
                  </w:pPr>
                </w:p>
              </w:tc>
              <w:tc>
                <w:tcPr>
                  <w:tcW w:w="698" w:type="pct"/>
                  <w:tcBorders>
                    <w:tl2br w:val="nil"/>
                    <w:tr2bl w:val="nil"/>
                  </w:tcBorders>
                  <w:vAlign w:val="center"/>
                </w:tcPr>
                <w:p w14:paraId="43D49364">
                  <w:pPr>
                    <w:pStyle w:val="56"/>
                    <w:bidi w:val="0"/>
                    <w:rPr>
                      <w:color w:val="auto"/>
                    </w:rPr>
                  </w:pPr>
                  <w:r>
                    <w:t>南组团</w:t>
                  </w:r>
                </w:p>
              </w:tc>
              <w:tc>
                <w:tcPr>
                  <w:tcW w:w="864" w:type="pct"/>
                  <w:tcBorders>
                    <w:tl2br w:val="nil"/>
                    <w:tr2bl w:val="nil"/>
                  </w:tcBorders>
                  <w:vAlign w:val="center"/>
                </w:tcPr>
                <w:p w14:paraId="27389531">
                  <w:pPr>
                    <w:pStyle w:val="56"/>
                    <w:bidi w:val="0"/>
                    <w:rPr>
                      <w:color w:val="auto"/>
                    </w:rPr>
                  </w:pPr>
                  <w:r>
                    <w:t>147.72</w:t>
                  </w:r>
                </w:p>
              </w:tc>
              <w:tc>
                <w:tcPr>
                  <w:tcW w:w="2791" w:type="pct"/>
                  <w:tcBorders>
                    <w:tl2br w:val="nil"/>
                    <w:tr2bl w:val="nil"/>
                  </w:tcBorders>
                  <w:vAlign w:val="top"/>
                </w:tcPr>
                <w:p w14:paraId="50551A25">
                  <w:pPr>
                    <w:pStyle w:val="56"/>
                    <w:bidi w:val="0"/>
                    <w:jc w:val="left"/>
                  </w:pPr>
                  <w:r>
                    <w:t>东至高胡公路，南至八景镇城镇开发边界，</w:t>
                  </w:r>
                </w:p>
                <w:p w14:paraId="4B5993F9">
                  <w:pPr>
                    <w:pStyle w:val="56"/>
                    <w:bidi w:val="0"/>
                    <w:jc w:val="left"/>
                    <w:rPr>
                      <w:color w:val="auto"/>
                    </w:rPr>
                  </w:pPr>
                  <w:r>
                    <w:t>西至铁路张建线，北至高胡公路。</w:t>
                  </w:r>
                </w:p>
              </w:tc>
            </w:tr>
            <w:tr w14:paraId="70B932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90" w:hRule="atLeast"/>
              </w:trPr>
              <w:tc>
                <w:tcPr>
                  <w:tcW w:w="646" w:type="pct"/>
                  <w:vMerge w:val="continue"/>
                  <w:tcBorders>
                    <w:tl2br w:val="nil"/>
                    <w:tr2bl w:val="nil"/>
                  </w:tcBorders>
                  <w:vAlign w:val="center"/>
                </w:tcPr>
                <w:p w14:paraId="379D0DB3">
                  <w:pPr>
                    <w:pStyle w:val="56"/>
                    <w:spacing w:line="240" w:lineRule="auto"/>
                    <w:jc w:val="center"/>
                    <w:rPr>
                      <w:color w:val="auto"/>
                    </w:rPr>
                  </w:pPr>
                </w:p>
              </w:tc>
              <w:tc>
                <w:tcPr>
                  <w:tcW w:w="698" w:type="pct"/>
                  <w:tcBorders>
                    <w:tl2br w:val="nil"/>
                    <w:tr2bl w:val="nil"/>
                  </w:tcBorders>
                  <w:vAlign w:val="center"/>
                </w:tcPr>
                <w:p w14:paraId="48B6B0F0">
                  <w:pPr>
                    <w:pStyle w:val="56"/>
                    <w:bidi w:val="0"/>
                    <w:rPr>
                      <w:color w:val="auto"/>
                    </w:rPr>
                  </w:pPr>
                  <w:r>
                    <w:t>胡家坊组团</w:t>
                  </w:r>
                </w:p>
              </w:tc>
              <w:tc>
                <w:tcPr>
                  <w:tcW w:w="864" w:type="pct"/>
                  <w:tcBorders>
                    <w:tl2br w:val="nil"/>
                    <w:tr2bl w:val="nil"/>
                  </w:tcBorders>
                  <w:vAlign w:val="center"/>
                </w:tcPr>
                <w:p w14:paraId="4FDA688B">
                  <w:pPr>
                    <w:pStyle w:val="56"/>
                    <w:bidi w:val="0"/>
                    <w:rPr>
                      <w:color w:val="auto"/>
                    </w:rPr>
                  </w:pPr>
                  <w:r>
                    <w:t>129.40</w:t>
                  </w:r>
                </w:p>
              </w:tc>
              <w:tc>
                <w:tcPr>
                  <w:tcW w:w="2791" w:type="pct"/>
                  <w:tcBorders>
                    <w:tl2br w:val="nil"/>
                    <w:tr2bl w:val="nil"/>
                  </w:tcBorders>
                  <w:vAlign w:val="top"/>
                </w:tcPr>
                <w:p w14:paraId="1D9A7A9C">
                  <w:pPr>
                    <w:pStyle w:val="56"/>
                    <w:bidi w:val="0"/>
                    <w:jc w:val="left"/>
                    <w:rPr>
                      <w:color w:val="auto"/>
                    </w:rPr>
                  </w:pPr>
                  <w:r>
                    <w:t>东至高胡公路，南至沪昆高速公路，西至八景镇城镇开发边界，北至八景镇城镇开发边界。</w:t>
                  </w:r>
                </w:p>
              </w:tc>
            </w:tr>
            <w:tr w14:paraId="7B295B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90" w:hRule="atLeast"/>
              </w:trPr>
              <w:tc>
                <w:tcPr>
                  <w:tcW w:w="646" w:type="pct"/>
                  <w:vMerge w:val="continue"/>
                  <w:tcBorders>
                    <w:tl2br w:val="nil"/>
                    <w:tr2bl w:val="nil"/>
                  </w:tcBorders>
                  <w:vAlign w:val="center"/>
                </w:tcPr>
                <w:p w14:paraId="333E405B">
                  <w:pPr>
                    <w:pStyle w:val="56"/>
                    <w:spacing w:line="240" w:lineRule="auto"/>
                    <w:jc w:val="center"/>
                    <w:rPr>
                      <w:color w:val="auto"/>
                    </w:rPr>
                  </w:pPr>
                </w:p>
              </w:tc>
              <w:tc>
                <w:tcPr>
                  <w:tcW w:w="698" w:type="pct"/>
                  <w:tcBorders>
                    <w:tl2br w:val="nil"/>
                    <w:tr2bl w:val="nil"/>
                  </w:tcBorders>
                  <w:vAlign w:val="center"/>
                </w:tcPr>
                <w:p w14:paraId="536C43F9">
                  <w:pPr>
                    <w:pStyle w:val="56"/>
                    <w:bidi w:val="0"/>
                    <w:rPr>
                      <w:color w:val="auto"/>
                    </w:rPr>
                  </w:pPr>
                  <w:r>
                    <w:t>小计</w:t>
                  </w:r>
                </w:p>
              </w:tc>
              <w:tc>
                <w:tcPr>
                  <w:tcW w:w="864" w:type="pct"/>
                  <w:tcBorders>
                    <w:tl2br w:val="nil"/>
                    <w:tr2bl w:val="nil"/>
                  </w:tcBorders>
                  <w:vAlign w:val="center"/>
                </w:tcPr>
                <w:p w14:paraId="2E4F2432">
                  <w:pPr>
                    <w:pStyle w:val="56"/>
                    <w:bidi w:val="0"/>
                    <w:rPr>
                      <w:color w:val="auto"/>
                    </w:rPr>
                  </w:pPr>
                  <w:r>
                    <w:t>2408.42</w:t>
                  </w:r>
                </w:p>
              </w:tc>
              <w:tc>
                <w:tcPr>
                  <w:tcW w:w="2791" w:type="pct"/>
                  <w:tcBorders>
                    <w:tl2br w:val="nil"/>
                    <w:tr2bl w:val="nil"/>
                  </w:tcBorders>
                  <w:vAlign w:val="center"/>
                </w:tcPr>
                <w:p w14:paraId="74F2E77C">
                  <w:pPr>
                    <w:pStyle w:val="56"/>
                    <w:bidi w:val="0"/>
                    <w:rPr>
                      <w:rFonts w:hint="eastAsia" w:eastAsia="宋体"/>
                      <w:color w:val="auto"/>
                      <w:lang w:val="en-US" w:eastAsia="zh-CN"/>
                    </w:rPr>
                  </w:pPr>
                  <w:r>
                    <w:rPr>
                      <w:rFonts w:hint="eastAsia"/>
                      <w:lang w:val="en-US" w:eastAsia="zh-CN"/>
                    </w:rPr>
                    <w:t>/</w:t>
                  </w:r>
                </w:p>
              </w:tc>
            </w:tr>
            <w:tr w14:paraId="73C68E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0" w:hRule="atLeast"/>
              </w:trPr>
              <w:tc>
                <w:tcPr>
                  <w:tcW w:w="646" w:type="pct"/>
                  <w:tcBorders>
                    <w:tl2br w:val="nil"/>
                    <w:tr2bl w:val="nil"/>
                  </w:tcBorders>
                  <w:vAlign w:val="center"/>
                </w:tcPr>
                <w:p w14:paraId="1CEBBD68">
                  <w:pPr>
                    <w:pStyle w:val="56"/>
                    <w:bidi w:val="0"/>
                  </w:pPr>
                  <w:r>
                    <w:t>建材环保</w:t>
                  </w:r>
                </w:p>
                <w:p w14:paraId="1943DD1C">
                  <w:pPr>
                    <w:pStyle w:val="56"/>
                    <w:bidi w:val="0"/>
                    <w:rPr>
                      <w:color w:val="auto"/>
                    </w:rPr>
                  </w:pPr>
                  <w:r>
                    <w:t>产业园</w:t>
                  </w:r>
                </w:p>
              </w:tc>
              <w:tc>
                <w:tcPr>
                  <w:tcW w:w="698" w:type="pct"/>
                  <w:tcBorders>
                    <w:tl2br w:val="nil"/>
                    <w:tr2bl w:val="nil"/>
                  </w:tcBorders>
                  <w:vAlign w:val="center"/>
                </w:tcPr>
                <w:p w14:paraId="55883A0D">
                  <w:pPr>
                    <w:pStyle w:val="56"/>
                    <w:bidi w:val="0"/>
                    <w:rPr>
                      <w:color w:val="auto"/>
                    </w:rPr>
                  </w:pPr>
                  <w:r>
                    <w:t>建材环保产业园</w:t>
                  </w:r>
                </w:p>
              </w:tc>
              <w:tc>
                <w:tcPr>
                  <w:tcW w:w="864" w:type="pct"/>
                  <w:tcBorders>
                    <w:tl2br w:val="nil"/>
                    <w:tr2bl w:val="nil"/>
                  </w:tcBorders>
                  <w:vAlign w:val="center"/>
                </w:tcPr>
                <w:p w14:paraId="724079FA">
                  <w:pPr>
                    <w:pStyle w:val="56"/>
                    <w:bidi w:val="0"/>
                    <w:rPr>
                      <w:color w:val="auto"/>
                    </w:rPr>
                  </w:pPr>
                  <w:r>
                    <w:t>43.25</w:t>
                  </w:r>
                </w:p>
              </w:tc>
              <w:tc>
                <w:tcPr>
                  <w:tcW w:w="2791" w:type="pct"/>
                  <w:tcBorders>
                    <w:tl2br w:val="nil"/>
                    <w:tr2bl w:val="nil"/>
                  </w:tcBorders>
                  <w:vAlign w:val="center"/>
                </w:tcPr>
                <w:p w14:paraId="343D49B5">
                  <w:pPr>
                    <w:pStyle w:val="56"/>
                    <w:bidi w:val="0"/>
                    <w:jc w:val="left"/>
                    <w:rPr>
                      <w:color w:val="auto"/>
                    </w:rPr>
                  </w:pPr>
                  <w:r>
                    <w:t>东至田南镇城镇开发边界，南至田南镇罗家村，西至田南镇罗家村以西林地，北至田南镇罗家村以北林地。</w:t>
                  </w:r>
                </w:p>
              </w:tc>
            </w:tr>
            <w:tr w14:paraId="701542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90" w:hRule="atLeast"/>
              </w:trPr>
              <w:tc>
                <w:tcPr>
                  <w:tcW w:w="646" w:type="pct"/>
                  <w:tcBorders>
                    <w:tl2br w:val="nil"/>
                    <w:tr2bl w:val="nil"/>
                  </w:tcBorders>
                  <w:vAlign w:val="center"/>
                </w:tcPr>
                <w:p w14:paraId="2AAE328B">
                  <w:pPr>
                    <w:pStyle w:val="56"/>
                    <w:bidi w:val="0"/>
                    <w:rPr>
                      <w:color w:val="auto"/>
                    </w:rPr>
                  </w:pPr>
                  <w:r>
                    <w:t>合计</w:t>
                  </w:r>
                </w:p>
              </w:tc>
              <w:tc>
                <w:tcPr>
                  <w:tcW w:w="698" w:type="pct"/>
                  <w:tcBorders>
                    <w:tl2br w:val="nil"/>
                    <w:tr2bl w:val="nil"/>
                  </w:tcBorders>
                  <w:vAlign w:val="center"/>
                </w:tcPr>
                <w:p w14:paraId="5CD9086F">
                  <w:pPr>
                    <w:pStyle w:val="56"/>
                    <w:spacing w:line="240" w:lineRule="auto"/>
                    <w:jc w:val="center"/>
                    <w:rPr>
                      <w:color w:val="auto"/>
                    </w:rPr>
                  </w:pPr>
                </w:p>
              </w:tc>
              <w:tc>
                <w:tcPr>
                  <w:tcW w:w="864" w:type="pct"/>
                  <w:tcBorders>
                    <w:tl2br w:val="nil"/>
                    <w:tr2bl w:val="nil"/>
                  </w:tcBorders>
                  <w:vAlign w:val="center"/>
                </w:tcPr>
                <w:p w14:paraId="361790E7">
                  <w:pPr>
                    <w:pStyle w:val="56"/>
                    <w:bidi w:val="0"/>
                    <w:rPr>
                      <w:color w:val="auto"/>
                    </w:rPr>
                  </w:pPr>
                  <w:r>
                    <w:t>3896.47</w:t>
                  </w:r>
                </w:p>
              </w:tc>
              <w:tc>
                <w:tcPr>
                  <w:tcW w:w="2791" w:type="pct"/>
                  <w:tcBorders>
                    <w:tl2br w:val="nil"/>
                    <w:tr2bl w:val="nil"/>
                  </w:tcBorders>
                  <w:vAlign w:val="center"/>
                </w:tcPr>
                <w:p w14:paraId="14A80D21">
                  <w:pPr>
                    <w:pStyle w:val="56"/>
                    <w:spacing w:line="240" w:lineRule="auto"/>
                    <w:jc w:val="both"/>
                    <w:rPr>
                      <w:color w:val="auto"/>
                    </w:rPr>
                  </w:pPr>
                </w:p>
              </w:tc>
            </w:tr>
          </w:tbl>
          <w:p w14:paraId="0B545F20">
            <w:pPr>
              <w:pStyle w:val="25"/>
              <w:spacing w:after="0"/>
              <w:ind w:left="0" w:leftChars="0" w:firstLine="480"/>
              <w:jc w:val="left"/>
            </w:pPr>
            <w:r>
              <w:rPr>
                <w:rFonts w:hint="eastAsia"/>
              </w:rPr>
              <w:t>本轮规划期限为2023年</w:t>
            </w:r>
            <w:r>
              <w:rPr>
                <w:rFonts w:hint="eastAsia"/>
                <w:lang w:val="en-US" w:eastAsia="zh-CN"/>
              </w:rPr>
              <w:t>~</w:t>
            </w:r>
            <w:r>
              <w:rPr>
                <w:rFonts w:hint="eastAsia"/>
              </w:rPr>
              <w:t>2035年，新世纪产业园规划重点发展新能源新材料（锂电隔膜，塑膜，锂电负极材料，光伏组件电池，绿色光源等）、高端装备制造、电子信息制造等，其他产业为纺织行业、配套服务产业等。加快新材料高新产业园和电子信息产业园两大主题产业园建设，加速推进祥符收费站组团的基础设施建设。</w:t>
            </w:r>
          </w:p>
          <w:p w14:paraId="4E07C7EB">
            <w:pPr>
              <w:pStyle w:val="62"/>
              <w:bidi w:val="0"/>
            </w:pPr>
            <w:r>
              <w:rPr>
                <w:rFonts w:hint="default"/>
                <w:lang w:val="en-US" w:eastAsia="zh-CN"/>
              </w:rPr>
              <w:t>表1-</w:t>
            </w:r>
            <w:r>
              <w:rPr>
                <w:rFonts w:hint="eastAsia"/>
                <w:lang w:val="en-US" w:eastAsia="zh-CN"/>
              </w:rPr>
              <w:t>3</w:t>
            </w:r>
            <w:r>
              <w:rPr>
                <w:rFonts w:hint="default"/>
                <w:lang w:val="en-US" w:eastAsia="zh-CN"/>
              </w:rPr>
              <w:t xml:space="preserve"> </w:t>
            </w:r>
            <w:r>
              <w:rPr>
                <w:rFonts w:hint="eastAsia"/>
              </w:rPr>
              <w:t>江西高安高新技术产业园规划概况一览表</w:t>
            </w:r>
          </w:p>
          <w:tbl>
            <w:tblPr>
              <w:tblStyle w:val="4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0"/>
              <w:gridCol w:w="1846"/>
              <w:gridCol w:w="3364"/>
            </w:tblGrid>
            <w:tr w14:paraId="4FC33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9" w:type="pct"/>
                  <w:vAlign w:val="center"/>
                </w:tcPr>
                <w:p w14:paraId="4ACA8B8C">
                  <w:pPr>
                    <w:pStyle w:val="56"/>
                    <w:bidi w:val="0"/>
                    <w:rPr>
                      <w:color w:val="auto"/>
                    </w:rPr>
                  </w:pPr>
                  <w:r>
                    <w:rPr>
                      <w:rFonts w:hint="eastAsia"/>
                    </w:rPr>
                    <w:t>分区名称</w:t>
                  </w:r>
                </w:p>
              </w:tc>
              <w:tc>
                <w:tcPr>
                  <w:tcW w:w="1314" w:type="pct"/>
                  <w:vAlign w:val="center"/>
                </w:tcPr>
                <w:p w14:paraId="02C5A6F1">
                  <w:pPr>
                    <w:pStyle w:val="56"/>
                    <w:bidi w:val="0"/>
                    <w:rPr>
                      <w:color w:val="auto"/>
                    </w:rPr>
                  </w:pPr>
                  <w:r>
                    <w:rPr>
                      <w:rFonts w:hint="eastAsia"/>
                    </w:rPr>
                    <w:t>规划面积（</w:t>
                  </w:r>
                  <w:r>
                    <w:t>hm</w:t>
                  </w:r>
                  <w:r>
                    <w:rPr>
                      <w:vertAlign w:val="superscript"/>
                    </w:rPr>
                    <w:t>2</w:t>
                  </w:r>
                  <w:r>
                    <w:rPr>
                      <w:rFonts w:hint="eastAsia"/>
                    </w:rPr>
                    <w:t>）</w:t>
                  </w:r>
                </w:p>
              </w:tc>
              <w:tc>
                <w:tcPr>
                  <w:tcW w:w="2396" w:type="pct"/>
                  <w:vAlign w:val="center"/>
                </w:tcPr>
                <w:p w14:paraId="30F75FEF">
                  <w:pPr>
                    <w:pStyle w:val="56"/>
                    <w:bidi w:val="0"/>
                    <w:rPr>
                      <w:color w:val="auto"/>
                    </w:rPr>
                  </w:pPr>
                  <w:r>
                    <w:rPr>
                      <w:rFonts w:hint="eastAsia"/>
                    </w:rPr>
                    <w:t>产业布局</w:t>
                  </w:r>
                </w:p>
              </w:tc>
            </w:tr>
            <w:tr w14:paraId="54881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89" w:type="pct"/>
                  <w:vAlign w:val="center"/>
                </w:tcPr>
                <w:p w14:paraId="2DC2649B">
                  <w:pPr>
                    <w:pStyle w:val="56"/>
                    <w:bidi w:val="0"/>
                    <w:rPr>
                      <w:color w:val="auto"/>
                    </w:rPr>
                  </w:pPr>
                  <w:r>
                    <w:rPr>
                      <w:rFonts w:hint="eastAsia"/>
                    </w:rPr>
                    <w:t>新世纪产业园</w:t>
                  </w:r>
                </w:p>
              </w:tc>
              <w:tc>
                <w:tcPr>
                  <w:tcW w:w="1314" w:type="pct"/>
                  <w:vAlign w:val="center"/>
                </w:tcPr>
                <w:p w14:paraId="1FD9141E">
                  <w:pPr>
                    <w:pStyle w:val="56"/>
                    <w:bidi w:val="0"/>
                    <w:rPr>
                      <w:color w:val="auto"/>
                    </w:rPr>
                  </w:pPr>
                  <w:r>
                    <w:t>1444.80</w:t>
                  </w:r>
                </w:p>
              </w:tc>
              <w:tc>
                <w:tcPr>
                  <w:tcW w:w="2396" w:type="pct"/>
                  <w:vAlign w:val="center"/>
                </w:tcPr>
                <w:p w14:paraId="7B4D2C76">
                  <w:pPr>
                    <w:pStyle w:val="56"/>
                    <w:bidi w:val="0"/>
                    <w:jc w:val="left"/>
                    <w:rPr>
                      <w:color w:val="auto"/>
                    </w:rPr>
                  </w:pPr>
                  <w:r>
                    <w:rPr>
                      <w:rFonts w:hint="eastAsia"/>
                    </w:rPr>
                    <w:t>绿色光源、食品加工、高端装备制造（机械加工）、纺织行业、配套服务产业等</w:t>
                  </w:r>
                </w:p>
              </w:tc>
            </w:tr>
            <w:tr w14:paraId="53F4C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9" w:type="pct"/>
                  <w:vAlign w:val="center"/>
                </w:tcPr>
                <w:p w14:paraId="3188859A">
                  <w:pPr>
                    <w:pStyle w:val="56"/>
                    <w:bidi w:val="0"/>
                    <w:rPr>
                      <w:color w:val="auto"/>
                    </w:rPr>
                  </w:pPr>
                  <w:r>
                    <w:rPr>
                      <w:rFonts w:hint="eastAsia"/>
                    </w:rPr>
                    <w:t>建筑陶瓷产业园</w:t>
                  </w:r>
                </w:p>
              </w:tc>
              <w:tc>
                <w:tcPr>
                  <w:tcW w:w="1314" w:type="pct"/>
                  <w:vAlign w:val="center"/>
                </w:tcPr>
                <w:p w14:paraId="6F8A5340">
                  <w:pPr>
                    <w:pStyle w:val="56"/>
                    <w:bidi w:val="0"/>
                    <w:rPr>
                      <w:color w:val="auto"/>
                    </w:rPr>
                  </w:pPr>
                  <w:r>
                    <w:t>2408.42</w:t>
                  </w:r>
                </w:p>
              </w:tc>
              <w:tc>
                <w:tcPr>
                  <w:tcW w:w="2396" w:type="pct"/>
                  <w:vAlign w:val="center"/>
                </w:tcPr>
                <w:p w14:paraId="674ED57A">
                  <w:pPr>
                    <w:pStyle w:val="56"/>
                    <w:bidi w:val="0"/>
                    <w:rPr>
                      <w:color w:val="auto"/>
                    </w:rPr>
                  </w:pPr>
                  <w:r>
                    <w:rPr>
                      <w:rFonts w:hint="eastAsia"/>
                    </w:rPr>
                    <w:t>建筑陶瓷及其配套产业</w:t>
                  </w:r>
                </w:p>
              </w:tc>
            </w:tr>
            <w:tr w14:paraId="43873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89" w:type="pct"/>
                  <w:vAlign w:val="center"/>
                </w:tcPr>
                <w:p w14:paraId="3DACFFB4">
                  <w:pPr>
                    <w:pStyle w:val="56"/>
                    <w:bidi w:val="0"/>
                    <w:rPr>
                      <w:color w:val="auto"/>
                    </w:rPr>
                  </w:pPr>
                  <w:r>
                    <w:rPr>
                      <w:rFonts w:hint="eastAsia"/>
                    </w:rPr>
                    <w:t>建材环保产业园</w:t>
                  </w:r>
                </w:p>
              </w:tc>
              <w:tc>
                <w:tcPr>
                  <w:tcW w:w="1314" w:type="pct"/>
                  <w:vAlign w:val="center"/>
                </w:tcPr>
                <w:p w14:paraId="5B4A25A1">
                  <w:pPr>
                    <w:pStyle w:val="56"/>
                    <w:bidi w:val="0"/>
                    <w:rPr>
                      <w:color w:val="auto"/>
                    </w:rPr>
                  </w:pPr>
                  <w:r>
                    <w:t>43.25</w:t>
                  </w:r>
                </w:p>
              </w:tc>
              <w:tc>
                <w:tcPr>
                  <w:tcW w:w="2396" w:type="pct"/>
                  <w:vAlign w:val="center"/>
                </w:tcPr>
                <w:p w14:paraId="560DF83C">
                  <w:pPr>
                    <w:pStyle w:val="56"/>
                    <w:bidi w:val="0"/>
                    <w:rPr>
                      <w:color w:val="auto"/>
                    </w:rPr>
                  </w:pPr>
                  <w:r>
                    <w:rPr>
                      <w:rFonts w:hint="eastAsia"/>
                    </w:rPr>
                    <w:t>建材水泥产业</w:t>
                  </w:r>
                </w:p>
              </w:tc>
            </w:tr>
            <w:tr w14:paraId="6AE42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9" w:type="pct"/>
                  <w:vAlign w:val="center"/>
                </w:tcPr>
                <w:p w14:paraId="793491B5">
                  <w:pPr>
                    <w:pStyle w:val="56"/>
                    <w:bidi w:val="0"/>
                    <w:rPr>
                      <w:color w:val="auto"/>
                    </w:rPr>
                  </w:pPr>
                  <w:r>
                    <w:rPr>
                      <w:rFonts w:hint="eastAsia"/>
                    </w:rPr>
                    <w:t>合计</w:t>
                  </w:r>
                </w:p>
              </w:tc>
              <w:tc>
                <w:tcPr>
                  <w:tcW w:w="1314" w:type="pct"/>
                  <w:vAlign w:val="center"/>
                </w:tcPr>
                <w:p w14:paraId="551810E4">
                  <w:pPr>
                    <w:pStyle w:val="56"/>
                    <w:bidi w:val="0"/>
                    <w:rPr>
                      <w:color w:val="auto"/>
                    </w:rPr>
                  </w:pPr>
                  <w:r>
                    <w:t>3896.47</w:t>
                  </w:r>
                </w:p>
              </w:tc>
              <w:tc>
                <w:tcPr>
                  <w:tcW w:w="2396" w:type="pct"/>
                  <w:vAlign w:val="center"/>
                </w:tcPr>
                <w:p w14:paraId="01FAC862">
                  <w:pPr>
                    <w:pStyle w:val="56"/>
                    <w:bidi w:val="0"/>
                    <w:rPr>
                      <w:color w:val="auto"/>
                    </w:rPr>
                  </w:pPr>
                  <w:r>
                    <w:rPr>
                      <w:rFonts w:hint="eastAsia"/>
                    </w:rPr>
                    <w:t>/</w:t>
                  </w:r>
                </w:p>
              </w:tc>
            </w:tr>
          </w:tbl>
          <w:p w14:paraId="3B71F3DD">
            <w:pPr>
              <w:ind w:firstLine="480"/>
              <w:jc w:val="left"/>
              <w:rPr>
                <w:color w:val="FF0000"/>
              </w:rPr>
            </w:pPr>
            <w:r>
              <w:rPr>
                <w:rFonts w:hint="eastAsia"/>
              </w:rPr>
              <w:t>本项目位于新世纪产业园</w:t>
            </w:r>
            <w:r>
              <w:rPr>
                <w:kern w:val="0"/>
                <w:lang w:bidi="ar"/>
              </w:rPr>
              <w:t>祥符收费站组团</w:t>
            </w:r>
            <w:r>
              <w:rPr>
                <w:rFonts w:hint="eastAsia"/>
              </w:rPr>
              <w:t>，本项目</w:t>
            </w:r>
            <w:r>
              <w:rPr>
                <w:rFonts w:hint="eastAsia"/>
                <w:lang w:val="en-US" w:eastAsia="zh-CN"/>
              </w:rPr>
              <w:t>为</w:t>
            </w:r>
            <w:r>
              <w:rPr>
                <w:rFonts w:hint="eastAsia"/>
                <w:lang w:eastAsia="zh-CN"/>
              </w:rPr>
              <w:t>新型光伏发电折叠房屋、光伏预制装配式围墙、</w:t>
            </w:r>
            <w:r>
              <w:rPr>
                <w:rFonts w:hint="eastAsia"/>
                <w:lang w:val="en-US" w:eastAsia="zh-CN"/>
              </w:rPr>
              <w:t>ICF盖板、预制箱变基础、预制环网柜基础以及预制“小十</w:t>
            </w:r>
            <w:r>
              <w:rPr>
                <w:rFonts w:hint="eastAsia"/>
                <w:color w:val="auto"/>
                <w:lang w:val="en-US" w:eastAsia="zh-CN"/>
              </w:rPr>
              <w:t>件”</w:t>
            </w:r>
            <w:r>
              <w:rPr>
                <w:rFonts w:hint="eastAsia"/>
                <w:color w:val="FF0000"/>
                <w:lang w:val="en-US" w:eastAsia="zh-CN"/>
              </w:rPr>
              <w:t>，</w:t>
            </w:r>
            <w:r>
              <w:rPr>
                <w:rFonts w:hint="eastAsia"/>
                <w:color w:val="FF0000"/>
              </w:rPr>
              <w:t>属于</w:t>
            </w:r>
            <w:r>
              <w:rPr>
                <w:rFonts w:hint="eastAsia"/>
                <w:color w:val="FF0000"/>
                <w:lang w:eastAsia="zh-CN"/>
              </w:rPr>
              <w:t>砼结构构件制造</w:t>
            </w:r>
            <w:r>
              <w:rPr>
                <w:rFonts w:hint="eastAsia"/>
                <w:color w:val="FF0000"/>
                <w:lang w:val="en-US" w:eastAsia="zh-CN"/>
              </w:rPr>
              <w:t>等，作为光伏产业配套服务行业，同步根据项目初审表，项目</w:t>
            </w:r>
            <w:r>
              <w:rPr>
                <w:rFonts w:hint="eastAsia"/>
                <w:color w:val="FF0000"/>
              </w:rPr>
              <w:t>符合新世纪产业园区的产业定位。</w:t>
            </w:r>
          </w:p>
          <w:p w14:paraId="7ABBEE18">
            <w:pPr>
              <w:ind w:firstLine="480"/>
              <w:jc w:val="left"/>
              <w:rPr>
                <w:b/>
                <w:bCs/>
                <w:kern w:val="0"/>
                <w:lang w:bidi="ar"/>
              </w:rPr>
            </w:pPr>
            <w:r>
              <w:rPr>
                <w:rFonts w:hint="eastAsia"/>
                <w:b/>
                <w:bCs/>
              </w:rPr>
              <w:t>二、</w:t>
            </w:r>
            <w:r>
              <w:rPr>
                <w:rFonts w:hint="eastAsia"/>
                <w:b/>
                <w:bCs/>
                <w:lang w:val="en-US" w:eastAsia="zh-CN"/>
              </w:rPr>
              <w:t>与</w:t>
            </w:r>
            <w:r>
              <w:rPr>
                <w:b/>
                <w:bCs/>
                <w:kern w:val="0"/>
                <w:lang w:bidi="ar"/>
              </w:rPr>
              <w:t>《江西高安高新技术产业园区扩区调区规划环境影响报告书》</w:t>
            </w:r>
            <w:r>
              <w:rPr>
                <w:rFonts w:hint="eastAsia"/>
                <w:b/>
                <w:bCs/>
                <w:kern w:val="0"/>
                <w:lang w:bidi="ar"/>
              </w:rPr>
              <w:t>相符性分析</w:t>
            </w:r>
          </w:p>
          <w:p w14:paraId="7AC9E4D0">
            <w:pPr>
              <w:widowControl/>
              <w:ind w:firstLine="480"/>
              <w:jc w:val="left"/>
              <w:rPr>
                <w:rFonts w:ascii="宋体" w:hAnsi="宋体" w:cs="宋体"/>
                <w:kern w:val="0"/>
                <w:lang w:bidi="ar"/>
              </w:rPr>
            </w:pPr>
            <w:r>
              <w:rPr>
                <w:rFonts w:hint="eastAsia" w:ascii="宋体" w:hAnsi="宋体" w:cs="宋体"/>
                <w:kern w:val="0"/>
                <w:lang w:bidi="ar"/>
              </w:rPr>
              <w:t>根据《江西高安高新技术产业园区扩区调区规划环境影响报告书》，产业园设置了环境准入要求，本项目与其相符性分析见表</w:t>
            </w:r>
            <w:r>
              <w:rPr>
                <w:rFonts w:hint="eastAsia" w:ascii="宋体" w:hAnsi="宋体" w:cs="宋体"/>
                <w:kern w:val="0"/>
                <w:lang w:val="en-US" w:eastAsia="zh-CN" w:bidi="ar"/>
              </w:rPr>
              <w:t>1-4</w:t>
            </w:r>
            <w:r>
              <w:rPr>
                <w:rFonts w:hint="eastAsia" w:ascii="宋体" w:hAnsi="宋体" w:cs="宋体"/>
                <w:kern w:val="0"/>
                <w:lang w:bidi="ar"/>
              </w:rPr>
              <w:t>。</w:t>
            </w:r>
          </w:p>
          <w:p w14:paraId="7FF1E809">
            <w:pPr>
              <w:pStyle w:val="62"/>
              <w:bidi w:val="0"/>
            </w:pPr>
            <w:r>
              <w:rPr>
                <w:rFonts w:hint="default"/>
                <w:lang w:val="en-US" w:eastAsia="zh-CN"/>
              </w:rPr>
              <w:t>表1-</w:t>
            </w:r>
            <w:r>
              <w:rPr>
                <w:rFonts w:hint="eastAsia"/>
                <w:lang w:val="en-US" w:eastAsia="zh-CN"/>
              </w:rPr>
              <w:t>4</w:t>
            </w:r>
            <w:r>
              <w:rPr>
                <w:rFonts w:hint="default"/>
                <w:lang w:val="en-US" w:eastAsia="zh-CN"/>
              </w:rPr>
              <w:t xml:space="preserve"> </w:t>
            </w:r>
            <w:r>
              <w:rPr>
                <w:rFonts w:hint="eastAsia"/>
              </w:rPr>
              <w:t>与江西高安高新技术产业园生态环境准入清单相符性</w:t>
            </w:r>
          </w:p>
          <w:tbl>
            <w:tblPr>
              <w:tblStyle w:val="145"/>
              <w:tblW w:w="4982"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28" w:type="dxa"/>
                <w:left w:w="28" w:type="dxa"/>
                <w:bottom w:w="28" w:type="dxa"/>
                <w:right w:w="28" w:type="dxa"/>
              </w:tblCellMar>
            </w:tblPr>
            <w:tblGrid>
              <w:gridCol w:w="579"/>
              <w:gridCol w:w="828"/>
              <w:gridCol w:w="2801"/>
              <w:gridCol w:w="1902"/>
              <w:gridCol w:w="892"/>
            </w:tblGrid>
            <w:tr w14:paraId="1F5CE9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93" w:hRule="atLeast"/>
                <w:jc w:val="center"/>
              </w:trPr>
              <w:tc>
                <w:tcPr>
                  <w:tcW w:w="412" w:type="pct"/>
                  <w:tcBorders>
                    <w:tl2br w:val="nil"/>
                    <w:tr2bl w:val="nil"/>
                  </w:tcBorders>
                  <w:vAlign w:val="center"/>
                </w:tcPr>
                <w:p w14:paraId="5D9C86F5">
                  <w:pPr>
                    <w:pStyle w:val="56"/>
                    <w:bidi w:val="0"/>
                  </w:pPr>
                  <w:r>
                    <w:t>清单</w:t>
                  </w:r>
                </w:p>
                <w:p w14:paraId="08314CE0">
                  <w:pPr>
                    <w:pStyle w:val="56"/>
                    <w:bidi w:val="0"/>
                    <w:rPr>
                      <w:color w:val="auto"/>
                    </w:rPr>
                  </w:pPr>
                  <w:r>
                    <w:t>维度</w:t>
                  </w:r>
                </w:p>
              </w:tc>
              <w:tc>
                <w:tcPr>
                  <w:tcW w:w="591" w:type="pct"/>
                  <w:tcBorders>
                    <w:tl2br w:val="nil"/>
                    <w:tr2bl w:val="nil"/>
                  </w:tcBorders>
                  <w:vAlign w:val="center"/>
                </w:tcPr>
                <w:p w14:paraId="4518779D">
                  <w:pPr>
                    <w:pStyle w:val="56"/>
                    <w:bidi w:val="0"/>
                    <w:rPr>
                      <w:color w:val="auto"/>
                    </w:rPr>
                  </w:pPr>
                  <w:r>
                    <w:t>类别</w:t>
                  </w:r>
                </w:p>
              </w:tc>
              <w:tc>
                <w:tcPr>
                  <w:tcW w:w="2000" w:type="pct"/>
                  <w:tcBorders>
                    <w:tl2br w:val="nil"/>
                    <w:tr2bl w:val="nil"/>
                  </w:tcBorders>
                  <w:vAlign w:val="center"/>
                </w:tcPr>
                <w:p w14:paraId="3A876FAA">
                  <w:pPr>
                    <w:pStyle w:val="56"/>
                    <w:bidi w:val="0"/>
                    <w:rPr>
                      <w:color w:val="auto"/>
                    </w:rPr>
                  </w:pPr>
                  <w:r>
                    <w:t>准入内容</w:t>
                  </w:r>
                </w:p>
              </w:tc>
              <w:tc>
                <w:tcPr>
                  <w:tcW w:w="1358" w:type="pct"/>
                  <w:tcBorders>
                    <w:tl2br w:val="nil"/>
                    <w:tr2bl w:val="nil"/>
                  </w:tcBorders>
                  <w:vAlign w:val="center"/>
                </w:tcPr>
                <w:p w14:paraId="0928CA47">
                  <w:pPr>
                    <w:pStyle w:val="56"/>
                    <w:bidi w:val="0"/>
                    <w:rPr>
                      <w:color w:val="auto"/>
                    </w:rPr>
                  </w:pPr>
                  <w:r>
                    <w:rPr>
                      <w:rFonts w:hint="eastAsia"/>
                    </w:rPr>
                    <w:t>本项目情况</w:t>
                  </w:r>
                </w:p>
              </w:tc>
              <w:tc>
                <w:tcPr>
                  <w:tcW w:w="636" w:type="pct"/>
                  <w:tcBorders>
                    <w:tl2br w:val="nil"/>
                    <w:tr2bl w:val="nil"/>
                  </w:tcBorders>
                  <w:vAlign w:val="center"/>
                </w:tcPr>
                <w:p w14:paraId="37925EC4">
                  <w:pPr>
                    <w:pStyle w:val="56"/>
                    <w:bidi w:val="0"/>
                    <w:rPr>
                      <w:color w:val="auto"/>
                    </w:rPr>
                  </w:pPr>
                  <w:r>
                    <w:rPr>
                      <w:rFonts w:hint="eastAsia"/>
                    </w:rPr>
                    <w:t>是否相符</w:t>
                  </w:r>
                </w:p>
              </w:tc>
            </w:tr>
            <w:tr w14:paraId="56DF38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1624" w:hRule="atLeast"/>
                <w:jc w:val="center"/>
              </w:trPr>
              <w:tc>
                <w:tcPr>
                  <w:tcW w:w="412" w:type="pct"/>
                  <w:tcBorders>
                    <w:tl2br w:val="nil"/>
                    <w:tr2bl w:val="nil"/>
                  </w:tcBorders>
                  <w:vAlign w:val="center"/>
                </w:tcPr>
                <w:p w14:paraId="25D7E277">
                  <w:pPr>
                    <w:pStyle w:val="56"/>
                    <w:bidi w:val="0"/>
                    <w:rPr>
                      <w:color w:val="auto"/>
                    </w:rPr>
                  </w:pPr>
                  <w:r>
                    <w:t>空间布局约束</w:t>
                  </w:r>
                </w:p>
              </w:tc>
              <w:tc>
                <w:tcPr>
                  <w:tcW w:w="591" w:type="pct"/>
                  <w:tcBorders>
                    <w:tl2br w:val="nil"/>
                    <w:tr2bl w:val="nil"/>
                  </w:tcBorders>
                  <w:vAlign w:val="center"/>
                </w:tcPr>
                <w:p w14:paraId="29B3EB7A">
                  <w:pPr>
                    <w:pStyle w:val="56"/>
                    <w:bidi w:val="0"/>
                  </w:pPr>
                  <w:r>
                    <w:t>新世纪</w:t>
                  </w:r>
                </w:p>
                <w:p w14:paraId="5EDF488E">
                  <w:pPr>
                    <w:pStyle w:val="56"/>
                    <w:bidi w:val="0"/>
                    <w:rPr>
                      <w:color w:val="auto"/>
                    </w:rPr>
                  </w:pPr>
                  <w:r>
                    <w:t>产业园</w:t>
                  </w:r>
                </w:p>
              </w:tc>
              <w:tc>
                <w:tcPr>
                  <w:tcW w:w="2000" w:type="pct"/>
                  <w:tcBorders>
                    <w:tl2br w:val="nil"/>
                    <w:tr2bl w:val="nil"/>
                  </w:tcBorders>
                  <w:vAlign w:val="top"/>
                </w:tcPr>
                <w:p w14:paraId="5D64E4E9">
                  <w:pPr>
                    <w:pStyle w:val="56"/>
                    <w:bidi w:val="0"/>
                    <w:jc w:val="left"/>
                  </w:pPr>
                  <w:r>
                    <w:t>1、新世纪产业园祥符收费站组团地块占用的生态公益林面积未得到补偿和未调整土地功能前不得占用。</w:t>
                  </w:r>
                </w:p>
                <w:p w14:paraId="105ADB33">
                  <w:pPr>
                    <w:pStyle w:val="56"/>
                    <w:bidi w:val="0"/>
                    <w:jc w:val="left"/>
                  </w:pPr>
                  <w:r>
                    <w:t>2、新世纪产业园工业园核心组团距离锦江岸线1公里范围内禁止新建化工项目。</w:t>
                  </w:r>
                </w:p>
                <w:p w14:paraId="0639EFEE">
                  <w:pPr>
                    <w:pStyle w:val="56"/>
                    <w:bidi w:val="0"/>
                    <w:jc w:val="left"/>
                  </w:pPr>
                  <w:r>
                    <w:t>3、规划产业：</w:t>
                  </w:r>
                </w:p>
                <w:p w14:paraId="19591F52">
                  <w:pPr>
                    <w:pStyle w:val="56"/>
                    <w:bidi w:val="0"/>
                    <w:jc w:val="left"/>
                  </w:pPr>
                  <w:r>
                    <w:t>一、高端装备制造</w:t>
                  </w:r>
                </w:p>
                <w:p w14:paraId="1847035A">
                  <w:pPr>
                    <w:pStyle w:val="56"/>
                    <w:bidi w:val="0"/>
                    <w:jc w:val="left"/>
                  </w:pPr>
                  <w:r>
                    <w:t>新世纪产业园工业园核心组团、祥符收费站组团地块：选择性入园，不得新建涉五类重金属排放的含电镀工序的项目（配套工序的除外），严格控制企业废气无组织排放。</w:t>
                  </w:r>
                </w:p>
                <w:p w14:paraId="7DAC0857">
                  <w:pPr>
                    <w:pStyle w:val="56"/>
                    <w:bidi w:val="0"/>
                    <w:jc w:val="left"/>
                  </w:pPr>
                  <w:r>
                    <w:t>二、电子信息制造</w:t>
                  </w:r>
                </w:p>
                <w:p w14:paraId="0C5ACDCD">
                  <w:pPr>
                    <w:pStyle w:val="56"/>
                    <w:bidi w:val="0"/>
                    <w:jc w:val="left"/>
                  </w:pPr>
                  <w:r>
                    <w:t>新世纪产业园工业园核心组团、杨家湖组团地块：不得新建涉五类重金属排放的以电镀加工为主的项目（配套工序的除外）；严格控制废水排放量大的线路板企业，线路板规模不突破园区原有环评批复规模，不新增废水排放量。</w:t>
                  </w:r>
                </w:p>
                <w:p w14:paraId="39698ED4">
                  <w:pPr>
                    <w:pStyle w:val="56"/>
                    <w:bidi w:val="0"/>
                    <w:jc w:val="left"/>
                  </w:pPr>
                  <w:r>
                    <w:t>三、新能源新材料</w:t>
                  </w:r>
                </w:p>
                <w:p w14:paraId="599A61D6">
                  <w:pPr>
                    <w:pStyle w:val="56"/>
                    <w:bidi w:val="0"/>
                    <w:jc w:val="left"/>
                  </w:pPr>
                  <w:r>
                    <w:t>新世纪产业园工业园核心组团、杨家湖组团、祥符收费站组团地块：重点发展低污染、科技含量高的项目；严格控制新建污染较大的太阳能电池前端工序多晶硅或单晶硅生产；新世纪产业园不宜引进碳酸锂生产企业。</w:t>
                  </w:r>
                </w:p>
                <w:p w14:paraId="5C6DCB87">
                  <w:pPr>
                    <w:pStyle w:val="56"/>
                    <w:bidi w:val="0"/>
                    <w:jc w:val="left"/>
                  </w:pPr>
                  <w:r>
                    <w:t>四、纺织行业</w:t>
                  </w:r>
                </w:p>
                <w:p w14:paraId="21700132">
                  <w:pPr>
                    <w:pStyle w:val="56"/>
                    <w:bidi w:val="0"/>
                    <w:jc w:val="left"/>
                  </w:pPr>
                  <w:r>
                    <w:t>新世纪产业园工业园核心组团地块：选择性入园，不得新建废水排放量大的湿法印花、染色、水洗等印染工艺的纺织项目。</w:t>
                  </w:r>
                </w:p>
                <w:p w14:paraId="58F5CAB1">
                  <w:pPr>
                    <w:pStyle w:val="56"/>
                    <w:bidi w:val="0"/>
                    <w:jc w:val="left"/>
                  </w:pPr>
                  <w:r>
                    <w:t>五、其他</w:t>
                  </w:r>
                </w:p>
                <w:p w14:paraId="7EAE529B">
                  <w:pPr>
                    <w:pStyle w:val="56"/>
                    <w:bidi w:val="0"/>
                    <w:jc w:val="left"/>
                    <w:rPr>
                      <w:color w:val="auto"/>
                    </w:rPr>
                  </w:pPr>
                  <w:r>
                    <w:t>新世纪产业园工业园核心组团位于高安市主导风向的上风向，建议调整土地利用性质，慎重引入大气污染型工业项目，引导园区朝规划产业方向发展，注重引入与周边企业相协调的企业。限制废水排放量大的项目入园。产业园区今后不得新引进化工、皮革、冶炼等企业，现有化工、皮革、冶炼等企业优化改造升级，提高清洁生产水平或强化污染防治措施，确保不新增污染物，有条件的情况下适时启动现有化工、皮革、冶炼等企业的搬迁。</w:t>
                  </w:r>
                </w:p>
              </w:tc>
              <w:tc>
                <w:tcPr>
                  <w:tcW w:w="1358" w:type="pct"/>
                  <w:tcBorders>
                    <w:tl2br w:val="nil"/>
                    <w:tr2bl w:val="nil"/>
                  </w:tcBorders>
                  <w:vAlign w:val="center"/>
                </w:tcPr>
                <w:p w14:paraId="78377E98">
                  <w:pPr>
                    <w:pStyle w:val="56"/>
                    <w:bidi w:val="0"/>
                    <w:jc w:val="left"/>
                    <w:rPr>
                      <w:rFonts w:hint="eastAsia"/>
                      <w:lang w:eastAsia="zh-CN"/>
                    </w:rPr>
                  </w:pPr>
                  <w:r>
                    <w:rPr>
                      <w:rFonts w:hint="eastAsia"/>
                    </w:rPr>
                    <w:t>本项目</w:t>
                  </w:r>
                  <w:r>
                    <w:rPr>
                      <w:rFonts w:hint="eastAsia"/>
                      <w:lang w:eastAsia="zh-CN"/>
                    </w:rPr>
                    <w:t>位于</w:t>
                  </w:r>
                  <w:r>
                    <w:t>新世纪产业园祥符收费站组团地块</w:t>
                  </w:r>
                  <w:r>
                    <w:rPr>
                      <w:rFonts w:hint="eastAsia"/>
                      <w:lang w:eastAsia="zh-CN"/>
                    </w:rPr>
                    <w:t>，不占用生态公益林，</w:t>
                  </w:r>
                  <w:r>
                    <w:rPr>
                      <w:rFonts w:hint="eastAsia"/>
                      <w:lang w:val="en-US" w:eastAsia="zh-CN"/>
                    </w:rPr>
                    <w:t>并已获取</w:t>
                  </w:r>
                  <w:r>
                    <w:rPr>
                      <w:rFonts w:hint="eastAsia"/>
                      <w:color w:val="FF0000"/>
                      <w:highlight w:val="none"/>
                      <w:lang w:val="en-US" w:eastAsia="zh-CN"/>
                    </w:rPr>
                    <w:t>江西省林业局使用林地审核同意书，详见附件7，企业取得用地手续时场地已完成三通一平</w:t>
                  </w:r>
                  <w:r>
                    <w:rPr>
                      <w:rFonts w:hint="eastAsia"/>
                      <w:lang w:eastAsia="zh-CN"/>
                    </w:rPr>
                    <w:t>；</w:t>
                  </w:r>
                </w:p>
                <w:p w14:paraId="2B43C15C">
                  <w:pPr>
                    <w:pStyle w:val="56"/>
                    <w:bidi w:val="0"/>
                    <w:jc w:val="left"/>
                    <w:rPr>
                      <w:rFonts w:hint="eastAsia"/>
                      <w:lang w:eastAsia="zh-CN"/>
                    </w:rPr>
                  </w:pPr>
                  <w:r>
                    <w:rPr>
                      <w:rFonts w:hint="eastAsia"/>
                      <w:lang w:eastAsia="zh-CN"/>
                    </w:rPr>
                    <w:t>本项目为砼结构构件制造，不属于化工项目；</w:t>
                  </w:r>
                </w:p>
                <w:p w14:paraId="1B4CC525">
                  <w:pPr>
                    <w:pStyle w:val="56"/>
                    <w:bidi w:val="0"/>
                    <w:jc w:val="left"/>
                    <w:rPr>
                      <w:color w:val="auto"/>
                    </w:rPr>
                  </w:pPr>
                  <w:r>
                    <w:rPr>
                      <w:rFonts w:hint="eastAsia"/>
                      <w:lang w:eastAsia="zh-CN"/>
                    </w:rPr>
                    <w:t>本项目属于砼结构构件制造，不涉及五类重金属</w:t>
                  </w:r>
                  <w:r>
                    <w:rPr>
                      <w:rFonts w:hint="eastAsia"/>
                    </w:rPr>
                    <w:t>。</w:t>
                  </w:r>
                </w:p>
              </w:tc>
              <w:tc>
                <w:tcPr>
                  <w:tcW w:w="636" w:type="pct"/>
                  <w:tcBorders>
                    <w:tl2br w:val="nil"/>
                    <w:tr2bl w:val="nil"/>
                  </w:tcBorders>
                  <w:vAlign w:val="center"/>
                </w:tcPr>
                <w:p w14:paraId="2043E054">
                  <w:pPr>
                    <w:pStyle w:val="56"/>
                    <w:bidi w:val="0"/>
                    <w:rPr>
                      <w:color w:val="auto"/>
                    </w:rPr>
                  </w:pPr>
                  <w:r>
                    <w:rPr>
                      <w:rFonts w:hint="eastAsia"/>
                    </w:rPr>
                    <w:t>相符</w:t>
                  </w:r>
                </w:p>
              </w:tc>
            </w:tr>
            <w:tr w14:paraId="24D860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248" w:hRule="atLeast"/>
                <w:jc w:val="center"/>
              </w:trPr>
              <w:tc>
                <w:tcPr>
                  <w:tcW w:w="412" w:type="pct"/>
                  <w:vMerge w:val="restart"/>
                  <w:tcBorders>
                    <w:tl2br w:val="nil"/>
                    <w:tr2bl w:val="nil"/>
                  </w:tcBorders>
                  <w:vAlign w:val="center"/>
                </w:tcPr>
                <w:p w14:paraId="52C32EE0">
                  <w:pPr>
                    <w:pStyle w:val="56"/>
                    <w:bidi w:val="0"/>
                    <w:rPr>
                      <w:color w:val="auto"/>
                    </w:rPr>
                  </w:pPr>
                  <w:r>
                    <w:t>污染物排放管控</w:t>
                  </w:r>
                </w:p>
              </w:tc>
              <w:tc>
                <w:tcPr>
                  <w:tcW w:w="591" w:type="pct"/>
                  <w:tcBorders>
                    <w:tl2br w:val="nil"/>
                    <w:tr2bl w:val="nil"/>
                  </w:tcBorders>
                  <w:vAlign w:val="center"/>
                </w:tcPr>
                <w:p w14:paraId="7733108F">
                  <w:pPr>
                    <w:pStyle w:val="56"/>
                    <w:bidi w:val="0"/>
                    <w:rPr>
                      <w:color w:val="auto"/>
                    </w:rPr>
                  </w:pPr>
                  <w:r>
                    <w:t>现有源提标升级改造</w:t>
                  </w:r>
                </w:p>
              </w:tc>
              <w:tc>
                <w:tcPr>
                  <w:tcW w:w="2000" w:type="pct"/>
                  <w:tcBorders>
                    <w:tl2br w:val="nil"/>
                    <w:tr2bl w:val="nil"/>
                  </w:tcBorders>
                  <w:vAlign w:val="center"/>
                </w:tcPr>
                <w:p w14:paraId="1F534B5B">
                  <w:pPr>
                    <w:pStyle w:val="56"/>
                    <w:bidi w:val="0"/>
                    <w:jc w:val="left"/>
                    <w:rPr>
                      <w:color w:val="auto"/>
                    </w:rPr>
                  </w:pPr>
                  <w:r>
                    <w:t>现有企业提标改造或转型升级，不断提高清洁生产水平。</w:t>
                  </w:r>
                </w:p>
              </w:tc>
              <w:tc>
                <w:tcPr>
                  <w:tcW w:w="1358" w:type="pct"/>
                  <w:tcBorders>
                    <w:tl2br w:val="nil"/>
                    <w:tr2bl w:val="nil"/>
                  </w:tcBorders>
                  <w:vAlign w:val="center"/>
                </w:tcPr>
                <w:p w14:paraId="73D1AE51">
                  <w:pPr>
                    <w:pStyle w:val="56"/>
                    <w:bidi w:val="0"/>
                    <w:rPr>
                      <w:color w:val="auto"/>
                    </w:rPr>
                  </w:pPr>
                  <w:r>
                    <w:rPr>
                      <w:rFonts w:hint="eastAsia"/>
                    </w:rPr>
                    <w:t>清洁生产符合要求</w:t>
                  </w:r>
                </w:p>
              </w:tc>
              <w:tc>
                <w:tcPr>
                  <w:tcW w:w="636" w:type="pct"/>
                  <w:tcBorders>
                    <w:tl2br w:val="nil"/>
                    <w:tr2bl w:val="nil"/>
                  </w:tcBorders>
                  <w:vAlign w:val="center"/>
                </w:tcPr>
                <w:p w14:paraId="6529CC9D">
                  <w:pPr>
                    <w:pStyle w:val="56"/>
                    <w:bidi w:val="0"/>
                    <w:rPr>
                      <w:color w:val="auto"/>
                    </w:rPr>
                  </w:pPr>
                  <w:r>
                    <w:rPr>
                      <w:rFonts w:hint="eastAsia"/>
                    </w:rPr>
                    <w:t>相符</w:t>
                  </w:r>
                </w:p>
              </w:tc>
            </w:tr>
            <w:tr w14:paraId="5C3820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248" w:hRule="atLeast"/>
                <w:jc w:val="center"/>
              </w:trPr>
              <w:tc>
                <w:tcPr>
                  <w:tcW w:w="412" w:type="pct"/>
                  <w:vMerge w:val="continue"/>
                  <w:tcBorders>
                    <w:tl2br w:val="nil"/>
                    <w:tr2bl w:val="nil"/>
                  </w:tcBorders>
                  <w:vAlign w:val="center"/>
                </w:tcPr>
                <w:p w14:paraId="2913859B">
                  <w:pPr>
                    <w:pStyle w:val="56"/>
                    <w:spacing w:line="240" w:lineRule="auto"/>
                    <w:jc w:val="center"/>
                    <w:rPr>
                      <w:color w:val="auto"/>
                    </w:rPr>
                  </w:pPr>
                </w:p>
              </w:tc>
              <w:tc>
                <w:tcPr>
                  <w:tcW w:w="591" w:type="pct"/>
                  <w:tcBorders>
                    <w:tl2br w:val="nil"/>
                    <w:tr2bl w:val="nil"/>
                  </w:tcBorders>
                  <w:vAlign w:val="center"/>
                </w:tcPr>
                <w:p w14:paraId="2B69774B">
                  <w:pPr>
                    <w:pStyle w:val="56"/>
                    <w:bidi w:val="0"/>
                    <w:rPr>
                      <w:color w:val="auto"/>
                    </w:rPr>
                  </w:pPr>
                  <w:r>
                    <w:t>新增源等量或倍量替代</w:t>
                  </w:r>
                </w:p>
              </w:tc>
              <w:tc>
                <w:tcPr>
                  <w:tcW w:w="2000" w:type="pct"/>
                  <w:tcBorders>
                    <w:tl2br w:val="nil"/>
                    <w:tr2bl w:val="nil"/>
                  </w:tcBorders>
                  <w:vAlign w:val="center"/>
                </w:tcPr>
                <w:p w14:paraId="001C357D">
                  <w:pPr>
                    <w:pStyle w:val="56"/>
                    <w:bidi w:val="0"/>
                    <w:jc w:val="left"/>
                    <w:rPr>
                      <w:rFonts w:eastAsiaTheme="minorEastAsia"/>
                      <w:color w:val="auto"/>
                    </w:rPr>
                  </w:pPr>
                  <w:r>
                    <w:t>区域环境质量达标，新建、改扩建项目保证区域环境质量维持基本稳定；新建、扩建、改建项目污染物排放量符合总量控制指标要求。2025年，氮氧化物、挥发性有机物、化学需氧量、氨氮重点工程减排量分别达到“十四五”减排目标。</w:t>
                  </w:r>
                </w:p>
              </w:tc>
              <w:tc>
                <w:tcPr>
                  <w:tcW w:w="1358" w:type="pct"/>
                  <w:tcBorders>
                    <w:tl2br w:val="nil"/>
                    <w:tr2bl w:val="nil"/>
                  </w:tcBorders>
                  <w:vAlign w:val="center"/>
                </w:tcPr>
                <w:p w14:paraId="06926FC3">
                  <w:pPr>
                    <w:pStyle w:val="56"/>
                    <w:bidi w:val="0"/>
                    <w:rPr>
                      <w:color w:val="auto"/>
                    </w:rPr>
                  </w:pPr>
                  <w:r>
                    <w:rPr>
                      <w:rFonts w:hint="eastAsia"/>
                      <w:lang w:eastAsia="zh-CN"/>
                    </w:rPr>
                    <w:t>项目</w:t>
                  </w:r>
                  <w:r>
                    <w:rPr>
                      <w:rFonts w:hint="eastAsia"/>
                    </w:rPr>
                    <w:t>总量满足要求</w:t>
                  </w:r>
                </w:p>
              </w:tc>
              <w:tc>
                <w:tcPr>
                  <w:tcW w:w="636" w:type="pct"/>
                  <w:tcBorders>
                    <w:tl2br w:val="nil"/>
                    <w:tr2bl w:val="nil"/>
                  </w:tcBorders>
                  <w:vAlign w:val="center"/>
                </w:tcPr>
                <w:p w14:paraId="6D64AED9">
                  <w:pPr>
                    <w:pStyle w:val="56"/>
                    <w:bidi w:val="0"/>
                    <w:rPr>
                      <w:color w:val="auto"/>
                    </w:rPr>
                  </w:pPr>
                  <w:r>
                    <w:rPr>
                      <w:rFonts w:hint="eastAsia"/>
                    </w:rPr>
                    <w:t>相符</w:t>
                  </w:r>
                </w:p>
              </w:tc>
            </w:tr>
            <w:tr w14:paraId="6D1067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248" w:hRule="atLeast"/>
                <w:jc w:val="center"/>
              </w:trPr>
              <w:tc>
                <w:tcPr>
                  <w:tcW w:w="412" w:type="pct"/>
                  <w:vMerge w:val="continue"/>
                  <w:tcBorders>
                    <w:tl2br w:val="nil"/>
                    <w:tr2bl w:val="nil"/>
                  </w:tcBorders>
                  <w:vAlign w:val="center"/>
                </w:tcPr>
                <w:p w14:paraId="3C8BB703">
                  <w:pPr>
                    <w:pStyle w:val="56"/>
                    <w:spacing w:line="240" w:lineRule="auto"/>
                    <w:jc w:val="center"/>
                    <w:rPr>
                      <w:color w:val="auto"/>
                    </w:rPr>
                  </w:pPr>
                </w:p>
              </w:tc>
              <w:tc>
                <w:tcPr>
                  <w:tcW w:w="591" w:type="pct"/>
                  <w:tcBorders>
                    <w:tl2br w:val="nil"/>
                    <w:tr2bl w:val="nil"/>
                  </w:tcBorders>
                  <w:vAlign w:val="center"/>
                </w:tcPr>
                <w:p w14:paraId="3A1C3B67">
                  <w:pPr>
                    <w:pStyle w:val="56"/>
                    <w:bidi w:val="0"/>
                    <w:rPr>
                      <w:color w:val="auto"/>
                    </w:rPr>
                  </w:pPr>
                  <w:r>
                    <w:t>新增源排放标准限值</w:t>
                  </w:r>
                </w:p>
              </w:tc>
              <w:tc>
                <w:tcPr>
                  <w:tcW w:w="2000" w:type="pct"/>
                  <w:tcBorders>
                    <w:tl2br w:val="nil"/>
                    <w:tr2bl w:val="nil"/>
                  </w:tcBorders>
                  <w:vAlign w:val="center"/>
                </w:tcPr>
                <w:p w14:paraId="59A723EF">
                  <w:pPr>
                    <w:pStyle w:val="56"/>
                    <w:bidi w:val="0"/>
                    <w:jc w:val="left"/>
                    <w:rPr>
                      <w:color w:val="auto"/>
                    </w:rPr>
                  </w:pPr>
                  <w:r>
                    <w:t>新建、改建、扩建排放废水的项目，废水必须经预处理达到园区污水处理厂接管要求，其中一类污染物需在车间或污染治理设施排口处达标；新建、改建、扩建污水集中处理设施的出水水质应当达到《城镇污水处理厂污染物排放标准》一级A标准。严格控制五类重金属外排。</w:t>
                  </w:r>
                </w:p>
              </w:tc>
              <w:tc>
                <w:tcPr>
                  <w:tcW w:w="1358" w:type="pct"/>
                  <w:tcBorders>
                    <w:tl2br w:val="nil"/>
                    <w:tr2bl w:val="nil"/>
                  </w:tcBorders>
                  <w:vAlign w:val="center"/>
                </w:tcPr>
                <w:p w14:paraId="63C80F72">
                  <w:pPr>
                    <w:pStyle w:val="56"/>
                    <w:bidi w:val="0"/>
                    <w:jc w:val="left"/>
                    <w:rPr>
                      <w:color w:val="auto"/>
                    </w:rPr>
                  </w:pPr>
                  <w:r>
                    <w:rPr>
                      <w:rFonts w:hint="eastAsia"/>
                    </w:rPr>
                    <w:t>本项目不属于排水项目</w:t>
                  </w:r>
                </w:p>
              </w:tc>
              <w:tc>
                <w:tcPr>
                  <w:tcW w:w="636" w:type="pct"/>
                  <w:tcBorders>
                    <w:tl2br w:val="nil"/>
                    <w:tr2bl w:val="nil"/>
                  </w:tcBorders>
                  <w:vAlign w:val="center"/>
                </w:tcPr>
                <w:p w14:paraId="3C0389BA">
                  <w:pPr>
                    <w:pStyle w:val="56"/>
                    <w:bidi w:val="0"/>
                    <w:rPr>
                      <w:color w:val="auto"/>
                    </w:rPr>
                  </w:pPr>
                  <w:r>
                    <w:rPr>
                      <w:rFonts w:hint="eastAsia"/>
                    </w:rPr>
                    <w:t>相符</w:t>
                  </w:r>
                </w:p>
              </w:tc>
            </w:tr>
            <w:tr w14:paraId="731CA2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248" w:hRule="atLeast"/>
                <w:jc w:val="center"/>
              </w:trPr>
              <w:tc>
                <w:tcPr>
                  <w:tcW w:w="412" w:type="pct"/>
                  <w:vMerge w:val="continue"/>
                  <w:tcBorders>
                    <w:tl2br w:val="nil"/>
                    <w:tr2bl w:val="nil"/>
                  </w:tcBorders>
                  <w:vAlign w:val="center"/>
                </w:tcPr>
                <w:p w14:paraId="3A38B5CD">
                  <w:pPr>
                    <w:pStyle w:val="56"/>
                    <w:spacing w:line="240" w:lineRule="auto"/>
                    <w:jc w:val="center"/>
                    <w:rPr>
                      <w:color w:val="auto"/>
                    </w:rPr>
                  </w:pPr>
                </w:p>
              </w:tc>
              <w:tc>
                <w:tcPr>
                  <w:tcW w:w="591" w:type="pct"/>
                  <w:tcBorders>
                    <w:tl2br w:val="nil"/>
                    <w:tr2bl w:val="nil"/>
                  </w:tcBorders>
                  <w:vAlign w:val="center"/>
                </w:tcPr>
                <w:p w14:paraId="16BFD743">
                  <w:pPr>
                    <w:pStyle w:val="56"/>
                    <w:bidi w:val="0"/>
                    <w:rPr>
                      <w:color w:val="auto"/>
                    </w:rPr>
                  </w:pPr>
                  <w:r>
                    <w:t>污染物排放绩效水平准入要求</w:t>
                  </w:r>
                </w:p>
              </w:tc>
              <w:tc>
                <w:tcPr>
                  <w:tcW w:w="2000" w:type="pct"/>
                  <w:tcBorders>
                    <w:tl2br w:val="nil"/>
                    <w:tr2bl w:val="nil"/>
                  </w:tcBorders>
                  <w:vAlign w:val="center"/>
                </w:tcPr>
                <w:p w14:paraId="2521E91F">
                  <w:pPr>
                    <w:pStyle w:val="56"/>
                    <w:bidi w:val="0"/>
                    <w:jc w:val="left"/>
                    <w:rPr>
                      <w:color w:val="auto"/>
                    </w:rPr>
                  </w:pPr>
                  <w:r>
                    <w:t>污染物排放应达到相应排放标准，污染物排放绩效水平应达到良好水平。水泥企业废气排放执行《水泥工业大气污染物排放标准》（GB4915-2013）表2中污染物特别排放限值。</w:t>
                  </w:r>
                </w:p>
              </w:tc>
              <w:tc>
                <w:tcPr>
                  <w:tcW w:w="1358" w:type="pct"/>
                  <w:tcBorders>
                    <w:tl2br w:val="nil"/>
                    <w:tr2bl w:val="nil"/>
                  </w:tcBorders>
                  <w:vAlign w:val="center"/>
                </w:tcPr>
                <w:p w14:paraId="3B2A3FB0">
                  <w:pPr>
                    <w:pStyle w:val="56"/>
                    <w:bidi w:val="0"/>
                    <w:jc w:val="left"/>
                    <w:rPr>
                      <w:rFonts w:hint="eastAsia" w:eastAsia="宋体"/>
                      <w:color w:val="auto"/>
                      <w:lang w:eastAsia="zh-CN"/>
                    </w:rPr>
                  </w:pPr>
                  <w:r>
                    <w:rPr>
                      <w:rFonts w:hint="eastAsia"/>
                    </w:rPr>
                    <w:t>本项目</w:t>
                  </w:r>
                  <w:r>
                    <w:t>污染物排放达到相应排放标准</w:t>
                  </w:r>
                  <w:r>
                    <w:rPr>
                      <w:rFonts w:hint="eastAsia"/>
                      <w:lang w:val="en-US" w:eastAsia="zh-CN"/>
                    </w:rPr>
                    <w:t>要求</w:t>
                  </w:r>
                  <w:r>
                    <w:t>，污染物排放绩效水平达到良好水平</w:t>
                  </w:r>
                  <w:r>
                    <w:rPr>
                      <w:rFonts w:hint="eastAsia"/>
                      <w:lang w:eastAsia="zh-CN"/>
                    </w:rPr>
                    <w:t>。</w:t>
                  </w:r>
                </w:p>
              </w:tc>
              <w:tc>
                <w:tcPr>
                  <w:tcW w:w="636" w:type="pct"/>
                  <w:tcBorders>
                    <w:tl2br w:val="nil"/>
                    <w:tr2bl w:val="nil"/>
                  </w:tcBorders>
                  <w:vAlign w:val="center"/>
                </w:tcPr>
                <w:p w14:paraId="2E114012">
                  <w:pPr>
                    <w:pStyle w:val="56"/>
                    <w:bidi w:val="0"/>
                    <w:rPr>
                      <w:color w:val="auto"/>
                    </w:rPr>
                  </w:pPr>
                  <w:r>
                    <w:rPr>
                      <w:rFonts w:hint="eastAsia"/>
                    </w:rPr>
                    <w:t>相符</w:t>
                  </w:r>
                </w:p>
              </w:tc>
            </w:tr>
            <w:tr w14:paraId="0E5A0C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248" w:hRule="atLeast"/>
                <w:jc w:val="center"/>
              </w:trPr>
              <w:tc>
                <w:tcPr>
                  <w:tcW w:w="412" w:type="pct"/>
                  <w:vMerge w:val="restart"/>
                  <w:tcBorders>
                    <w:tl2br w:val="nil"/>
                    <w:tr2bl w:val="nil"/>
                  </w:tcBorders>
                  <w:vAlign w:val="center"/>
                </w:tcPr>
                <w:p w14:paraId="187423F4">
                  <w:pPr>
                    <w:pStyle w:val="56"/>
                    <w:bidi w:val="0"/>
                    <w:rPr>
                      <w:color w:val="auto"/>
                    </w:rPr>
                  </w:pPr>
                  <w:r>
                    <w:t>环境风险防控</w:t>
                  </w:r>
                </w:p>
              </w:tc>
              <w:tc>
                <w:tcPr>
                  <w:tcW w:w="591" w:type="pct"/>
                  <w:tcBorders>
                    <w:tl2br w:val="nil"/>
                    <w:tr2bl w:val="nil"/>
                  </w:tcBorders>
                  <w:vAlign w:val="center"/>
                </w:tcPr>
                <w:p w14:paraId="7992E61C">
                  <w:pPr>
                    <w:pStyle w:val="56"/>
                    <w:bidi w:val="0"/>
                    <w:rPr>
                      <w:color w:val="auto"/>
                    </w:rPr>
                  </w:pPr>
                  <w:r>
                    <w:t>用地环境风险防控要求</w:t>
                  </w:r>
                </w:p>
              </w:tc>
              <w:tc>
                <w:tcPr>
                  <w:tcW w:w="2000" w:type="pct"/>
                  <w:tcBorders>
                    <w:tl2br w:val="nil"/>
                    <w:tr2bl w:val="nil"/>
                  </w:tcBorders>
                  <w:vAlign w:val="center"/>
                </w:tcPr>
                <w:p w14:paraId="44FC5A44">
                  <w:pPr>
                    <w:pStyle w:val="56"/>
                    <w:bidi w:val="0"/>
                    <w:jc w:val="left"/>
                    <w:rPr>
                      <w:color w:val="auto"/>
                    </w:rPr>
                  </w:pPr>
                  <w:r>
                    <w:t>区内部分紧邻规划居住用地等环境敏感目标的工业用地，严格限制涉及使用剧毒化学品的企业进入。</w:t>
                  </w:r>
                </w:p>
              </w:tc>
              <w:tc>
                <w:tcPr>
                  <w:tcW w:w="1358" w:type="pct"/>
                  <w:tcBorders>
                    <w:tl2br w:val="nil"/>
                    <w:tr2bl w:val="nil"/>
                  </w:tcBorders>
                  <w:vAlign w:val="center"/>
                </w:tcPr>
                <w:p w14:paraId="362741F1">
                  <w:pPr>
                    <w:pStyle w:val="56"/>
                    <w:bidi w:val="0"/>
                    <w:jc w:val="left"/>
                    <w:rPr>
                      <w:rFonts w:hint="eastAsia" w:eastAsia="宋体"/>
                      <w:color w:val="auto"/>
                      <w:lang w:eastAsia="zh-CN"/>
                    </w:rPr>
                  </w:pPr>
                  <w:r>
                    <w:rPr>
                      <w:rFonts w:hint="eastAsia"/>
                    </w:rPr>
                    <w:t>距离本项目最近的敏感目标</w:t>
                  </w:r>
                  <w:r>
                    <w:rPr>
                      <w:rFonts w:hint="eastAsia"/>
                      <w:lang w:val="en-US" w:eastAsia="zh-CN"/>
                    </w:rPr>
                    <w:t>480</w:t>
                  </w:r>
                  <w:r>
                    <w:rPr>
                      <w:rFonts w:hint="eastAsia"/>
                    </w:rPr>
                    <w:t>m，不紧邻</w:t>
                  </w:r>
                  <w:r>
                    <w:rPr>
                      <w:rFonts w:hint="eastAsia"/>
                      <w:lang w:eastAsia="zh-CN"/>
                    </w:rPr>
                    <w:t>。</w:t>
                  </w:r>
                </w:p>
              </w:tc>
              <w:tc>
                <w:tcPr>
                  <w:tcW w:w="636" w:type="pct"/>
                  <w:tcBorders>
                    <w:tl2br w:val="nil"/>
                    <w:tr2bl w:val="nil"/>
                  </w:tcBorders>
                  <w:vAlign w:val="center"/>
                </w:tcPr>
                <w:p w14:paraId="352C5EF6">
                  <w:pPr>
                    <w:pStyle w:val="56"/>
                    <w:bidi w:val="0"/>
                    <w:rPr>
                      <w:color w:val="auto"/>
                    </w:rPr>
                  </w:pPr>
                  <w:r>
                    <w:rPr>
                      <w:rFonts w:hint="eastAsia"/>
                    </w:rPr>
                    <w:t>相符</w:t>
                  </w:r>
                </w:p>
              </w:tc>
            </w:tr>
            <w:tr w14:paraId="472E42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248" w:hRule="atLeast"/>
                <w:jc w:val="center"/>
              </w:trPr>
              <w:tc>
                <w:tcPr>
                  <w:tcW w:w="412" w:type="pct"/>
                  <w:vMerge w:val="continue"/>
                  <w:tcBorders>
                    <w:tl2br w:val="nil"/>
                    <w:tr2bl w:val="nil"/>
                  </w:tcBorders>
                  <w:vAlign w:val="center"/>
                </w:tcPr>
                <w:p w14:paraId="675E2F6D">
                  <w:pPr>
                    <w:pStyle w:val="56"/>
                    <w:spacing w:line="240" w:lineRule="auto"/>
                    <w:jc w:val="center"/>
                    <w:rPr>
                      <w:color w:val="auto"/>
                    </w:rPr>
                  </w:pPr>
                </w:p>
              </w:tc>
              <w:tc>
                <w:tcPr>
                  <w:tcW w:w="591" w:type="pct"/>
                  <w:tcBorders>
                    <w:tl2br w:val="nil"/>
                    <w:tr2bl w:val="nil"/>
                  </w:tcBorders>
                  <w:vAlign w:val="center"/>
                </w:tcPr>
                <w:p w14:paraId="2FC085FD">
                  <w:pPr>
                    <w:pStyle w:val="56"/>
                    <w:bidi w:val="0"/>
                    <w:rPr>
                      <w:color w:val="auto"/>
                    </w:rPr>
                  </w:pPr>
                  <w:r>
                    <w:t>园区环境风险防控要求</w:t>
                  </w:r>
                </w:p>
              </w:tc>
              <w:tc>
                <w:tcPr>
                  <w:tcW w:w="2000" w:type="pct"/>
                  <w:tcBorders>
                    <w:tl2br w:val="nil"/>
                    <w:tr2bl w:val="nil"/>
                  </w:tcBorders>
                  <w:vAlign w:val="center"/>
                </w:tcPr>
                <w:p w14:paraId="77BA3B72">
                  <w:pPr>
                    <w:pStyle w:val="56"/>
                    <w:bidi w:val="0"/>
                    <w:jc w:val="left"/>
                    <w:rPr>
                      <w:color w:val="auto"/>
                    </w:rPr>
                  </w:pPr>
                  <w:r>
                    <w:t>紧邻居住、行政等环境敏感点的工业用地，禁止新建环境风险等级高的建设项目。园区应建立三级环境风险防控体系。上轮规划提出的在新世纪产业园地块二（杨家湖组团）及地块三（祥符收费站组团）废水收集管网提升泵址处合理设置事故废水收集池本次规划环评建议继续实施。</w:t>
                  </w:r>
                </w:p>
              </w:tc>
              <w:tc>
                <w:tcPr>
                  <w:tcW w:w="1358" w:type="pct"/>
                  <w:tcBorders>
                    <w:tl2br w:val="nil"/>
                    <w:tr2bl w:val="nil"/>
                  </w:tcBorders>
                  <w:shd w:val="clear" w:color="auto" w:fill="auto"/>
                  <w:vAlign w:val="center"/>
                </w:tcPr>
                <w:p w14:paraId="7C773B1E">
                  <w:pPr>
                    <w:pStyle w:val="56"/>
                    <w:bidi w:val="0"/>
                    <w:jc w:val="left"/>
                    <w:rPr>
                      <w:rFonts w:hint="eastAsia" w:eastAsia="宋体"/>
                      <w:color w:val="auto"/>
                      <w:lang w:eastAsia="zh-CN"/>
                    </w:rPr>
                  </w:pPr>
                  <w:r>
                    <w:rPr>
                      <w:rFonts w:hint="eastAsia"/>
                    </w:rPr>
                    <w:t>距离本项目最近的敏感目标</w:t>
                  </w:r>
                  <w:r>
                    <w:rPr>
                      <w:rFonts w:hint="eastAsia"/>
                      <w:lang w:val="en-US" w:eastAsia="zh-CN"/>
                    </w:rPr>
                    <w:t>480</w:t>
                  </w:r>
                  <w:r>
                    <w:rPr>
                      <w:rFonts w:hint="eastAsia"/>
                    </w:rPr>
                    <w:t>m，不紧邻</w:t>
                  </w:r>
                  <w:r>
                    <w:rPr>
                      <w:rFonts w:hint="eastAsia"/>
                      <w:lang w:eastAsia="zh-CN"/>
                    </w:rPr>
                    <w:t>。</w:t>
                  </w:r>
                </w:p>
              </w:tc>
              <w:tc>
                <w:tcPr>
                  <w:tcW w:w="636" w:type="pct"/>
                  <w:tcBorders>
                    <w:tl2br w:val="nil"/>
                    <w:tr2bl w:val="nil"/>
                  </w:tcBorders>
                  <w:shd w:val="clear" w:color="auto" w:fill="auto"/>
                  <w:vAlign w:val="center"/>
                </w:tcPr>
                <w:p w14:paraId="1A9FC020">
                  <w:pPr>
                    <w:pStyle w:val="56"/>
                    <w:bidi w:val="0"/>
                    <w:rPr>
                      <w:color w:val="auto"/>
                    </w:rPr>
                  </w:pPr>
                  <w:r>
                    <w:rPr>
                      <w:rFonts w:hint="eastAsia"/>
                    </w:rPr>
                    <w:t>相符</w:t>
                  </w:r>
                </w:p>
              </w:tc>
            </w:tr>
            <w:tr w14:paraId="73D485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248" w:hRule="atLeast"/>
                <w:jc w:val="center"/>
              </w:trPr>
              <w:tc>
                <w:tcPr>
                  <w:tcW w:w="412" w:type="pct"/>
                  <w:vMerge w:val="continue"/>
                  <w:tcBorders>
                    <w:tl2br w:val="nil"/>
                    <w:tr2bl w:val="nil"/>
                  </w:tcBorders>
                  <w:vAlign w:val="center"/>
                </w:tcPr>
                <w:p w14:paraId="7E7F29C8">
                  <w:pPr>
                    <w:pStyle w:val="56"/>
                    <w:spacing w:line="240" w:lineRule="auto"/>
                    <w:jc w:val="center"/>
                    <w:rPr>
                      <w:color w:val="auto"/>
                    </w:rPr>
                  </w:pPr>
                </w:p>
              </w:tc>
              <w:tc>
                <w:tcPr>
                  <w:tcW w:w="591" w:type="pct"/>
                  <w:tcBorders>
                    <w:tl2br w:val="nil"/>
                    <w:tr2bl w:val="nil"/>
                  </w:tcBorders>
                  <w:vAlign w:val="center"/>
                </w:tcPr>
                <w:p w14:paraId="41ABFCA0">
                  <w:pPr>
                    <w:pStyle w:val="56"/>
                    <w:bidi w:val="0"/>
                    <w:rPr>
                      <w:color w:val="auto"/>
                    </w:rPr>
                  </w:pPr>
                  <w:r>
                    <w:t>企业环境风险防控要求</w:t>
                  </w:r>
                </w:p>
              </w:tc>
              <w:tc>
                <w:tcPr>
                  <w:tcW w:w="2000" w:type="pct"/>
                  <w:tcBorders>
                    <w:tl2br w:val="nil"/>
                    <w:tr2bl w:val="nil"/>
                  </w:tcBorders>
                  <w:vAlign w:val="center"/>
                </w:tcPr>
                <w:p w14:paraId="5F4641B0">
                  <w:pPr>
                    <w:pStyle w:val="56"/>
                    <w:bidi w:val="0"/>
                    <w:jc w:val="left"/>
                    <w:rPr>
                      <w:color w:val="auto"/>
                    </w:rPr>
                  </w:pPr>
                  <w:r>
                    <w:t>新增或改扩建存在环境风险的项目，在建设项目环评阶段须重点开展环境风险评价，与项目周边环境敏感目标之前控制合理的风险控制距离，提出并落实风险防范措施及应急联动要求，编制应急预案，并与园区应急预案联动。</w:t>
                  </w:r>
                </w:p>
              </w:tc>
              <w:tc>
                <w:tcPr>
                  <w:tcW w:w="1358" w:type="pct"/>
                  <w:tcBorders>
                    <w:tl2br w:val="nil"/>
                    <w:tr2bl w:val="nil"/>
                  </w:tcBorders>
                  <w:vAlign w:val="center"/>
                </w:tcPr>
                <w:p w14:paraId="002464DA">
                  <w:pPr>
                    <w:pStyle w:val="56"/>
                    <w:bidi w:val="0"/>
                    <w:jc w:val="left"/>
                    <w:rPr>
                      <w:rFonts w:hint="eastAsia" w:eastAsia="宋体"/>
                      <w:color w:val="auto"/>
                      <w:lang w:eastAsia="zh-CN"/>
                    </w:rPr>
                  </w:pPr>
                  <w:r>
                    <w:rPr>
                      <w:rFonts w:hint="eastAsia"/>
                    </w:rPr>
                    <w:t>本项目危险物质数量与临界量比值Q＜1，无需进行专项评价</w:t>
                  </w:r>
                  <w:r>
                    <w:rPr>
                      <w:rFonts w:hint="eastAsia"/>
                      <w:lang w:eastAsia="zh-CN"/>
                    </w:rPr>
                    <w:t>。</w:t>
                  </w:r>
                </w:p>
              </w:tc>
              <w:tc>
                <w:tcPr>
                  <w:tcW w:w="636" w:type="pct"/>
                  <w:tcBorders>
                    <w:tl2br w:val="nil"/>
                    <w:tr2bl w:val="nil"/>
                  </w:tcBorders>
                  <w:vAlign w:val="center"/>
                </w:tcPr>
                <w:p w14:paraId="1683F383">
                  <w:pPr>
                    <w:pStyle w:val="56"/>
                    <w:bidi w:val="0"/>
                    <w:rPr>
                      <w:color w:val="auto"/>
                    </w:rPr>
                  </w:pPr>
                  <w:r>
                    <w:rPr>
                      <w:rFonts w:hint="eastAsia"/>
                    </w:rPr>
                    <w:t>相符</w:t>
                  </w:r>
                </w:p>
              </w:tc>
            </w:tr>
            <w:tr w14:paraId="138BF3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248" w:hRule="atLeast"/>
                <w:jc w:val="center"/>
              </w:trPr>
              <w:tc>
                <w:tcPr>
                  <w:tcW w:w="412" w:type="pct"/>
                  <w:vMerge w:val="restart"/>
                  <w:tcBorders>
                    <w:tl2br w:val="nil"/>
                    <w:tr2bl w:val="nil"/>
                  </w:tcBorders>
                  <w:vAlign w:val="center"/>
                </w:tcPr>
                <w:p w14:paraId="3C08FDD7">
                  <w:pPr>
                    <w:pStyle w:val="56"/>
                    <w:bidi w:val="0"/>
                  </w:pPr>
                </w:p>
                <w:p w14:paraId="41CC7571">
                  <w:pPr>
                    <w:pStyle w:val="56"/>
                    <w:bidi w:val="0"/>
                  </w:pPr>
                  <w:r>
                    <w:t>资源开发利用</w:t>
                  </w:r>
                </w:p>
                <w:p w14:paraId="2198548B">
                  <w:pPr>
                    <w:pStyle w:val="56"/>
                    <w:bidi w:val="0"/>
                    <w:rPr>
                      <w:color w:val="auto"/>
                    </w:rPr>
                  </w:pPr>
                  <w:r>
                    <w:t>管控</w:t>
                  </w:r>
                </w:p>
              </w:tc>
              <w:tc>
                <w:tcPr>
                  <w:tcW w:w="591" w:type="pct"/>
                  <w:tcBorders>
                    <w:tl2br w:val="nil"/>
                    <w:tr2bl w:val="nil"/>
                  </w:tcBorders>
                  <w:vAlign w:val="center"/>
                </w:tcPr>
                <w:p w14:paraId="147FC4E4">
                  <w:pPr>
                    <w:pStyle w:val="56"/>
                    <w:bidi w:val="0"/>
                    <w:rPr>
                      <w:color w:val="auto"/>
                    </w:rPr>
                  </w:pPr>
                  <w:r>
                    <w:t>水资源利用效率要求</w:t>
                  </w:r>
                </w:p>
              </w:tc>
              <w:tc>
                <w:tcPr>
                  <w:tcW w:w="2000" w:type="pct"/>
                  <w:tcBorders>
                    <w:tl2br w:val="nil"/>
                    <w:tr2bl w:val="nil"/>
                  </w:tcBorders>
                  <w:vAlign w:val="center"/>
                </w:tcPr>
                <w:p w14:paraId="78716D8B">
                  <w:pPr>
                    <w:pStyle w:val="56"/>
                    <w:bidi w:val="0"/>
                    <w:jc w:val="left"/>
                    <w:rPr>
                      <w:color w:val="auto"/>
                    </w:rPr>
                  </w:pPr>
                  <w:r>
                    <w:t>单位工业增加值新鲜水耗≤9(m³/万元</w:t>
                  </w:r>
                  <w:r>
                    <w:rPr>
                      <w:rFonts w:hint="eastAsia"/>
                      <w:lang w:eastAsia="zh-CN"/>
                    </w:rPr>
                    <w:t>）</w:t>
                  </w:r>
                </w:p>
              </w:tc>
              <w:tc>
                <w:tcPr>
                  <w:tcW w:w="1358" w:type="pct"/>
                  <w:tcBorders>
                    <w:tl2br w:val="nil"/>
                    <w:tr2bl w:val="nil"/>
                  </w:tcBorders>
                  <w:vAlign w:val="center"/>
                </w:tcPr>
                <w:p w14:paraId="1F817351">
                  <w:pPr>
                    <w:pStyle w:val="56"/>
                    <w:bidi w:val="0"/>
                    <w:jc w:val="left"/>
                    <w:rPr>
                      <w:color w:val="auto"/>
                    </w:rPr>
                  </w:pPr>
                  <w:r>
                    <w:rPr>
                      <w:rFonts w:hint="eastAsia"/>
                    </w:rPr>
                    <w:t>本项目满足水耗要求</w:t>
                  </w:r>
                </w:p>
              </w:tc>
              <w:tc>
                <w:tcPr>
                  <w:tcW w:w="636" w:type="pct"/>
                  <w:tcBorders>
                    <w:tl2br w:val="nil"/>
                    <w:tr2bl w:val="nil"/>
                  </w:tcBorders>
                  <w:vAlign w:val="center"/>
                </w:tcPr>
                <w:p w14:paraId="287A841D">
                  <w:pPr>
                    <w:pStyle w:val="56"/>
                    <w:bidi w:val="0"/>
                    <w:rPr>
                      <w:color w:val="auto"/>
                    </w:rPr>
                  </w:pPr>
                  <w:r>
                    <w:rPr>
                      <w:rFonts w:hint="eastAsia"/>
                    </w:rPr>
                    <w:t>相符</w:t>
                  </w:r>
                </w:p>
              </w:tc>
            </w:tr>
            <w:tr w14:paraId="79A4B3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248" w:hRule="atLeast"/>
                <w:jc w:val="center"/>
              </w:trPr>
              <w:tc>
                <w:tcPr>
                  <w:tcW w:w="412" w:type="pct"/>
                  <w:vMerge w:val="continue"/>
                  <w:tcBorders>
                    <w:tl2br w:val="nil"/>
                    <w:tr2bl w:val="nil"/>
                  </w:tcBorders>
                  <w:vAlign w:val="center"/>
                </w:tcPr>
                <w:p w14:paraId="332A48D9">
                  <w:pPr>
                    <w:pStyle w:val="56"/>
                    <w:spacing w:line="240" w:lineRule="auto"/>
                    <w:jc w:val="center"/>
                    <w:rPr>
                      <w:color w:val="auto"/>
                    </w:rPr>
                  </w:pPr>
                </w:p>
              </w:tc>
              <w:tc>
                <w:tcPr>
                  <w:tcW w:w="591" w:type="pct"/>
                  <w:tcBorders>
                    <w:tl2br w:val="nil"/>
                    <w:tr2bl w:val="nil"/>
                  </w:tcBorders>
                  <w:vAlign w:val="center"/>
                </w:tcPr>
                <w:p w14:paraId="0084DE19">
                  <w:pPr>
                    <w:pStyle w:val="56"/>
                    <w:bidi w:val="0"/>
                    <w:rPr>
                      <w:color w:val="auto"/>
                    </w:rPr>
                  </w:pPr>
                  <w:r>
                    <w:t>土地资源利用要求</w:t>
                  </w:r>
                </w:p>
              </w:tc>
              <w:tc>
                <w:tcPr>
                  <w:tcW w:w="2000" w:type="pct"/>
                  <w:tcBorders>
                    <w:tl2br w:val="nil"/>
                    <w:tr2bl w:val="nil"/>
                  </w:tcBorders>
                  <w:vAlign w:val="center"/>
                </w:tcPr>
                <w:p w14:paraId="4334983E">
                  <w:pPr>
                    <w:pStyle w:val="56"/>
                    <w:bidi w:val="0"/>
                    <w:jc w:val="left"/>
                    <w:rPr>
                      <w:color w:val="auto"/>
                    </w:rPr>
                  </w:pPr>
                  <w:r>
                    <w:t>满足《江西省建设用地控制指标》（2018年）中的相关要求</w:t>
                  </w:r>
                </w:p>
              </w:tc>
              <w:tc>
                <w:tcPr>
                  <w:tcW w:w="1358" w:type="pct"/>
                  <w:tcBorders>
                    <w:tl2br w:val="nil"/>
                    <w:tr2bl w:val="nil"/>
                  </w:tcBorders>
                  <w:vAlign w:val="center"/>
                </w:tcPr>
                <w:p w14:paraId="55C1E797">
                  <w:pPr>
                    <w:pStyle w:val="56"/>
                    <w:bidi w:val="0"/>
                    <w:jc w:val="left"/>
                    <w:rPr>
                      <w:color w:val="auto"/>
                    </w:rPr>
                  </w:pPr>
                  <w:r>
                    <w:rPr>
                      <w:rFonts w:hint="eastAsia"/>
                    </w:rPr>
                    <w:t>满足</w:t>
                  </w:r>
                  <w:r>
                    <w:t>《江西省建设用地控制指标》（2018年）中的相关要求</w:t>
                  </w:r>
                </w:p>
              </w:tc>
              <w:tc>
                <w:tcPr>
                  <w:tcW w:w="636" w:type="pct"/>
                  <w:tcBorders>
                    <w:tl2br w:val="nil"/>
                    <w:tr2bl w:val="nil"/>
                  </w:tcBorders>
                  <w:vAlign w:val="center"/>
                </w:tcPr>
                <w:p w14:paraId="3265018E">
                  <w:pPr>
                    <w:pStyle w:val="56"/>
                    <w:bidi w:val="0"/>
                    <w:rPr>
                      <w:color w:val="auto"/>
                    </w:rPr>
                  </w:pPr>
                  <w:r>
                    <w:rPr>
                      <w:rFonts w:hint="eastAsia"/>
                    </w:rPr>
                    <w:t>相符</w:t>
                  </w:r>
                </w:p>
              </w:tc>
            </w:tr>
            <w:tr w14:paraId="571217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248" w:hRule="atLeast"/>
                <w:jc w:val="center"/>
              </w:trPr>
              <w:tc>
                <w:tcPr>
                  <w:tcW w:w="412" w:type="pct"/>
                  <w:vMerge w:val="continue"/>
                  <w:tcBorders>
                    <w:tl2br w:val="nil"/>
                    <w:tr2bl w:val="nil"/>
                  </w:tcBorders>
                  <w:vAlign w:val="center"/>
                </w:tcPr>
                <w:p w14:paraId="4FC7E0E5">
                  <w:pPr>
                    <w:pStyle w:val="56"/>
                    <w:spacing w:line="240" w:lineRule="auto"/>
                    <w:jc w:val="center"/>
                    <w:rPr>
                      <w:color w:val="auto"/>
                    </w:rPr>
                  </w:pPr>
                </w:p>
              </w:tc>
              <w:tc>
                <w:tcPr>
                  <w:tcW w:w="591" w:type="pct"/>
                  <w:tcBorders>
                    <w:tl2br w:val="nil"/>
                    <w:tr2bl w:val="nil"/>
                  </w:tcBorders>
                  <w:vAlign w:val="center"/>
                </w:tcPr>
                <w:p w14:paraId="46B3F255">
                  <w:pPr>
                    <w:pStyle w:val="56"/>
                    <w:bidi w:val="0"/>
                  </w:pPr>
                  <w:r>
                    <w:t>能源</w:t>
                  </w:r>
                </w:p>
                <w:p w14:paraId="26E8D804">
                  <w:pPr>
                    <w:pStyle w:val="56"/>
                    <w:bidi w:val="0"/>
                    <w:rPr>
                      <w:color w:val="auto"/>
                    </w:rPr>
                  </w:pPr>
                  <w:r>
                    <w:t>利用效</w:t>
                  </w:r>
                </w:p>
              </w:tc>
              <w:tc>
                <w:tcPr>
                  <w:tcW w:w="2000" w:type="pct"/>
                  <w:tcBorders>
                    <w:tl2br w:val="nil"/>
                    <w:tr2bl w:val="nil"/>
                  </w:tcBorders>
                  <w:vAlign w:val="center"/>
                </w:tcPr>
                <w:p w14:paraId="2D2E04EB">
                  <w:pPr>
                    <w:pStyle w:val="56"/>
                    <w:bidi w:val="0"/>
                    <w:jc w:val="left"/>
                    <w:rPr>
                      <w:color w:val="auto"/>
                    </w:rPr>
                  </w:pPr>
                  <w:r>
                    <w:t>单位工业增加值能耗≤0.50(t标煤/万元</w:t>
                  </w:r>
                  <w:r>
                    <w:rPr>
                      <w:rFonts w:hint="eastAsia"/>
                      <w:lang w:eastAsia="zh-CN"/>
                    </w:rPr>
                    <w:t>）</w:t>
                  </w:r>
                </w:p>
              </w:tc>
              <w:tc>
                <w:tcPr>
                  <w:tcW w:w="1358" w:type="pct"/>
                  <w:tcBorders>
                    <w:tl2br w:val="nil"/>
                    <w:tr2bl w:val="nil"/>
                  </w:tcBorders>
                  <w:vAlign w:val="center"/>
                </w:tcPr>
                <w:p w14:paraId="1C22B537">
                  <w:pPr>
                    <w:pStyle w:val="56"/>
                    <w:bidi w:val="0"/>
                    <w:jc w:val="left"/>
                    <w:rPr>
                      <w:color w:val="auto"/>
                    </w:rPr>
                  </w:pPr>
                  <w:r>
                    <w:rPr>
                      <w:rFonts w:hint="eastAsia"/>
                    </w:rPr>
                    <w:t>本项目满足能耗要求</w:t>
                  </w:r>
                </w:p>
              </w:tc>
              <w:tc>
                <w:tcPr>
                  <w:tcW w:w="636" w:type="pct"/>
                  <w:tcBorders>
                    <w:tl2br w:val="nil"/>
                    <w:tr2bl w:val="nil"/>
                  </w:tcBorders>
                  <w:vAlign w:val="center"/>
                </w:tcPr>
                <w:p w14:paraId="441E955A">
                  <w:pPr>
                    <w:pStyle w:val="56"/>
                    <w:bidi w:val="0"/>
                    <w:rPr>
                      <w:color w:val="auto"/>
                    </w:rPr>
                  </w:pPr>
                  <w:r>
                    <w:rPr>
                      <w:rFonts w:hint="eastAsia"/>
                    </w:rPr>
                    <w:t>相符</w:t>
                  </w:r>
                </w:p>
              </w:tc>
            </w:tr>
          </w:tbl>
          <w:p w14:paraId="5DA150CC">
            <w:pPr>
              <w:widowControl/>
              <w:ind w:firstLine="480"/>
              <w:jc w:val="left"/>
            </w:pPr>
            <w:r>
              <w:rPr>
                <w:rFonts w:hint="eastAsia" w:ascii="宋体" w:hAnsi="宋体" w:cs="宋体"/>
                <w:kern w:val="0"/>
                <w:lang w:bidi="ar"/>
              </w:rPr>
              <w:t>综上所述，本项目不属于生态环境准入清单内</w:t>
            </w:r>
            <w:r>
              <w:rPr>
                <w:rFonts w:hint="eastAsia" w:ascii="宋体" w:hAnsi="宋体" w:cs="宋体"/>
                <w:color w:val="FF0000"/>
                <w:kern w:val="0"/>
                <w:lang w:bidi="ar"/>
              </w:rPr>
              <w:t>禁止入园企</w:t>
            </w:r>
            <w:r>
              <w:rPr>
                <w:rFonts w:hint="eastAsia" w:ascii="宋体" w:hAnsi="宋体" w:cs="宋体"/>
                <w:kern w:val="0"/>
                <w:lang w:bidi="ar"/>
              </w:rPr>
              <w:t>业，符合江西高安高新技术产业园区发展规划要求。</w:t>
            </w:r>
          </w:p>
          <w:p w14:paraId="1C1FD546">
            <w:pPr>
              <w:widowControl/>
              <w:ind w:firstLine="482"/>
              <w:jc w:val="left"/>
              <w:rPr>
                <w:rFonts w:ascii="宋体" w:hAnsi="宋体" w:cs="宋体"/>
                <w:b/>
                <w:bCs/>
                <w:kern w:val="0"/>
                <w:lang w:bidi="ar"/>
              </w:rPr>
            </w:pPr>
            <w:r>
              <w:rPr>
                <w:b/>
                <w:bCs/>
                <w:kern w:val="0"/>
                <w:lang w:bidi="ar"/>
              </w:rPr>
              <w:t>3</w:t>
            </w:r>
            <w:r>
              <w:rPr>
                <w:rFonts w:hint="eastAsia" w:ascii="宋体" w:hAnsi="宋体" w:cs="宋体"/>
                <w:b/>
                <w:bCs/>
                <w:kern w:val="0"/>
                <w:lang w:bidi="ar"/>
              </w:rPr>
              <w:t>、《江西省生态环境厅关于江西高安高新技术产业园区扩区调区规划环境影响报告书审查意见的函》（赣环环评函〔</w:t>
            </w:r>
            <w:r>
              <w:rPr>
                <w:b/>
                <w:bCs/>
                <w:kern w:val="0"/>
                <w:lang w:bidi="ar"/>
              </w:rPr>
              <w:t>2024</w:t>
            </w:r>
            <w:r>
              <w:rPr>
                <w:rFonts w:hint="eastAsia" w:ascii="宋体" w:hAnsi="宋体" w:cs="宋体"/>
                <w:b/>
                <w:bCs/>
                <w:kern w:val="0"/>
                <w:lang w:bidi="ar"/>
              </w:rPr>
              <w:t>〕</w:t>
            </w:r>
            <w:r>
              <w:rPr>
                <w:b/>
                <w:bCs/>
                <w:kern w:val="0"/>
                <w:lang w:bidi="ar"/>
              </w:rPr>
              <w:t>69</w:t>
            </w:r>
            <w:r>
              <w:rPr>
                <w:rFonts w:hint="eastAsia" w:ascii="宋体" w:hAnsi="宋体" w:cs="宋体"/>
                <w:b/>
                <w:bCs/>
                <w:kern w:val="0"/>
                <w:lang w:bidi="ar"/>
              </w:rPr>
              <w:t>号）</w:t>
            </w:r>
          </w:p>
          <w:p w14:paraId="0B945A45">
            <w:pPr>
              <w:pStyle w:val="62"/>
              <w:bidi w:val="0"/>
            </w:pPr>
            <w:r>
              <w:rPr>
                <w:rFonts w:hint="default"/>
                <w:lang w:val="en-US" w:eastAsia="zh-CN"/>
              </w:rPr>
              <w:t>表1-</w:t>
            </w:r>
            <w:r>
              <w:rPr>
                <w:rFonts w:hint="eastAsia"/>
                <w:lang w:val="en-US" w:eastAsia="zh-CN"/>
              </w:rPr>
              <w:t>5</w:t>
            </w:r>
            <w:r>
              <w:rPr>
                <w:rFonts w:hint="default"/>
                <w:lang w:val="en-US" w:eastAsia="zh-CN"/>
              </w:rPr>
              <w:t xml:space="preserve"> </w:t>
            </w:r>
            <w:r>
              <w:rPr>
                <w:rFonts w:hint="eastAsia"/>
              </w:rPr>
              <w:t>与《江西省生态环境厅关于江西高安高新技术产业园区扩区调区规划环境影响报告书审查意见的函》（赣环环评函〔</w:t>
            </w:r>
            <w:r>
              <w:t>2024</w:t>
            </w:r>
            <w:r>
              <w:rPr>
                <w:rFonts w:hint="eastAsia"/>
              </w:rPr>
              <w:t>〕</w:t>
            </w:r>
            <w:r>
              <w:t>69</w:t>
            </w:r>
            <w:r>
              <w:rPr>
                <w:rFonts w:hint="eastAsia"/>
              </w:rPr>
              <w:t>号）相符性分析</w:t>
            </w:r>
          </w:p>
          <w:tbl>
            <w:tblPr>
              <w:tblStyle w:val="4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30"/>
              <w:gridCol w:w="1800"/>
              <w:gridCol w:w="1089"/>
            </w:tblGrid>
            <w:tr w14:paraId="16E78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2" w:type="pct"/>
                  <w:vAlign w:val="center"/>
                </w:tcPr>
                <w:p w14:paraId="7FA4896B">
                  <w:pPr>
                    <w:pStyle w:val="56"/>
                    <w:bidi w:val="0"/>
                    <w:rPr>
                      <w:color w:val="auto"/>
                    </w:rPr>
                  </w:pPr>
                  <w:r>
                    <w:rPr>
                      <w:rFonts w:hint="eastAsia"/>
                    </w:rPr>
                    <w:t>审查意见</w:t>
                  </w:r>
                </w:p>
              </w:tc>
              <w:tc>
                <w:tcPr>
                  <w:tcW w:w="1282" w:type="pct"/>
                  <w:vAlign w:val="center"/>
                </w:tcPr>
                <w:p w14:paraId="0B25B6D4">
                  <w:pPr>
                    <w:pStyle w:val="56"/>
                    <w:bidi w:val="0"/>
                    <w:rPr>
                      <w:color w:val="auto"/>
                    </w:rPr>
                  </w:pPr>
                  <w:r>
                    <w:rPr>
                      <w:rFonts w:hint="eastAsia"/>
                    </w:rPr>
                    <w:t>本项目情况</w:t>
                  </w:r>
                </w:p>
              </w:tc>
              <w:tc>
                <w:tcPr>
                  <w:tcW w:w="775" w:type="pct"/>
                  <w:vAlign w:val="center"/>
                </w:tcPr>
                <w:p w14:paraId="52952CB6">
                  <w:pPr>
                    <w:pStyle w:val="56"/>
                    <w:bidi w:val="0"/>
                    <w:rPr>
                      <w:color w:val="auto"/>
                    </w:rPr>
                  </w:pPr>
                  <w:r>
                    <w:rPr>
                      <w:rFonts w:hint="eastAsia"/>
                    </w:rPr>
                    <w:t>是否相符</w:t>
                  </w:r>
                </w:p>
              </w:tc>
            </w:tr>
            <w:tr w14:paraId="675E8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vAlign w:val="center"/>
                </w:tcPr>
                <w:p w14:paraId="052CDC78">
                  <w:pPr>
                    <w:pStyle w:val="56"/>
                    <w:bidi w:val="0"/>
                    <w:rPr>
                      <w:color w:val="auto"/>
                    </w:rPr>
                  </w:pPr>
                  <w:r>
                    <w:rPr>
                      <w:rFonts w:hint="eastAsia"/>
                    </w:rPr>
                    <w:t>规划优化调整和实施建议</w:t>
                  </w:r>
                </w:p>
              </w:tc>
            </w:tr>
            <w:tr w14:paraId="2FAB3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2" w:type="pct"/>
                  <w:vAlign w:val="center"/>
                </w:tcPr>
                <w:p w14:paraId="79920A90">
                  <w:pPr>
                    <w:pStyle w:val="56"/>
                    <w:bidi w:val="0"/>
                    <w:jc w:val="left"/>
                    <w:rPr>
                      <w:color w:val="auto"/>
                    </w:rPr>
                  </w:pPr>
                  <w:r>
                    <w:t>（一）新世纪产业园祥符收费站组团内涉及国家二级生态公益林，应符合用林管理要求</w:t>
                  </w:r>
                  <w:r>
                    <w:rPr>
                      <w:rFonts w:hint="eastAsia"/>
                      <w:lang w:eastAsia="zh-CN"/>
                    </w:rPr>
                    <w:t>，在</w:t>
                  </w:r>
                  <w:r>
                    <w:t>相关要求未落实之前，建议不开发利用。</w:t>
                  </w:r>
                </w:p>
              </w:tc>
              <w:tc>
                <w:tcPr>
                  <w:tcW w:w="1282" w:type="pct"/>
                  <w:vAlign w:val="center"/>
                </w:tcPr>
                <w:p w14:paraId="49A55DBE">
                  <w:pPr>
                    <w:pStyle w:val="56"/>
                    <w:bidi w:val="0"/>
                    <w:jc w:val="left"/>
                    <w:rPr>
                      <w:color w:val="auto"/>
                    </w:rPr>
                  </w:pPr>
                  <w:r>
                    <w:t>本项目</w:t>
                  </w:r>
                  <w:r>
                    <w:rPr>
                      <w:rFonts w:hint="eastAsia"/>
                    </w:rPr>
                    <w:t>用地性质是工业用地</w:t>
                  </w:r>
                </w:p>
              </w:tc>
              <w:tc>
                <w:tcPr>
                  <w:tcW w:w="775" w:type="pct"/>
                  <w:vAlign w:val="center"/>
                </w:tcPr>
                <w:p w14:paraId="319E22C7">
                  <w:pPr>
                    <w:pStyle w:val="56"/>
                    <w:bidi w:val="0"/>
                    <w:rPr>
                      <w:color w:val="auto"/>
                    </w:rPr>
                  </w:pPr>
                  <w:r>
                    <w:t>符合</w:t>
                  </w:r>
                </w:p>
              </w:tc>
            </w:tr>
            <w:tr w14:paraId="125AE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2" w:type="pct"/>
                  <w:vAlign w:val="center"/>
                </w:tcPr>
                <w:p w14:paraId="5FC4F757">
                  <w:pPr>
                    <w:pStyle w:val="56"/>
                    <w:bidi w:val="0"/>
                    <w:jc w:val="left"/>
                    <w:rPr>
                      <w:color w:val="auto"/>
                    </w:rPr>
                  </w:pPr>
                  <w:r>
                    <w:t>（二）新世纪产业园工业园核心组团属于高安市中心城区，位于高安市主导风向的上风向，在引进项目过程中应充分考虑对居民区等敏感目标的影响，慎重引进大气污染型企业。针对不符合产业定位的化工、皮革、冶炼等企业，不得新增污染物排放。</w:t>
                  </w:r>
                </w:p>
              </w:tc>
              <w:tc>
                <w:tcPr>
                  <w:tcW w:w="1282" w:type="pct"/>
                  <w:vAlign w:val="center"/>
                </w:tcPr>
                <w:p w14:paraId="45466453">
                  <w:pPr>
                    <w:widowControl/>
                    <w:spacing w:line="240" w:lineRule="auto"/>
                    <w:ind w:firstLine="0" w:firstLineChars="0"/>
                    <w:jc w:val="left"/>
                    <w:rPr>
                      <w:rFonts w:hint="eastAsia" w:eastAsia="宋体"/>
                      <w:color w:val="auto"/>
                      <w:lang w:eastAsia="zh-CN"/>
                    </w:rPr>
                  </w:pPr>
                  <w:r>
                    <w:rPr>
                      <w:rFonts w:hint="eastAsia"/>
                      <w:color w:val="auto"/>
                      <w:kern w:val="0"/>
                      <w:sz w:val="21"/>
                      <w:szCs w:val="21"/>
                    </w:rPr>
                    <w:t>本项目属于</w:t>
                  </w:r>
                  <w:r>
                    <w:rPr>
                      <w:rFonts w:hint="eastAsia" w:ascii="Times New Roman" w:hAnsi="Times New Roman" w:eastAsia="宋体" w:cs="Times New Roman"/>
                      <w:color w:val="auto"/>
                      <w:kern w:val="0"/>
                      <w:sz w:val="21"/>
                      <w:szCs w:val="21"/>
                    </w:rPr>
                    <w:t>C3022砼结构构件制造，</w:t>
                  </w:r>
                  <w:r>
                    <w:rPr>
                      <w:rFonts w:hint="eastAsia"/>
                      <w:color w:val="auto"/>
                      <w:kern w:val="0"/>
                      <w:sz w:val="21"/>
                      <w:szCs w:val="21"/>
                    </w:rPr>
                    <w:t>不属于化工、皮革、冶炼等企业</w:t>
                  </w:r>
                  <w:r>
                    <w:rPr>
                      <w:rFonts w:hint="eastAsia"/>
                      <w:color w:val="auto"/>
                      <w:kern w:val="0"/>
                      <w:sz w:val="21"/>
                      <w:szCs w:val="21"/>
                      <w:lang w:eastAsia="zh-CN"/>
                    </w:rPr>
                    <w:t>。</w:t>
                  </w:r>
                </w:p>
              </w:tc>
              <w:tc>
                <w:tcPr>
                  <w:tcW w:w="775" w:type="pct"/>
                  <w:vAlign w:val="center"/>
                </w:tcPr>
                <w:p w14:paraId="51BEA9F8">
                  <w:pPr>
                    <w:pStyle w:val="56"/>
                    <w:bidi w:val="0"/>
                    <w:rPr>
                      <w:color w:val="auto"/>
                    </w:rPr>
                  </w:pPr>
                  <w:r>
                    <w:t>符合</w:t>
                  </w:r>
                </w:p>
              </w:tc>
            </w:tr>
            <w:tr w14:paraId="4D51B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2" w:type="pct"/>
                  <w:vAlign w:val="center"/>
                </w:tcPr>
                <w:p w14:paraId="4DEB2814">
                  <w:pPr>
                    <w:pStyle w:val="56"/>
                    <w:bidi w:val="0"/>
                    <w:jc w:val="left"/>
                    <w:rPr>
                      <w:color w:val="auto"/>
                    </w:rPr>
                  </w:pPr>
                  <w:r>
                    <w:t>（三）建筑陶瓷产业园规划布局建筑陶瓷、新能源产业，废气污染物排放量较大，要科学确定防护距离，合理设置缓冲隔离带或绿化屏障。</w:t>
                  </w:r>
                </w:p>
              </w:tc>
              <w:tc>
                <w:tcPr>
                  <w:tcW w:w="1282" w:type="pct"/>
                  <w:vAlign w:val="center"/>
                </w:tcPr>
                <w:p w14:paraId="6AB058B4">
                  <w:pPr>
                    <w:pStyle w:val="56"/>
                    <w:bidi w:val="0"/>
                    <w:jc w:val="left"/>
                    <w:rPr>
                      <w:rFonts w:hint="eastAsia" w:eastAsia="宋体"/>
                      <w:color w:val="auto"/>
                      <w:lang w:eastAsia="zh-CN"/>
                    </w:rPr>
                  </w:pPr>
                  <w:r>
                    <w:rPr>
                      <w:rFonts w:hint="eastAsia"/>
                    </w:rPr>
                    <w:t>本项目位于</w:t>
                  </w:r>
                  <w:r>
                    <w:t>新世纪产业园</w:t>
                  </w:r>
                </w:p>
              </w:tc>
              <w:tc>
                <w:tcPr>
                  <w:tcW w:w="775" w:type="pct"/>
                  <w:vAlign w:val="center"/>
                </w:tcPr>
                <w:p w14:paraId="72B91256">
                  <w:pPr>
                    <w:pStyle w:val="56"/>
                    <w:bidi w:val="0"/>
                    <w:rPr>
                      <w:color w:val="auto"/>
                    </w:rPr>
                  </w:pPr>
                  <w:r>
                    <w:t>符合</w:t>
                  </w:r>
                </w:p>
              </w:tc>
            </w:tr>
            <w:tr w14:paraId="75C33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2" w:type="pct"/>
                  <w:vAlign w:val="center"/>
                </w:tcPr>
                <w:p w14:paraId="72D00A1D">
                  <w:pPr>
                    <w:pStyle w:val="56"/>
                    <w:bidi w:val="0"/>
                    <w:jc w:val="left"/>
                    <w:rPr>
                      <w:color w:val="auto"/>
                    </w:rPr>
                  </w:pPr>
                  <w:r>
                    <w:t>（四）针对大港河氟化物因子超标问题，尽快推进高安市大港河水质净化工程及江西省建筑陶瓷产业基地污水处理厂入河排污口迁移工作。</w:t>
                  </w:r>
                </w:p>
              </w:tc>
              <w:tc>
                <w:tcPr>
                  <w:tcW w:w="1282" w:type="pct"/>
                  <w:vAlign w:val="center"/>
                </w:tcPr>
                <w:p w14:paraId="0FDFD918">
                  <w:pPr>
                    <w:pStyle w:val="56"/>
                    <w:bidi w:val="0"/>
                    <w:jc w:val="left"/>
                    <w:rPr>
                      <w:color w:val="auto"/>
                    </w:rPr>
                  </w:pPr>
                  <w:r>
                    <w:rPr>
                      <w:rFonts w:hint="eastAsia"/>
                    </w:rPr>
                    <w:t>本项目位于</w:t>
                  </w:r>
                  <w:r>
                    <w:t>新世纪产业园</w:t>
                  </w:r>
                </w:p>
              </w:tc>
              <w:tc>
                <w:tcPr>
                  <w:tcW w:w="775" w:type="pct"/>
                  <w:vAlign w:val="center"/>
                </w:tcPr>
                <w:p w14:paraId="5A62CEDD">
                  <w:pPr>
                    <w:pStyle w:val="56"/>
                    <w:bidi w:val="0"/>
                    <w:rPr>
                      <w:color w:val="auto"/>
                    </w:rPr>
                  </w:pPr>
                  <w:r>
                    <w:t>符合</w:t>
                  </w:r>
                </w:p>
              </w:tc>
            </w:tr>
            <w:tr w14:paraId="49583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2" w:type="pct"/>
                  <w:vAlign w:val="center"/>
                </w:tcPr>
                <w:p w14:paraId="36057814">
                  <w:pPr>
                    <w:pStyle w:val="56"/>
                    <w:bidi w:val="0"/>
                    <w:jc w:val="left"/>
                    <w:rPr>
                      <w:color w:val="auto"/>
                    </w:rPr>
                  </w:pPr>
                  <w:r>
                    <w:t>（五）合理规划碳酸锂等新能源产业发展规模并配套固体废物处置设施建设。</w:t>
                  </w:r>
                </w:p>
              </w:tc>
              <w:tc>
                <w:tcPr>
                  <w:tcW w:w="1282" w:type="pct"/>
                  <w:vAlign w:val="center"/>
                </w:tcPr>
                <w:p w14:paraId="76758783">
                  <w:pPr>
                    <w:pStyle w:val="56"/>
                    <w:bidi w:val="0"/>
                    <w:rPr>
                      <w:color w:val="auto"/>
                    </w:rPr>
                  </w:pPr>
                  <w:r>
                    <w:rPr>
                      <w:rFonts w:hint="eastAsia"/>
                    </w:rPr>
                    <w:t>不涉及</w:t>
                  </w:r>
                </w:p>
              </w:tc>
              <w:tc>
                <w:tcPr>
                  <w:tcW w:w="775" w:type="pct"/>
                  <w:vAlign w:val="center"/>
                </w:tcPr>
                <w:p w14:paraId="1095841E">
                  <w:pPr>
                    <w:pStyle w:val="56"/>
                    <w:bidi w:val="0"/>
                    <w:rPr>
                      <w:color w:val="auto"/>
                    </w:rPr>
                  </w:pPr>
                  <w:r>
                    <w:t>符合</w:t>
                  </w:r>
                </w:p>
              </w:tc>
            </w:tr>
            <w:tr w14:paraId="11665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vAlign w:val="center"/>
                </w:tcPr>
                <w:p w14:paraId="2C8640F3">
                  <w:pPr>
                    <w:pStyle w:val="56"/>
                    <w:bidi w:val="0"/>
                    <w:rPr>
                      <w:color w:val="auto"/>
                    </w:rPr>
                  </w:pPr>
                  <w:r>
                    <w:t>规划实施过程中的环境管理意见</w:t>
                  </w:r>
                </w:p>
              </w:tc>
            </w:tr>
            <w:tr w14:paraId="5DA4A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2" w:type="pct"/>
                  <w:vAlign w:val="center"/>
                </w:tcPr>
                <w:p w14:paraId="5522D35B">
                  <w:pPr>
                    <w:pStyle w:val="56"/>
                    <w:bidi w:val="0"/>
                    <w:jc w:val="left"/>
                    <w:rPr>
                      <w:color w:val="auto"/>
                    </w:rPr>
                  </w:pPr>
                  <w:r>
                    <w:t>（一）下阶段入园项目的环评重点应放在敏感目标环境空气影响分析、防护距离设置、地表水影响分析、规划相符性分析、环境风险影响分析及污染治理措施可行性论证等方面，对符合规划环评环境管控要求和生态环境准入清单的具体建设项目，应将规划环评结论作为重要依据。当规划环评中资源、环境现状调查与评价结果仍具有时效性时，规划所包含的建设项目环评中的现状调查与评价内容可适当简化。</w:t>
                  </w:r>
                </w:p>
              </w:tc>
              <w:tc>
                <w:tcPr>
                  <w:tcW w:w="1282" w:type="pct"/>
                  <w:vAlign w:val="center"/>
                </w:tcPr>
                <w:p w14:paraId="52BAB53D">
                  <w:pPr>
                    <w:pStyle w:val="56"/>
                    <w:bidi w:val="0"/>
                    <w:rPr>
                      <w:color w:val="auto"/>
                    </w:rPr>
                  </w:pPr>
                  <w:r>
                    <w:t>不涉及</w:t>
                  </w:r>
                </w:p>
              </w:tc>
              <w:tc>
                <w:tcPr>
                  <w:tcW w:w="775" w:type="pct"/>
                  <w:vAlign w:val="center"/>
                </w:tcPr>
                <w:p w14:paraId="395A8502">
                  <w:pPr>
                    <w:pStyle w:val="56"/>
                    <w:bidi w:val="0"/>
                    <w:rPr>
                      <w:color w:val="auto"/>
                    </w:rPr>
                  </w:pPr>
                  <w:r>
                    <w:t>符合</w:t>
                  </w:r>
                </w:p>
              </w:tc>
            </w:tr>
            <w:tr w14:paraId="20982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2" w:type="pct"/>
                  <w:vAlign w:val="center"/>
                </w:tcPr>
                <w:p w14:paraId="16E39318">
                  <w:pPr>
                    <w:pStyle w:val="56"/>
                    <w:bidi w:val="0"/>
                    <w:jc w:val="left"/>
                    <w:rPr>
                      <w:color w:val="auto"/>
                    </w:rPr>
                  </w:pPr>
                  <w:r>
                    <w:t>（二）园区管理部门应制定环境管理计划，建立有效的环境监控体系，实现园区环境目标。及时开展规划实施后不同阶段的环境影响跟踪评价，掌握规划实施后环境变化趋势。</w:t>
                  </w:r>
                </w:p>
              </w:tc>
              <w:tc>
                <w:tcPr>
                  <w:tcW w:w="1282" w:type="pct"/>
                  <w:vAlign w:val="center"/>
                </w:tcPr>
                <w:p w14:paraId="158B2C43">
                  <w:pPr>
                    <w:pStyle w:val="56"/>
                    <w:bidi w:val="0"/>
                    <w:rPr>
                      <w:color w:val="auto"/>
                    </w:rPr>
                  </w:pPr>
                  <w:r>
                    <w:t>不涉及</w:t>
                  </w:r>
                </w:p>
              </w:tc>
              <w:tc>
                <w:tcPr>
                  <w:tcW w:w="775" w:type="pct"/>
                  <w:vAlign w:val="center"/>
                </w:tcPr>
                <w:p w14:paraId="4D9558BA">
                  <w:pPr>
                    <w:pStyle w:val="56"/>
                    <w:bidi w:val="0"/>
                    <w:rPr>
                      <w:color w:val="auto"/>
                    </w:rPr>
                  </w:pPr>
                  <w:r>
                    <w:t>符合</w:t>
                  </w:r>
                </w:p>
              </w:tc>
            </w:tr>
            <w:tr w14:paraId="0D029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2" w:type="pct"/>
                  <w:vAlign w:val="center"/>
                </w:tcPr>
                <w:p w14:paraId="2206CEBA">
                  <w:pPr>
                    <w:pStyle w:val="56"/>
                    <w:bidi w:val="0"/>
                    <w:rPr>
                      <w:color w:val="auto"/>
                    </w:rPr>
                  </w:pPr>
                  <w:r>
                    <w:t>（三））高安市政府应制定污染物总量年度减排计划并严格执行，全面推进污染治理，积极优化产业结构，鼓励支持低碳产业发展，实现总量控制目标。</w:t>
                  </w:r>
                </w:p>
              </w:tc>
              <w:tc>
                <w:tcPr>
                  <w:tcW w:w="1282" w:type="pct"/>
                  <w:vAlign w:val="center"/>
                </w:tcPr>
                <w:p w14:paraId="5C3220CF">
                  <w:pPr>
                    <w:pStyle w:val="56"/>
                    <w:bidi w:val="0"/>
                    <w:jc w:val="left"/>
                    <w:rPr>
                      <w:rFonts w:hint="default" w:eastAsia="宋体"/>
                      <w:color w:val="auto"/>
                      <w:lang w:val="en-US" w:eastAsia="zh-CN"/>
                    </w:rPr>
                  </w:pPr>
                  <w:r>
                    <w:rPr>
                      <w:rFonts w:hint="default"/>
                      <w:color w:val="auto"/>
                      <w:lang w:val="en-US" w:eastAsia="zh-CN"/>
                    </w:rPr>
                    <w:t>按要求执行</w:t>
                  </w:r>
                </w:p>
              </w:tc>
              <w:tc>
                <w:tcPr>
                  <w:tcW w:w="775" w:type="pct"/>
                  <w:vAlign w:val="center"/>
                </w:tcPr>
                <w:p w14:paraId="046F3EEC">
                  <w:pPr>
                    <w:pStyle w:val="56"/>
                    <w:bidi w:val="0"/>
                    <w:rPr>
                      <w:color w:val="auto"/>
                    </w:rPr>
                  </w:pPr>
                  <w:r>
                    <w:t>符合</w:t>
                  </w:r>
                </w:p>
              </w:tc>
            </w:tr>
          </w:tbl>
          <w:p w14:paraId="2847581B">
            <w:pPr>
              <w:widowControl/>
              <w:autoSpaceDE w:val="0"/>
              <w:ind w:firstLine="476" w:firstLineChars="200"/>
              <w:rPr>
                <w:b/>
                <w:bCs/>
                <w:kern w:val="0"/>
                <w:lang w:bidi="ar"/>
              </w:rPr>
            </w:pPr>
            <w:r>
              <w:rPr>
                <w:spacing w:val="-1"/>
              </w:rPr>
              <w:t>综上所述，根据《江西省生态环境厅关于江西高安高新技术产业园区扩区调区规划环境影响报告书审查意见的函》（赣环环评函〔</w:t>
            </w:r>
            <w:r>
              <w:rPr>
                <w:rFonts w:eastAsia="Times New Roman"/>
                <w:spacing w:val="-1"/>
              </w:rPr>
              <w:t>2024</w:t>
            </w:r>
            <w:r>
              <w:rPr>
                <w:spacing w:val="-1"/>
              </w:rPr>
              <w:t>〕</w:t>
            </w:r>
            <w:r>
              <w:rPr>
                <w:rFonts w:eastAsia="Times New Roman"/>
                <w:spacing w:val="-3"/>
              </w:rPr>
              <w:t>69</w:t>
            </w:r>
            <w:r>
              <w:rPr>
                <w:spacing w:val="-3"/>
              </w:rPr>
              <w:t>号）提出的规划优化调整和实施建议及规划实施过程中的环境</w:t>
            </w:r>
            <w:r>
              <w:rPr>
                <w:spacing w:val="-4"/>
              </w:rPr>
              <w:t>管理意</w:t>
            </w:r>
            <w:r>
              <w:rPr>
                <w:spacing w:val="-1"/>
              </w:rPr>
              <w:t>见，本项目符合该审查意见。</w:t>
            </w:r>
          </w:p>
        </w:tc>
      </w:tr>
      <w:tr w14:paraId="789189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7" w:type="pct"/>
            <w:vAlign w:val="center"/>
          </w:tcPr>
          <w:p w14:paraId="18C90DD5">
            <w:pPr>
              <w:autoSpaceDE w:val="0"/>
              <w:autoSpaceDN w:val="0"/>
              <w:spacing w:line="360" w:lineRule="exact"/>
              <w:ind w:firstLine="0" w:firstLineChars="0"/>
              <w:jc w:val="center"/>
              <w:rPr>
                <w:rFonts w:ascii="宋体" w:hAnsi="宋体" w:cs="宋体"/>
                <w:kern w:val="0"/>
              </w:rPr>
            </w:pPr>
            <w:r>
              <w:rPr>
                <w:rFonts w:hint="eastAsia" w:ascii="宋体" w:hAnsi="宋体" w:cs="宋体"/>
                <w:kern w:val="0"/>
              </w:rPr>
              <w:t>其他符合性分析</w:t>
            </w:r>
          </w:p>
        </w:tc>
        <w:tc>
          <w:tcPr>
            <w:tcW w:w="4092" w:type="pct"/>
            <w:gridSpan w:val="3"/>
            <w:vAlign w:val="center"/>
          </w:tcPr>
          <w:p w14:paraId="47FD1C93">
            <w:pPr>
              <w:autoSpaceDE w:val="0"/>
              <w:autoSpaceDN w:val="0"/>
              <w:adjustRightInd/>
              <w:snapToGrid/>
              <w:ind w:firstLine="482"/>
              <w:jc w:val="left"/>
              <w:rPr>
                <w:rFonts w:ascii="宋体" w:hAnsi="宋体" w:cs="宋体"/>
                <w:b/>
                <w:kern w:val="0"/>
              </w:rPr>
            </w:pPr>
            <w:r>
              <w:rPr>
                <w:rFonts w:hint="eastAsia" w:ascii="宋体" w:hAnsi="宋体" w:cs="宋体"/>
                <w:b/>
                <w:kern w:val="0"/>
              </w:rPr>
              <w:t>1、与所在地“三线一单”相符性分析</w:t>
            </w:r>
          </w:p>
          <w:p w14:paraId="2B35F491">
            <w:pPr>
              <w:adjustRightInd/>
              <w:snapToGrid/>
              <w:ind w:firstLine="480"/>
              <w:jc w:val="left"/>
              <w:rPr>
                <w:rFonts w:ascii="宋体" w:hAnsi="宋体" w:cs="宋体"/>
              </w:rPr>
            </w:pPr>
            <w:r>
              <w:rPr>
                <w:rFonts w:hint="eastAsia"/>
              </w:rPr>
              <w:t>“三线一单”是指生态保护红线、环境质量底线、资源利用上线和生态环境准入清单。通过“划框子、定规则”，将行政区域划分为若干环境管控单元，并根据环境管控单元特征提出针对性的生态环境准入清单。</w:t>
            </w:r>
          </w:p>
          <w:p w14:paraId="3ABDB6AC">
            <w:pPr>
              <w:adjustRightInd/>
              <w:snapToGrid/>
              <w:ind w:firstLine="480"/>
              <w:jc w:val="left"/>
              <w:rPr>
                <w:rFonts w:eastAsiaTheme="minorEastAsia"/>
              </w:rPr>
            </w:pPr>
            <w:r>
              <w:rPr>
                <w:rFonts w:eastAsiaTheme="minorEastAsia"/>
              </w:rPr>
              <w:t>（1）生态保护红线分析</w:t>
            </w:r>
          </w:p>
          <w:p w14:paraId="79609E34">
            <w:pPr>
              <w:pStyle w:val="109"/>
              <w:adjustRightInd/>
              <w:snapToGrid/>
              <w:spacing w:line="440" w:lineRule="exact"/>
              <w:ind w:firstLine="480"/>
              <w:jc w:val="left"/>
              <w:rPr>
                <w:rFonts w:eastAsiaTheme="minorEastAsia"/>
              </w:rPr>
            </w:pPr>
            <w:r>
              <w:rPr>
                <w:rFonts w:eastAsiaTheme="minorEastAsia"/>
              </w:rPr>
              <w:t>本项目位于</w:t>
            </w:r>
            <w:r>
              <w:rPr>
                <w:rFonts w:hint="eastAsia" w:eastAsiaTheme="minorEastAsia"/>
                <w:lang w:eastAsia="zh-CN"/>
              </w:rPr>
              <w:t>江西高安高新技术产业园区新世纪产业园祥符收费站组团</w:t>
            </w:r>
            <w:r>
              <w:rPr>
                <w:rFonts w:eastAsiaTheme="minorEastAsia"/>
              </w:rPr>
              <w:t>，不在高安市生态空间红线管控范围内，而且项目评价范围内无自然保护区、水库水源保护区等生态保护目标，故符合生态保护红线要求。</w:t>
            </w:r>
          </w:p>
          <w:p w14:paraId="05AD649F">
            <w:pPr>
              <w:adjustRightInd/>
              <w:snapToGrid/>
              <w:ind w:firstLine="480"/>
              <w:jc w:val="left"/>
            </w:pPr>
            <w:r>
              <w:t>（2）环境质量底线</w:t>
            </w:r>
          </w:p>
          <w:p w14:paraId="3E6F93A1">
            <w:pPr>
              <w:adjustRightInd/>
              <w:snapToGrid/>
              <w:ind w:firstLine="480"/>
              <w:jc w:val="left"/>
            </w:pPr>
            <w:r>
              <w:t>根据环境功能区区划，项目区域环境空气质量执行《环境空气质量标准》（GB3095-2012）中二类区标准，地表水环境质量执行《地表水环境质量标准》（GB3838-2002）中Ⅲ类水域水质标准，声环境执行《声环境质量标准》（GB3095-2008）中</w:t>
            </w:r>
            <w:r>
              <w:rPr>
                <w:rFonts w:hint="eastAsia"/>
              </w:rPr>
              <w:t>3</w:t>
            </w:r>
            <w:r>
              <w:t>类标准，</w:t>
            </w:r>
            <w:r>
              <w:rPr>
                <w:lang w:bidi="en-US"/>
              </w:rPr>
              <w:t>地下水执行《地下水质量标准》（GB/T14848-2017）Ⅲ类标准。项目建成后，项目污染物经环保设施处理达标排放后，对区域环境空气、水环境、声环境影响较小，不会改变当地环境功能区划，不会突破当地环境质量底线</w:t>
            </w:r>
            <w:r>
              <w:t>。</w:t>
            </w:r>
          </w:p>
          <w:p w14:paraId="64C4BAA8">
            <w:pPr>
              <w:adjustRightInd/>
              <w:snapToGrid/>
              <w:ind w:firstLine="480"/>
              <w:jc w:val="left"/>
            </w:pPr>
            <w:r>
              <w:t>（3）资源利用上线</w:t>
            </w:r>
          </w:p>
          <w:p w14:paraId="46C67960">
            <w:pPr>
              <w:autoSpaceDE w:val="0"/>
              <w:autoSpaceDN w:val="0"/>
              <w:adjustRightInd/>
              <w:snapToGrid/>
              <w:ind w:firstLine="480"/>
              <w:jc w:val="left"/>
            </w:pPr>
            <w:r>
              <w:t>本项目用水来自</w:t>
            </w:r>
            <w:r>
              <w:rPr>
                <w:rFonts w:hint="eastAsia"/>
                <w:lang w:eastAsia="zh-CN"/>
              </w:rPr>
              <w:t>园区</w:t>
            </w:r>
            <w:r>
              <w:t>自来水供水管网，用电</w:t>
            </w:r>
            <w:r>
              <w:rPr>
                <w:rFonts w:hint="eastAsia"/>
                <w:lang w:eastAsia="zh-CN"/>
              </w:rPr>
              <w:t>来自园区</w:t>
            </w:r>
            <w:r>
              <w:t>供电系统，资源利用包括水、电。本项目建成运行后通过内部管理、设备选择、原辅材料的选用和管理、废物回收利用、污染</w:t>
            </w:r>
            <w:r>
              <w:rPr>
                <w:rFonts w:hint="eastAsia" w:ascii="宋体" w:hAnsi="宋体" w:cs="宋体"/>
              </w:rPr>
              <w:t>治理等多方面采取可行的防治措施，以“节能、降耗、减污”为目标</w:t>
            </w:r>
            <w:r>
              <w:t>，</w:t>
            </w:r>
            <w:r>
              <w:rPr>
                <w:rFonts w:hint="eastAsia"/>
                <w:lang w:eastAsia="zh-CN"/>
              </w:rPr>
              <w:t>有效</w:t>
            </w:r>
            <w:r>
              <w:t>地控制污染，因此，项目所在区域符合资源利用上线管理要求。</w:t>
            </w:r>
          </w:p>
          <w:p w14:paraId="61453A0F">
            <w:pPr>
              <w:adjustRightInd/>
              <w:snapToGrid/>
              <w:ind w:firstLine="480"/>
              <w:jc w:val="left"/>
              <w:rPr>
                <w:rFonts w:eastAsiaTheme="minorEastAsia"/>
              </w:rPr>
            </w:pPr>
            <w:r>
              <w:rPr>
                <w:rFonts w:eastAsiaTheme="minorEastAsia"/>
              </w:rPr>
              <w:t>（4）</w:t>
            </w:r>
            <w:r>
              <w:rPr>
                <w:rFonts w:hint="eastAsia" w:eastAsiaTheme="minorEastAsia"/>
              </w:rPr>
              <w:t>生态环境准入</w:t>
            </w:r>
            <w:r>
              <w:rPr>
                <w:rFonts w:eastAsiaTheme="minorEastAsia"/>
                <w:lang w:bidi="ar"/>
              </w:rPr>
              <w:t>清单</w:t>
            </w:r>
          </w:p>
          <w:p w14:paraId="5ADC2CB6">
            <w:pPr>
              <w:adjustRightInd/>
              <w:snapToGrid/>
              <w:ind w:firstLine="480"/>
              <w:jc w:val="left"/>
              <w:rPr>
                <w:spacing w:val="-1"/>
              </w:rPr>
            </w:pPr>
            <w:r>
              <w:rPr>
                <w:rFonts w:hint="eastAsia" w:eastAsiaTheme="minorEastAsia"/>
              </w:rPr>
              <w:t>根据《江西省第一批国家重点生态功能区产业准入负面清单》（赣发改规划〔</w:t>
            </w:r>
            <w:r>
              <w:rPr>
                <w:rFonts w:eastAsiaTheme="minorEastAsia"/>
              </w:rPr>
              <w:t>2017</w:t>
            </w:r>
            <w:r>
              <w:rPr>
                <w:rFonts w:hint="eastAsia" w:eastAsiaTheme="minorEastAsia"/>
              </w:rPr>
              <w:t>〕</w:t>
            </w:r>
            <w:r>
              <w:rPr>
                <w:rFonts w:eastAsiaTheme="minorEastAsia"/>
              </w:rPr>
              <w:t>448</w:t>
            </w:r>
            <w:r>
              <w:rPr>
                <w:rFonts w:hint="eastAsia" w:eastAsiaTheme="minorEastAsia"/>
              </w:rPr>
              <w:t>号）及《江西省发展改革委关于印发江西省第二批重点生态功能区产业准入负面清单的通知》（赣发改规划〔</w:t>
            </w:r>
            <w:r>
              <w:rPr>
                <w:rFonts w:eastAsiaTheme="minorEastAsia"/>
              </w:rPr>
              <w:t>2018</w:t>
            </w:r>
            <w:r>
              <w:rPr>
                <w:rFonts w:hint="eastAsia" w:eastAsiaTheme="minorEastAsia"/>
              </w:rPr>
              <w:t>〕</w:t>
            </w:r>
            <w:r>
              <w:rPr>
                <w:rFonts w:eastAsiaTheme="minorEastAsia"/>
              </w:rPr>
              <w:t>112号），高安市均不涉及生态功能区产业准入负面清单。因此项目符合生态环境准</w:t>
            </w:r>
            <w:r>
              <w:rPr>
                <w:spacing w:val="-1"/>
              </w:rPr>
              <w:t>入清单要求。为深入贯彻《</w:t>
            </w:r>
            <w:r>
              <w:rPr>
                <w:rFonts w:hint="eastAsia"/>
                <w:spacing w:val="-1"/>
                <w:lang w:eastAsia="zh-CN"/>
              </w:rPr>
              <w:t>中共中央、国务院</w:t>
            </w:r>
            <w:r>
              <w:rPr>
                <w:spacing w:val="-1"/>
              </w:rPr>
              <w:t>关于全面加强生态环境保护坚决打好污染防治攻坚战的意见》，全面落实“共抓大保护、不搞大开发”要求，推动全市实现高质量发展和生态环境高水平保护，加快实施生态保护红线、环境质量底线、资源利用上线和生态环境准入清单（以下统称“三线一单”）生态环境分区管控体系。根据生态环境部《2023年生态环境分区管控成果动态更新工作方案》（环办环评函〔2023〕81号）、《江西省2023年生态环境分区管控成果动态更新工作方案》（赣环环评函〔2023〕9号）有关要求，宜春市已完成生态环境分区管控成果动态更新工作，并发布《宜春市人民政府办公室关于公布宜春市生态环境分区管控成果（2023版）的通知》（宜府办发〔2024〕9号）。</w:t>
            </w:r>
          </w:p>
          <w:p w14:paraId="237E4381">
            <w:pPr>
              <w:adjustRightInd/>
              <w:snapToGrid/>
              <w:ind w:firstLine="476"/>
              <w:jc w:val="left"/>
              <w:rPr>
                <w:rFonts w:eastAsiaTheme="minorEastAsia"/>
              </w:rPr>
            </w:pPr>
            <w:r>
              <w:rPr>
                <w:spacing w:val="-1"/>
              </w:rPr>
              <w:t>本项目位于</w:t>
            </w:r>
            <w:r>
              <w:rPr>
                <w:rFonts w:hint="eastAsia"/>
                <w:spacing w:val="-1"/>
                <w:lang w:val="en-US" w:eastAsia="zh-CN"/>
              </w:rPr>
              <w:t>江西</w:t>
            </w:r>
            <w:r>
              <w:rPr>
                <w:spacing w:val="-1"/>
              </w:rPr>
              <w:t>高安高新技术产业园</w:t>
            </w:r>
            <w:r>
              <w:rPr>
                <w:rFonts w:hint="eastAsia"/>
                <w:spacing w:val="-1"/>
                <w:lang w:val="en-US" w:eastAsia="zh-CN"/>
              </w:rPr>
              <w:t>区</w:t>
            </w:r>
            <w:r>
              <w:rPr>
                <w:rFonts w:hint="eastAsia"/>
              </w:rPr>
              <w:t>新世纪产业园</w:t>
            </w:r>
            <w:r>
              <w:rPr>
                <w:spacing w:val="-1"/>
              </w:rPr>
              <w:t>，属重点管控单元2（环境管控单元编码：ZH36098320002）。根据《宜春市人民政府办公室关于公布宜春市生态环境分区管控成果（2023版）的通知》（宜府办发〔2024〕9号），将涉及本项目区域的生态环境准入清单要求及符合性分析列于表1-</w:t>
            </w:r>
            <w:r>
              <w:rPr>
                <w:rFonts w:hint="eastAsia"/>
                <w:spacing w:val="-1"/>
              </w:rPr>
              <w:t>6和表1-7</w:t>
            </w:r>
            <w:r>
              <w:rPr>
                <w:rFonts w:eastAsiaTheme="minorEastAsia"/>
              </w:rPr>
              <w:t>。</w:t>
            </w:r>
          </w:p>
          <w:p w14:paraId="3D459044">
            <w:pPr>
              <w:pStyle w:val="62"/>
              <w:bidi w:val="0"/>
            </w:pPr>
            <w:r>
              <w:rPr>
                <w:rFonts w:hint="default"/>
                <w:lang w:val="en-US" w:eastAsia="zh-CN"/>
              </w:rPr>
              <w:t>表1-</w:t>
            </w:r>
            <w:r>
              <w:rPr>
                <w:rFonts w:hint="eastAsia"/>
                <w:lang w:val="en-US" w:eastAsia="zh-CN"/>
              </w:rPr>
              <w:t>6</w:t>
            </w:r>
            <w:r>
              <w:rPr>
                <w:rFonts w:hint="default"/>
                <w:lang w:val="en-US" w:eastAsia="zh-CN"/>
              </w:rPr>
              <w:t xml:space="preserve"> </w:t>
            </w:r>
            <w:r>
              <w:t>宜春市环境管控单元生态环境准入清单</w:t>
            </w:r>
          </w:p>
          <w:tbl>
            <w:tblPr>
              <w:tblStyle w:val="41"/>
              <w:tblW w:w="7034" w:type="dxa"/>
              <w:tblInd w:w="0" w:type="dxa"/>
              <w:tblLayout w:type="fixed"/>
              <w:tblCellMar>
                <w:top w:w="0" w:type="dxa"/>
                <w:left w:w="108" w:type="dxa"/>
                <w:bottom w:w="0" w:type="dxa"/>
                <w:right w:w="108" w:type="dxa"/>
              </w:tblCellMar>
            </w:tblPr>
            <w:tblGrid>
              <w:gridCol w:w="645"/>
              <w:gridCol w:w="645"/>
              <w:gridCol w:w="501"/>
              <w:gridCol w:w="3121"/>
              <w:gridCol w:w="1298"/>
              <w:gridCol w:w="824"/>
            </w:tblGrid>
            <w:tr w14:paraId="2BA36FF9">
              <w:tblPrEx>
                <w:tblCellMar>
                  <w:top w:w="0" w:type="dxa"/>
                  <w:left w:w="108" w:type="dxa"/>
                  <w:bottom w:w="0" w:type="dxa"/>
                  <w:right w:w="108" w:type="dxa"/>
                </w:tblCellMar>
              </w:tblPrEx>
              <w:trPr>
                <w:trHeight w:val="570"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E58A0">
                  <w:pPr>
                    <w:pStyle w:val="56"/>
                    <w:bidi w:val="0"/>
                    <w:rPr>
                      <w:color w:val="auto"/>
                    </w:rPr>
                  </w:pPr>
                  <w:r>
                    <w:rPr>
                      <w:rFonts w:hint="eastAsia"/>
                    </w:rPr>
                    <w:t>维度</w:t>
                  </w: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D60BC">
                  <w:pPr>
                    <w:pStyle w:val="56"/>
                    <w:bidi w:val="0"/>
                    <w:rPr>
                      <w:color w:val="auto"/>
                    </w:rPr>
                  </w:pPr>
                  <w:r>
                    <w:rPr>
                      <w:rFonts w:hint="eastAsia"/>
                    </w:rPr>
                    <w:t>清单编制要求</w:t>
                  </w: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42FC31">
                  <w:pPr>
                    <w:pStyle w:val="56"/>
                    <w:bidi w:val="0"/>
                    <w:rPr>
                      <w:color w:val="auto"/>
                    </w:rPr>
                  </w:pPr>
                  <w:r>
                    <w:rPr>
                      <w:rFonts w:hint="eastAsia"/>
                    </w:rPr>
                    <w:t>序号</w:t>
                  </w:r>
                </w:p>
              </w:tc>
              <w:tc>
                <w:tcPr>
                  <w:tcW w:w="2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838CE4">
                  <w:pPr>
                    <w:pStyle w:val="56"/>
                    <w:bidi w:val="0"/>
                    <w:rPr>
                      <w:color w:val="auto"/>
                    </w:rPr>
                  </w:pPr>
                  <w:r>
                    <w:rPr>
                      <w:rFonts w:hint="eastAsia"/>
                    </w:rPr>
                    <w:t>动态更新情况</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90045">
                  <w:pPr>
                    <w:pStyle w:val="56"/>
                    <w:bidi w:val="0"/>
                    <w:rPr>
                      <w:color w:val="auto"/>
                    </w:rPr>
                  </w:pPr>
                  <w:r>
                    <w:rPr>
                      <w:rFonts w:hint="eastAsia"/>
                    </w:rPr>
                    <w:t>本项目情况</w:t>
                  </w:r>
                </w:p>
              </w:tc>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5D5F5">
                  <w:pPr>
                    <w:pStyle w:val="56"/>
                    <w:bidi w:val="0"/>
                    <w:rPr>
                      <w:color w:val="auto"/>
                    </w:rPr>
                  </w:pPr>
                  <w:r>
                    <w:rPr>
                      <w:rFonts w:hint="eastAsia"/>
                    </w:rPr>
                    <w:t>相符型分析</w:t>
                  </w:r>
                </w:p>
              </w:tc>
            </w:tr>
            <w:tr w14:paraId="60E0503A">
              <w:tblPrEx>
                <w:tblCellMar>
                  <w:top w:w="0" w:type="dxa"/>
                  <w:left w:w="108" w:type="dxa"/>
                  <w:bottom w:w="0" w:type="dxa"/>
                  <w:right w:w="108" w:type="dxa"/>
                </w:tblCellMar>
              </w:tblPrEx>
              <w:trPr>
                <w:trHeight w:val="1440" w:hRule="atLeast"/>
              </w:trPr>
              <w:tc>
                <w:tcPr>
                  <w:tcW w:w="4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EDAB87">
                  <w:pPr>
                    <w:pStyle w:val="56"/>
                    <w:bidi w:val="0"/>
                    <w:rPr>
                      <w:color w:val="auto"/>
                    </w:rPr>
                  </w:pPr>
                  <w:r>
                    <w:rPr>
                      <w:rFonts w:hint="eastAsia"/>
                    </w:rPr>
                    <w:t>空间布局约束</w:t>
                  </w: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2B3839">
                  <w:pPr>
                    <w:pStyle w:val="56"/>
                    <w:bidi w:val="0"/>
                    <w:rPr>
                      <w:color w:val="auto"/>
                    </w:rPr>
                  </w:pPr>
                  <w:r>
                    <w:rPr>
                      <w:rFonts w:hint="eastAsia"/>
                    </w:rPr>
                    <w:t>禁止开发建设活动的要求</w:t>
                  </w: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CF2BA">
                  <w:pPr>
                    <w:pStyle w:val="56"/>
                    <w:bidi w:val="0"/>
                    <w:rPr>
                      <w:color w:val="auto"/>
                    </w:rPr>
                  </w:pPr>
                  <w:r>
                    <w:t>1</w:t>
                  </w:r>
                </w:p>
              </w:tc>
              <w:tc>
                <w:tcPr>
                  <w:tcW w:w="2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52216">
                  <w:pPr>
                    <w:pStyle w:val="56"/>
                    <w:bidi w:val="0"/>
                    <w:jc w:val="left"/>
                    <w:rPr>
                      <w:color w:val="auto"/>
                    </w:rPr>
                  </w:pPr>
                  <w:r>
                    <w:rPr>
                      <w:rFonts w:hint="eastAsia"/>
                    </w:rPr>
                    <w:t>禁止新建《产业结构调整指导目录》限制类和淘汰类项目，现有产业改、扩建不得使用《产业结构调整指导目录》规定的淘汰类规模和生产工艺。</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22B93">
                  <w:pPr>
                    <w:pStyle w:val="56"/>
                    <w:bidi w:val="0"/>
                    <w:rPr>
                      <w:color w:val="auto"/>
                    </w:rPr>
                  </w:pPr>
                  <w:r>
                    <w:rPr>
                      <w:rFonts w:hint="eastAsia"/>
                    </w:rPr>
                    <w:t>允许类</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3FAFA">
                  <w:pPr>
                    <w:pStyle w:val="56"/>
                    <w:bidi w:val="0"/>
                    <w:rPr>
                      <w:color w:val="auto"/>
                    </w:rPr>
                  </w:pPr>
                  <w:r>
                    <w:rPr>
                      <w:rFonts w:hint="eastAsia"/>
                    </w:rPr>
                    <w:t>符合</w:t>
                  </w:r>
                </w:p>
              </w:tc>
            </w:tr>
            <w:tr w14:paraId="555A8FFF">
              <w:tblPrEx>
                <w:tblCellMar>
                  <w:top w:w="0" w:type="dxa"/>
                  <w:left w:w="108" w:type="dxa"/>
                  <w:bottom w:w="0" w:type="dxa"/>
                  <w:right w:w="108" w:type="dxa"/>
                </w:tblCellMar>
              </w:tblPrEx>
              <w:trPr>
                <w:trHeight w:val="983" w:hRule="atLeast"/>
              </w:trPr>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B25C00">
                  <w:pPr>
                    <w:pStyle w:val="56"/>
                    <w:spacing w:line="240" w:lineRule="auto"/>
                    <w:jc w:val="center"/>
                    <w:rPr>
                      <w:color w:val="auto"/>
                    </w:rPr>
                  </w:pPr>
                </w:p>
              </w:tc>
              <w:tc>
                <w:tcPr>
                  <w:tcW w:w="4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EC5054">
                  <w:pPr>
                    <w:pStyle w:val="56"/>
                    <w:bidi w:val="0"/>
                    <w:rPr>
                      <w:color w:val="auto"/>
                    </w:rPr>
                  </w:pPr>
                  <w:r>
                    <w:rPr>
                      <w:rFonts w:hint="eastAsia"/>
                    </w:rPr>
                    <w:t>限制开发建设活动的要求</w:t>
                  </w: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699CF">
                  <w:pPr>
                    <w:pStyle w:val="56"/>
                    <w:bidi w:val="0"/>
                    <w:rPr>
                      <w:color w:val="auto"/>
                    </w:rPr>
                  </w:pPr>
                  <w:r>
                    <w:t>2</w:t>
                  </w:r>
                </w:p>
              </w:tc>
              <w:tc>
                <w:tcPr>
                  <w:tcW w:w="2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4608A2">
                  <w:pPr>
                    <w:pStyle w:val="56"/>
                    <w:bidi w:val="0"/>
                    <w:jc w:val="left"/>
                    <w:rPr>
                      <w:color w:val="auto"/>
                    </w:rPr>
                  </w:pPr>
                  <w:r>
                    <w:rPr>
                      <w:rFonts w:hint="eastAsia"/>
                    </w:rPr>
                    <w:t>禁止在赣江岸线一公里范围内新建、扩建化工园区和化工项目；禁止在赣江岸线一公里范围内新建、改建、扩建冶炼渣库和磷石膏库，以提升安全、生态环境保护水平为目的改建除外；严禁新建</w:t>
                  </w:r>
                  <w:r>
                    <w:t>“</w:t>
                  </w:r>
                  <w:r>
                    <w:rPr>
                      <w:rFonts w:hint="eastAsia"/>
                    </w:rPr>
                    <w:t>头顶库</w:t>
                  </w:r>
                  <w:r>
                    <w:t>”</w:t>
                  </w:r>
                  <w:r>
                    <w:rPr>
                      <w:rFonts w:hint="eastAsia"/>
                    </w:rPr>
                    <w:t>、总坝高超过</w:t>
                  </w:r>
                  <w:r>
                    <w:t>200</w:t>
                  </w:r>
                  <w:r>
                    <w:rPr>
                      <w:rFonts w:hint="eastAsia"/>
                    </w:rPr>
                    <w:t>米的尾矿库，严禁在距离水源地以及流域面积大于</w:t>
                  </w:r>
                  <w:r>
                    <w:t>1000</w:t>
                  </w:r>
                  <w:r>
                    <w:rPr>
                      <w:rFonts w:hint="eastAsia"/>
                    </w:rPr>
                    <w:t>平方公里的河流和禾水、渌水岸线</w:t>
                  </w:r>
                  <w:r>
                    <w:t>1</w:t>
                  </w:r>
                  <w:r>
                    <w:rPr>
                      <w:rFonts w:hint="eastAsia"/>
                    </w:rPr>
                    <w:t>公里范围内新（改、扩）建尾矿库。</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28AA4B">
                  <w:pPr>
                    <w:pStyle w:val="56"/>
                    <w:bidi w:val="0"/>
                    <w:jc w:val="left"/>
                    <w:rPr>
                      <w:rFonts w:hint="eastAsia" w:eastAsia="宋体"/>
                      <w:color w:val="auto"/>
                      <w:lang w:eastAsia="zh-CN"/>
                    </w:rPr>
                  </w:pPr>
                  <w:r>
                    <w:rPr>
                      <w:rFonts w:hint="eastAsia"/>
                    </w:rPr>
                    <w:t>本项目位于新世纪产业园</w:t>
                  </w:r>
                  <w:r>
                    <w:rPr>
                      <w:rFonts w:hint="eastAsia"/>
                      <w:lang w:eastAsia="zh-CN"/>
                    </w:rPr>
                    <w:t>祥符收费站组团</w:t>
                  </w:r>
                  <w:r>
                    <w:rPr>
                      <w:rFonts w:hint="eastAsia"/>
                    </w:rPr>
                    <w:t>，不属于化工项目，不涉及</w:t>
                  </w:r>
                  <w:r>
                    <w:rPr>
                      <w:rFonts w:hint="eastAsia"/>
                      <w:lang w:eastAsia="zh-CN"/>
                    </w:rPr>
                    <w:t>。</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50CC1">
                  <w:pPr>
                    <w:pStyle w:val="56"/>
                    <w:bidi w:val="0"/>
                    <w:rPr>
                      <w:color w:val="auto"/>
                    </w:rPr>
                  </w:pPr>
                  <w:r>
                    <w:rPr>
                      <w:rFonts w:hint="eastAsia"/>
                    </w:rPr>
                    <w:t>符合</w:t>
                  </w:r>
                </w:p>
              </w:tc>
            </w:tr>
            <w:tr w14:paraId="0FBC23F9">
              <w:tblPrEx>
                <w:tblCellMar>
                  <w:top w:w="0" w:type="dxa"/>
                  <w:left w:w="108" w:type="dxa"/>
                  <w:bottom w:w="0" w:type="dxa"/>
                  <w:right w:w="108" w:type="dxa"/>
                </w:tblCellMar>
              </w:tblPrEx>
              <w:trPr>
                <w:trHeight w:val="90" w:hRule="atLeast"/>
              </w:trPr>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171011">
                  <w:pPr>
                    <w:pStyle w:val="56"/>
                    <w:spacing w:line="240" w:lineRule="auto"/>
                    <w:jc w:val="center"/>
                    <w:rPr>
                      <w:color w:val="auto"/>
                    </w:rPr>
                  </w:pPr>
                </w:p>
              </w:tc>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BF4EA1">
                  <w:pPr>
                    <w:pStyle w:val="56"/>
                    <w:spacing w:line="240" w:lineRule="auto"/>
                    <w:jc w:val="center"/>
                    <w:rPr>
                      <w:color w:val="auto"/>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F1EE03">
                  <w:pPr>
                    <w:pStyle w:val="56"/>
                    <w:bidi w:val="0"/>
                    <w:rPr>
                      <w:color w:val="auto"/>
                    </w:rPr>
                  </w:pPr>
                  <w:r>
                    <w:t>3</w:t>
                  </w:r>
                </w:p>
              </w:tc>
              <w:tc>
                <w:tcPr>
                  <w:tcW w:w="2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670B68">
                  <w:pPr>
                    <w:pStyle w:val="56"/>
                    <w:bidi w:val="0"/>
                    <w:jc w:val="left"/>
                    <w:rPr>
                      <w:color w:val="auto"/>
                    </w:rPr>
                  </w:pPr>
                  <w:r>
                    <w:rPr>
                      <w:rFonts w:hint="eastAsia"/>
                    </w:rPr>
                    <w:t>不得在城镇居民聚集区域、规划区，主导风上风向，以城镇中心为界线，向外延伸</w:t>
                  </w:r>
                  <w:r>
                    <w:t>5</w:t>
                  </w:r>
                  <w:r>
                    <w:rPr>
                      <w:rFonts w:hint="eastAsia"/>
                    </w:rPr>
                    <w:t>公里，新建化工（单纯混合、复配除外）、农药（原药生产）、钢铁、焦化、水泥（熟料）、有色金属冶炼等大气污染型项目。</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D0662">
                  <w:pPr>
                    <w:pStyle w:val="56"/>
                    <w:bidi w:val="0"/>
                    <w:rPr>
                      <w:color w:val="auto"/>
                    </w:rPr>
                  </w:pPr>
                  <w:r>
                    <w:rPr>
                      <w:rFonts w:hint="eastAsia"/>
                    </w:rPr>
                    <w:t>不涉及</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4C9D9">
                  <w:pPr>
                    <w:pStyle w:val="56"/>
                    <w:bidi w:val="0"/>
                    <w:rPr>
                      <w:color w:val="auto"/>
                    </w:rPr>
                  </w:pPr>
                  <w:r>
                    <w:rPr>
                      <w:rFonts w:hint="eastAsia"/>
                    </w:rPr>
                    <w:t>符合</w:t>
                  </w:r>
                </w:p>
              </w:tc>
            </w:tr>
            <w:tr w14:paraId="1A62D0EC">
              <w:tblPrEx>
                <w:tblCellMar>
                  <w:top w:w="0" w:type="dxa"/>
                  <w:left w:w="108" w:type="dxa"/>
                  <w:bottom w:w="0" w:type="dxa"/>
                  <w:right w:w="108" w:type="dxa"/>
                </w:tblCellMar>
              </w:tblPrEx>
              <w:trPr>
                <w:trHeight w:val="1340" w:hRule="atLeast"/>
              </w:trPr>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73F696">
                  <w:pPr>
                    <w:pStyle w:val="56"/>
                    <w:spacing w:line="240" w:lineRule="auto"/>
                    <w:jc w:val="center"/>
                    <w:rPr>
                      <w:color w:val="auto"/>
                    </w:rPr>
                  </w:pPr>
                </w:p>
              </w:tc>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1C23B8">
                  <w:pPr>
                    <w:pStyle w:val="56"/>
                    <w:spacing w:line="240" w:lineRule="auto"/>
                    <w:jc w:val="center"/>
                    <w:rPr>
                      <w:color w:val="auto"/>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0DE23">
                  <w:pPr>
                    <w:pStyle w:val="56"/>
                    <w:bidi w:val="0"/>
                    <w:rPr>
                      <w:color w:val="auto"/>
                    </w:rPr>
                  </w:pPr>
                  <w:r>
                    <w:t>4</w:t>
                  </w:r>
                </w:p>
              </w:tc>
              <w:tc>
                <w:tcPr>
                  <w:tcW w:w="2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4B1AB">
                  <w:pPr>
                    <w:pStyle w:val="56"/>
                    <w:bidi w:val="0"/>
                    <w:jc w:val="left"/>
                    <w:rPr>
                      <w:color w:val="auto"/>
                    </w:rPr>
                  </w:pPr>
                  <w:r>
                    <w:rPr>
                      <w:rFonts w:hint="eastAsia"/>
                    </w:rPr>
                    <w:t>生态保护红线内，自然保护地核心保护区原则上禁止人为活动，其他区域严格禁止开发性、生产性建设活动。</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F37246">
                  <w:pPr>
                    <w:pStyle w:val="56"/>
                    <w:bidi w:val="0"/>
                    <w:rPr>
                      <w:color w:val="auto"/>
                    </w:rPr>
                  </w:pPr>
                  <w:r>
                    <w:rPr>
                      <w:rFonts w:hint="eastAsia"/>
                    </w:rPr>
                    <w:t>不涉及</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66938">
                  <w:pPr>
                    <w:pStyle w:val="56"/>
                    <w:bidi w:val="0"/>
                    <w:rPr>
                      <w:color w:val="auto"/>
                    </w:rPr>
                  </w:pPr>
                  <w:r>
                    <w:rPr>
                      <w:rFonts w:hint="eastAsia"/>
                    </w:rPr>
                    <w:t>符合</w:t>
                  </w:r>
                </w:p>
              </w:tc>
            </w:tr>
            <w:tr w14:paraId="5488795C">
              <w:tblPrEx>
                <w:tblCellMar>
                  <w:top w:w="0" w:type="dxa"/>
                  <w:left w:w="108" w:type="dxa"/>
                  <w:bottom w:w="0" w:type="dxa"/>
                  <w:right w:w="108" w:type="dxa"/>
                </w:tblCellMar>
              </w:tblPrEx>
              <w:trPr>
                <w:trHeight w:val="1140" w:hRule="atLeast"/>
              </w:trPr>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082014">
                  <w:pPr>
                    <w:pStyle w:val="56"/>
                    <w:spacing w:line="240" w:lineRule="auto"/>
                    <w:jc w:val="center"/>
                    <w:rPr>
                      <w:color w:val="auto"/>
                    </w:rPr>
                  </w:pPr>
                </w:p>
              </w:tc>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3AA3D6">
                  <w:pPr>
                    <w:pStyle w:val="56"/>
                    <w:spacing w:line="240" w:lineRule="auto"/>
                    <w:jc w:val="center"/>
                    <w:rPr>
                      <w:color w:val="auto"/>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5B3D1">
                  <w:pPr>
                    <w:pStyle w:val="56"/>
                    <w:bidi w:val="0"/>
                    <w:rPr>
                      <w:color w:val="auto"/>
                    </w:rPr>
                  </w:pPr>
                  <w:r>
                    <w:t>5</w:t>
                  </w:r>
                </w:p>
              </w:tc>
              <w:tc>
                <w:tcPr>
                  <w:tcW w:w="2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F4D57">
                  <w:pPr>
                    <w:pStyle w:val="56"/>
                    <w:bidi w:val="0"/>
                    <w:jc w:val="left"/>
                    <w:rPr>
                      <w:color w:val="auto"/>
                    </w:rPr>
                  </w:pPr>
                  <w:r>
                    <w:rPr>
                      <w:rFonts w:hint="eastAsia"/>
                    </w:rPr>
                    <w:t>加强重金属污染源头防控，减少使用高铊矿石原料。废水、废气排放的涉铊企业要设置除铊治理设施，需相应达到排放标准要求，对于生产废水零排放的项目，企业废水总排口中铊不得检出。</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0087B8">
                  <w:pPr>
                    <w:pStyle w:val="56"/>
                    <w:bidi w:val="0"/>
                    <w:rPr>
                      <w:color w:val="auto"/>
                    </w:rPr>
                  </w:pPr>
                  <w:r>
                    <w:rPr>
                      <w:rFonts w:hint="eastAsia"/>
                    </w:rPr>
                    <w:t>不涉及</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C5721">
                  <w:pPr>
                    <w:pStyle w:val="56"/>
                    <w:bidi w:val="0"/>
                    <w:rPr>
                      <w:color w:val="auto"/>
                    </w:rPr>
                  </w:pPr>
                  <w:r>
                    <w:rPr>
                      <w:rFonts w:hint="eastAsia"/>
                    </w:rPr>
                    <w:t>符合</w:t>
                  </w:r>
                </w:p>
              </w:tc>
            </w:tr>
            <w:tr w14:paraId="11B8CF47">
              <w:tblPrEx>
                <w:tblCellMar>
                  <w:top w:w="0" w:type="dxa"/>
                  <w:left w:w="108" w:type="dxa"/>
                  <w:bottom w:w="0" w:type="dxa"/>
                  <w:right w:w="108" w:type="dxa"/>
                </w:tblCellMar>
              </w:tblPrEx>
              <w:trPr>
                <w:trHeight w:val="1600" w:hRule="atLeast"/>
              </w:trPr>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1B78CD">
                  <w:pPr>
                    <w:pStyle w:val="56"/>
                    <w:spacing w:line="240" w:lineRule="auto"/>
                    <w:jc w:val="center"/>
                    <w:rPr>
                      <w:color w:val="auto"/>
                    </w:rPr>
                  </w:pP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9F2B1">
                  <w:pPr>
                    <w:pStyle w:val="56"/>
                    <w:bidi w:val="0"/>
                    <w:rPr>
                      <w:color w:val="auto"/>
                    </w:rPr>
                  </w:pPr>
                  <w:r>
                    <w:rPr>
                      <w:rFonts w:hint="eastAsia"/>
                    </w:rPr>
                    <w:t>不符合空间布局要求活动的退出要求</w:t>
                  </w: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638E9">
                  <w:pPr>
                    <w:pStyle w:val="56"/>
                    <w:bidi w:val="0"/>
                    <w:rPr>
                      <w:color w:val="auto"/>
                    </w:rPr>
                  </w:pPr>
                  <w:r>
                    <w:t>6</w:t>
                  </w:r>
                </w:p>
              </w:tc>
              <w:tc>
                <w:tcPr>
                  <w:tcW w:w="2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9F735">
                  <w:pPr>
                    <w:pStyle w:val="56"/>
                    <w:bidi w:val="0"/>
                    <w:jc w:val="left"/>
                    <w:rPr>
                      <w:color w:val="auto"/>
                    </w:rPr>
                  </w:pPr>
                  <w:r>
                    <w:rPr>
                      <w:rFonts w:hint="eastAsia"/>
                    </w:rPr>
                    <w:t>城市建成区现有重污染企业（钢铁、水泥、浮化玻璃等）限期退出或改造；依法依规清除距离赣江岸线</w:t>
                  </w:r>
                  <w:r>
                    <w:t>1</w:t>
                  </w:r>
                  <w:r>
                    <w:rPr>
                      <w:rFonts w:hint="eastAsia"/>
                    </w:rPr>
                    <w:t>公里范围内未入园的化工企业，依法关闭</w:t>
                  </w:r>
                  <w:r>
                    <w:t>“</w:t>
                  </w:r>
                  <w:r>
                    <w:rPr>
                      <w:rFonts w:hint="eastAsia"/>
                    </w:rPr>
                    <w:t>小化工</w:t>
                  </w:r>
                  <w:r>
                    <w:t>”</w:t>
                  </w:r>
                  <w:r>
                    <w:rPr>
                      <w:rFonts w:hint="eastAsia"/>
                    </w:rPr>
                    <w:t>企业，全面加强化工企业环境监管。</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61ECB">
                  <w:pPr>
                    <w:pStyle w:val="56"/>
                    <w:bidi w:val="0"/>
                    <w:rPr>
                      <w:color w:val="auto"/>
                    </w:rPr>
                  </w:pPr>
                  <w:r>
                    <w:rPr>
                      <w:rFonts w:hint="eastAsia"/>
                    </w:rPr>
                    <w:t>不涉及</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2734D">
                  <w:pPr>
                    <w:pStyle w:val="56"/>
                    <w:bidi w:val="0"/>
                    <w:rPr>
                      <w:color w:val="auto"/>
                    </w:rPr>
                  </w:pPr>
                  <w:r>
                    <w:rPr>
                      <w:rFonts w:hint="eastAsia"/>
                    </w:rPr>
                    <w:t>符合</w:t>
                  </w:r>
                </w:p>
              </w:tc>
            </w:tr>
            <w:tr w14:paraId="59713AD2">
              <w:tblPrEx>
                <w:tblCellMar>
                  <w:top w:w="0" w:type="dxa"/>
                  <w:left w:w="108" w:type="dxa"/>
                  <w:bottom w:w="0" w:type="dxa"/>
                  <w:right w:w="108" w:type="dxa"/>
                </w:tblCellMar>
              </w:tblPrEx>
              <w:trPr>
                <w:trHeight w:val="1348" w:hRule="atLeast"/>
              </w:trPr>
              <w:tc>
                <w:tcPr>
                  <w:tcW w:w="4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2ECA0E">
                  <w:pPr>
                    <w:pStyle w:val="56"/>
                    <w:bidi w:val="0"/>
                    <w:rPr>
                      <w:color w:val="auto"/>
                    </w:rPr>
                  </w:pPr>
                  <w:r>
                    <w:rPr>
                      <w:rFonts w:hint="eastAsia"/>
                    </w:rPr>
                    <w:t>污染物排放管控</w:t>
                  </w: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AEAE1">
                  <w:pPr>
                    <w:pStyle w:val="56"/>
                    <w:bidi w:val="0"/>
                    <w:rPr>
                      <w:color w:val="auto"/>
                    </w:rPr>
                  </w:pPr>
                  <w:r>
                    <w:rPr>
                      <w:rFonts w:hint="eastAsia"/>
                    </w:rPr>
                    <w:t>允许排放量要求</w:t>
                  </w: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21206">
                  <w:pPr>
                    <w:pStyle w:val="56"/>
                    <w:bidi w:val="0"/>
                    <w:rPr>
                      <w:color w:val="auto"/>
                    </w:rPr>
                  </w:pPr>
                  <w:r>
                    <w:t>7</w:t>
                  </w:r>
                </w:p>
              </w:tc>
              <w:tc>
                <w:tcPr>
                  <w:tcW w:w="2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C065E6">
                  <w:pPr>
                    <w:pStyle w:val="56"/>
                    <w:bidi w:val="0"/>
                    <w:jc w:val="left"/>
                    <w:rPr>
                      <w:color w:val="auto"/>
                    </w:rPr>
                  </w:pPr>
                  <w:r>
                    <w:rPr>
                      <w:rFonts w:hint="eastAsia"/>
                    </w:rPr>
                    <w:t>到</w:t>
                  </w:r>
                  <w:r>
                    <w:t>2025</w:t>
                  </w:r>
                  <w:r>
                    <w:rPr>
                      <w:rFonts w:hint="eastAsia"/>
                    </w:rPr>
                    <w:t>年，全市氮氧化物、挥发性有机物、化学需氧量、氨氮重点工程减排量分别达到</w:t>
                  </w:r>
                  <w:r>
                    <w:t>2665</w:t>
                  </w:r>
                  <w:r>
                    <w:rPr>
                      <w:rFonts w:hint="eastAsia"/>
                    </w:rPr>
                    <w:t>吨、</w:t>
                  </w:r>
                  <w:r>
                    <w:t>1920</w:t>
                  </w:r>
                  <w:r>
                    <w:rPr>
                      <w:rFonts w:hint="eastAsia"/>
                    </w:rPr>
                    <w:t>吨、</w:t>
                  </w:r>
                  <w:r>
                    <w:t>10088</w:t>
                  </w:r>
                  <w:r>
                    <w:rPr>
                      <w:rFonts w:hint="eastAsia"/>
                    </w:rPr>
                    <w:t>吨、</w:t>
                  </w:r>
                  <w:r>
                    <w:t>653</w:t>
                  </w:r>
                  <w:r>
                    <w:rPr>
                      <w:rFonts w:hint="eastAsia"/>
                    </w:rPr>
                    <w:t>吨。强化涉铊项目环境监管，铊污染物水环境承载能力不足的地区限制引入碳酸锂等涉铊项目。</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C53678">
                  <w:pPr>
                    <w:pStyle w:val="56"/>
                    <w:bidi w:val="0"/>
                    <w:jc w:val="left"/>
                    <w:rPr>
                      <w:rFonts w:hint="default" w:eastAsia="宋体"/>
                      <w:color w:val="auto"/>
                      <w:lang w:val="en-US" w:eastAsia="zh-CN"/>
                    </w:rPr>
                  </w:pPr>
                  <w:r>
                    <w:rPr>
                      <w:rFonts w:hint="eastAsia"/>
                    </w:rPr>
                    <w:t>本项目的废水</w:t>
                  </w:r>
                  <w:r>
                    <w:rPr>
                      <w:rFonts w:hint="eastAsia"/>
                      <w:lang w:val="en-US" w:eastAsia="zh-CN"/>
                    </w:rPr>
                    <w:t>排放总量较小</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D85F8">
                  <w:pPr>
                    <w:pStyle w:val="56"/>
                    <w:bidi w:val="0"/>
                    <w:rPr>
                      <w:color w:val="auto"/>
                    </w:rPr>
                  </w:pPr>
                  <w:r>
                    <w:rPr>
                      <w:rFonts w:hint="eastAsia"/>
                    </w:rPr>
                    <w:t>符合</w:t>
                  </w:r>
                </w:p>
              </w:tc>
            </w:tr>
            <w:tr w14:paraId="3010015E">
              <w:tblPrEx>
                <w:tblCellMar>
                  <w:top w:w="0" w:type="dxa"/>
                  <w:left w:w="108" w:type="dxa"/>
                  <w:bottom w:w="0" w:type="dxa"/>
                  <w:right w:w="108" w:type="dxa"/>
                </w:tblCellMar>
              </w:tblPrEx>
              <w:trPr>
                <w:trHeight w:val="2205" w:hRule="atLeast"/>
              </w:trPr>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3F737C">
                  <w:pPr>
                    <w:pStyle w:val="56"/>
                    <w:spacing w:line="240" w:lineRule="auto"/>
                    <w:jc w:val="center"/>
                    <w:rPr>
                      <w:color w:val="auto"/>
                    </w:rPr>
                  </w:pP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39EFE0">
                  <w:pPr>
                    <w:pStyle w:val="56"/>
                    <w:bidi w:val="0"/>
                    <w:rPr>
                      <w:color w:val="auto"/>
                    </w:rPr>
                  </w:pPr>
                  <w:r>
                    <w:rPr>
                      <w:rFonts w:hint="eastAsia"/>
                    </w:rPr>
                    <w:t>现有源提标升级改造</w:t>
                  </w: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88448A">
                  <w:pPr>
                    <w:pStyle w:val="56"/>
                    <w:bidi w:val="0"/>
                    <w:rPr>
                      <w:color w:val="auto"/>
                    </w:rPr>
                  </w:pPr>
                  <w:r>
                    <w:t>8</w:t>
                  </w:r>
                </w:p>
              </w:tc>
              <w:tc>
                <w:tcPr>
                  <w:tcW w:w="2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C4DD6">
                  <w:pPr>
                    <w:pStyle w:val="56"/>
                    <w:bidi w:val="0"/>
                    <w:jc w:val="left"/>
                    <w:rPr>
                      <w:color w:val="auto"/>
                    </w:rPr>
                  </w:pPr>
                  <w:r>
                    <w:rPr>
                      <w:rFonts w:hint="eastAsia"/>
                    </w:rPr>
                    <w:t>到</w:t>
                  </w:r>
                  <w:r>
                    <w:t>2025</w:t>
                  </w:r>
                  <w:r>
                    <w:rPr>
                      <w:rFonts w:hint="eastAsia"/>
                    </w:rPr>
                    <w:t>年底，城市生活污水集中收集率力争达到</w:t>
                  </w:r>
                  <w:r>
                    <w:t>70%</w:t>
                  </w:r>
                  <w:r>
                    <w:rPr>
                      <w:rFonts w:hint="eastAsia"/>
                    </w:rPr>
                    <w:t>以上，进水</w:t>
                  </w:r>
                  <w:r>
                    <w:t>BOD</w:t>
                  </w:r>
                  <w:r>
                    <w:rPr>
                      <w:rFonts w:hint="eastAsia"/>
                    </w:rPr>
                    <w:t>浓度高于</w:t>
                  </w:r>
                  <w:r>
                    <w:t>100mg/L</w:t>
                  </w:r>
                  <w:r>
                    <w:rPr>
                      <w:rFonts w:hint="eastAsia"/>
                    </w:rPr>
                    <w:t>的城市生活污水处理厂规模占比达</w:t>
                  </w:r>
                  <w:r>
                    <w:t>90%</w:t>
                  </w:r>
                  <w:r>
                    <w:rPr>
                      <w:rFonts w:hint="eastAsia"/>
                    </w:rPr>
                    <w:t>以上；县城生活污水集中收集率较</w:t>
                  </w:r>
                  <w:r>
                    <w:t>2021</w:t>
                  </w:r>
                  <w:r>
                    <w:rPr>
                      <w:rFonts w:hint="eastAsia"/>
                    </w:rPr>
                    <w:t>年提高</w:t>
                  </w:r>
                  <w:r>
                    <w:t>10</w:t>
                  </w:r>
                  <w:r>
                    <w:rPr>
                      <w:rFonts w:hint="eastAsia"/>
                    </w:rPr>
                    <w:t>个百分点以上，各县城生活污水处理率达到</w:t>
                  </w:r>
                  <w:r>
                    <w:t>95%</w:t>
                  </w:r>
                  <w:r>
                    <w:rPr>
                      <w:rFonts w:hint="eastAsia"/>
                    </w:rPr>
                    <w:t>以上，城镇生活污水处理厂进水生化需氧量（</w:t>
                  </w:r>
                  <w:r>
                    <w:t>BOD</w:t>
                  </w:r>
                  <w:r>
                    <w:rPr>
                      <w:rFonts w:hint="eastAsia"/>
                    </w:rPr>
                    <w:t>）浓度力争达到</w:t>
                  </w:r>
                  <w:r>
                    <w:t>100mg/L</w:t>
                  </w:r>
                  <w:r>
                    <w:rPr>
                      <w:rFonts w:hint="eastAsia"/>
                    </w:rPr>
                    <w:t>以上或较</w:t>
                  </w:r>
                  <w:r>
                    <w:t>2021</w:t>
                  </w:r>
                  <w:r>
                    <w:rPr>
                      <w:rFonts w:hint="eastAsia"/>
                    </w:rPr>
                    <w:t>年底提升</w:t>
                  </w:r>
                  <w:r>
                    <w:t>20mg/L</w:t>
                  </w:r>
                  <w:r>
                    <w:rPr>
                      <w:rFonts w:hint="eastAsia"/>
                    </w:rPr>
                    <w:t>以上。</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FCF35A">
                  <w:pPr>
                    <w:pStyle w:val="56"/>
                    <w:bidi w:val="0"/>
                    <w:rPr>
                      <w:color w:val="auto"/>
                    </w:rPr>
                  </w:pPr>
                  <w:r>
                    <w:rPr>
                      <w:rFonts w:hint="eastAsia"/>
                    </w:rPr>
                    <w:t>不涉及</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6BDBA">
                  <w:pPr>
                    <w:pStyle w:val="56"/>
                    <w:bidi w:val="0"/>
                    <w:rPr>
                      <w:color w:val="auto"/>
                    </w:rPr>
                  </w:pPr>
                  <w:r>
                    <w:rPr>
                      <w:rFonts w:hint="eastAsia"/>
                    </w:rPr>
                    <w:t>符合</w:t>
                  </w:r>
                </w:p>
              </w:tc>
            </w:tr>
            <w:tr w14:paraId="12A3EC22">
              <w:tblPrEx>
                <w:tblCellMar>
                  <w:top w:w="0" w:type="dxa"/>
                  <w:left w:w="108" w:type="dxa"/>
                  <w:bottom w:w="0" w:type="dxa"/>
                  <w:right w:w="108" w:type="dxa"/>
                </w:tblCellMar>
              </w:tblPrEx>
              <w:trPr>
                <w:trHeight w:val="330"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5071D">
                  <w:pPr>
                    <w:pStyle w:val="56"/>
                    <w:bidi w:val="0"/>
                    <w:rPr>
                      <w:color w:val="auto"/>
                    </w:rPr>
                  </w:pPr>
                  <w:r>
                    <w:rPr>
                      <w:rFonts w:hint="eastAsia"/>
                    </w:rPr>
                    <w:t>环境风险防控</w:t>
                  </w: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FABA7">
                  <w:pPr>
                    <w:pStyle w:val="56"/>
                    <w:bidi w:val="0"/>
                    <w:rPr>
                      <w:color w:val="auto"/>
                    </w:rPr>
                  </w:pPr>
                  <w:r>
                    <w:rPr>
                      <w:rFonts w:hint="eastAsia"/>
                    </w:rPr>
                    <w:t>联防联控要求</w:t>
                  </w: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A871C">
                  <w:pPr>
                    <w:pStyle w:val="56"/>
                    <w:bidi w:val="0"/>
                    <w:rPr>
                      <w:color w:val="auto"/>
                    </w:rPr>
                  </w:pPr>
                  <w:r>
                    <w:t>9</w:t>
                  </w:r>
                </w:p>
              </w:tc>
              <w:tc>
                <w:tcPr>
                  <w:tcW w:w="2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1DEE1">
                  <w:pPr>
                    <w:pStyle w:val="56"/>
                    <w:bidi w:val="0"/>
                    <w:jc w:val="left"/>
                    <w:rPr>
                      <w:color w:val="auto"/>
                    </w:rPr>
                  </w:pPr>
                  <w:r>
                    <w:rPr>
                      <w:rFonts w:hint="eastAsia"/>
                    </w:rPr>
                    <w:t>建立企业、园区、地方政府之间环境风险联防联控体系和联合应急体系；增强与萍乡、新余等地的联系，完善流域合作，推动建立跨区域的袁河流域水污染防治联动协作机制。</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E594D">
                  <w:pPr>
                    <w:pStyle w:val="56"/>
                    <w:bidi w:val="0"/>
                    <w:jc w:val="left"/>
                    <w:rPr>
                      <w:color w:val="auto"/>
                    </w:rPr>
                  </w:pPr>
                  <w:r>
                    <w:rPr>
                      <w:rFonts w:hint="eastAsia"/>
                    </w:rPr>
                    <w:t>项目按要求制定突发环境事件应急预案</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BCB1F">
                  <w:pPr>
                    <w:pStyle w:val="56"/>
                    <w:bidi w:val="0"/>
                    <w:rPr>
                      <w:color w:val="auto"/>
                    </w:rPr>
                  </w:pPr>
                  <w:r>
                    <w:rPr>
                      <w:rFonts w:hint="eastAsia"/>
                    </w:rPr>
                    <w:t>符合</w:t>
                  </w:r>
                </w:p>
              </w:tc>
            </w:tr>
            <w:tr w14:paraId="777673DE">
              <w:tblPrEx>
                <w:tblCellMar>
                  <w:top w:w="0" w:type="dxa"/>
                  <w:left w:w="108" w:type="dxa"/>
                  <w:bottom w:w="0" w:type="dxa"/>
                  <w:right w:w="108" w:type="dxa"/>
                </w:tblCellMar>
              </w:tblPrEx>
              <w:trPr>
                <w:trHeight w:val="1440" w:hRule="atLeast"/>
              </w:trPr>
              <w:tc>
                <w:tcPr>
                  <w:tcW w:w="4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C6D34A">
                  <w:pPr>
                    <w:pStyle w:val="56"/>
                    <w:bidi w:val="0"/>
                    <w:rPr>
                      <w:color w:val="auto"/>
                    </w:rPr>
                  </w:pPr>
                  <w:r>
                    <w:rPr>
                      <w:rFonts w:hint="eastAsia"/>
                    </w:rPr>
                    <w:t>资源利用效率要求</w:t>
                  </w: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431FF">
                  <w:pPr>
                    <w:pStyle w:val="56"/>
                    <w:bidi w:val="0"/>
                    <w:rPr>
                      <w:color w:val="auto"/>
                    </w:rPr>
                  </w:pPr>
                  <w:r>
                    <w:rPr>
                      <w:rFonts w:hint="eastAsia"/>
                    </w:rPr>
                    <w:t>水资源利用总量要求</w:t>
                  </w: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D5FAB">
                  <w:pPr>
                    <w:pStyle w:val="56"/>
                    <w:bidi w:val="0"/>
                    <w:rPr>
                      <w:color w:val="auto"/>
                    </w:rPr>
                  </w:pPr>
                  <w:r>
                    <w:t>10</w:t>
                  </w:r>
                </w:p>
              </w:tc>
              <w:tc>
                <w:tcPr>
                  <w:tcW w:w="2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58434">
                  <w:pPr>
                    <w:pStyle w:val="56"/>
                    <w:bidi w:val="0"/>
                    <w:jc w:val="left"/>
                    <w:rPr>
                      <w:color w:val="auto"/>
                    </w:rPr>
                  </w:pPr>
                  <w:r>
                    <w:rPr>
                      <w:rFonts w:hint="eastAsia"/>
                    </w:rPr>
                    <w:t>到</w:t>
                  </w:r>
                  <w:r>
                    <w:t>2025</w:t>
                  </w:r>
                  <w:r>
                    <w:rPr>
                      <w:rFonts w:hint="eastAsia"/>
                    </w:rPr>
                    <w:t>年全市水资源利用量控制在</w:t>
                  </w:r>
                  <w:r>
                    <w:t>36.87</w:t>
                  </w:r>
                  <w:r>
                    <w:rPr>
                      <w:rFonts w:hint="eastAsia"/>
                    </w:rPr>
                    <w:t>亿立方米，万元国内生产总值用水量比</w:t>
                  </w:r>
                  <w:r>
                    <w:t>2020</w:t>
                  </w:r>
                  <w:r>
                    <w:rPr>
                      <w:rFonts w:hint="eastAsia"/>
                    </w:rPr>
                    <w:t>年下降</w:t>
                  </w:r>
                  <w:r>
                    <w:t>23%</w:t>
                  </w:r>
                  <w:r>
                    <w:rPr>
                      <w:rFonts w:hint="eastAsia"/>
                    </w:rPr>
                    <w:t>，万元工业增加值用水量比</w:t>
                  </w:r>
                  <w:r>
                    <w:t>2020</w:t>
                  </w:r>
                  <w:r>
                    <w:rPr>
                      <w:rFonts w:hint="eastAsia"/>
                    </w:rPr>
                    <w:t>年下降</w:t>
                  </w:r>
                  <w:r>
                    <w:t>16%</w:t>
                  </w:r>
                  <w:r>
                    <w:rPr>
                      <w:rFonts w:hint="eastAsia"/>
                    </w:rPr>
                    <w:t>。</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06923C">
                  <w:pPr>
                    <w:pStyle w:val="56"/>
                    <w:bidi w:val="0"/>
                    <w:rPr>
                      <w:rFonts w:hint="default" w:eastAsia="宋体"/>
                      <w:color w:val="auto"/>
                      <w:lang w:val="en-US" w:eastAsia="zh-CN"/>
                    </w:rPr>
                  </w:pPr>
                  <w:r>
                    <w:rPr>
                      <w:rFonts w:hint="eastAsia"/>
                      <w:color w:val="auto"/>
                      <w:lang w:val="en-US" w:eastAsia="zh-CN"/>
                    </w:rPr>
                    <w:t>项目水资源利用量较小</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CA65A">
                  <w:pPr>
                    <w:pStyle w:val="56"/>
                    <w:bidi w:val="0"/>
                    <w:rPr>
                      <w:color w:val="auto"/>
                    </w:rPr>
                  </w:pPr>
                  <w:r>
                    <w:rPr>
                      <w:rFonts w:hint="eastAsia"/>
                    </w:rPr>
                    <w:t>符合</w:t>
                  </w:r>
                </w:p>
              </w:tc>
            </w:tr>
            <w:tr w14:paraId="60CDBE41">
              <w:tblPrEx>
                <w:tblCellMar>
                  <w:top w:w="0" w:type="dxa"/>
                  <w:left w:w="108" w:type="dxa"/>
                  <w:bottom w:w="0" w:type="dxa"/>
                  <w:right w:w="108" w:type="dxa"/>
                </w:tblCellMar>
              </w:tblPrEx>
              <w:trPr>
                <w:trHeight w:val="570" w:hRule="atLeast"/>
              </w:trPr>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25D15D">
                  <w:pPr>
                    <w:pStyle w:val="56"/>
                    <w:spacing w:line="240" w:lineRule="auto"/>
                    <w:jc w:val="center"/>
                    <w:rPr>
                      <w:color w:val="auto"/>
                    </w:rPr>
                  </w:pP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71640">
                  <w:pPr>
                    <w:pStyle w:val="56"/>
                    <w:bidi w:val="0"/>
                    <w:rPr>
                      <w:color w:val="auto"/>
                    </w:rPr>
                  </w:pPr>
                  <w:r>
                    <w:rPr>
                      <w:rFonts w:hint="eastAsia"/>
                    </w:rPr>
                    <w:t>地下水开采要求</w:t>
                  </w: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EDD3A">
                  <w:pPr>
                    <w:pStyle w:val="56"/>
                    <w:bidi w:val="0"/>
                    <w:rPr>
                      <w:color w:val="auto"/>
                    </w:rPr>
                  </w:pPr>
                  <w:r>
                    <w:t>11</w:t>
                  </w:r>
                </w:p>
              </w:tc>
              <w:tc>
                <w:tcPr>
                  <w:tcW w:w="2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6AC51B">
                  <w:pPr>
                    <w:pStyle w:val="56"/>
                    <w:bidi w:val="0"/>
                    <w:jc w:val="left"/>
                    <w:rPr>
                      <w:rFonts w:hint="eastAsia" w:eastAsia="宋体"/>
                      <w:color w:val="auto"/>
                      <w:lang w:eastAsia="zh-CN"/>
                    </w:rPr>
                  </w:pPr>
                  <w:r>
                    <w:rPr>
                      <w:rFonts w:hint="eastAsia"/>
                    </w:rPr>
                    <w:t>禁止在塌陷区、地质灾害危险区域开采地下水</w:t>
                  </w:r>
                  <w:r>
                    <w:rPr>
                      <w:rFonts w:hint="eastAsia"/>
                      <w:lang w:eastAsia="zh-CN"/>
                    </w:rPr>
                    <w:t>。</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90697D">
                  <w:pPr>
                    <w:pStyle w:val="56"/>
                    <w:bidi w:val="0"/>
                    <w:rPr>
                      <w:color w:val="auto"/>
                    </w:rPr>
                  </w:pPr>
                  <w:r>
                    <w:rPr>
                      <w:rFonts w:hint="eastAsia"/>
                    </w:rPr>
                    <w:t>不涉及</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E9144">
                  <w:pPr>
                    <w:pStyle w:val="56"/>
                    <w:bidi w:val="0"/>
                    <w:rPr>
                      <w:color w:val="auto"/>
                    </w:rPr>
                  </w:pPr>
                  <w:r>
                    <w:rPr>
                      <w:rFonts w:hint="eastAsia"/>
                    </w:rPr>
                    <w:t>符合</w:t>
                  </w:r>
                </w:p>
              </w:tc>
            </w:tr>
            <w:tr w14:paraId="55313AA4">
              <w:tblPrEx>
                <w:tblCellMar>
                  <w:top w:w="0" w:type="dxa"/>
                  <w:left w:w="108" w:type="dxa"/>
                  <w:bottom w:w="0" w:type="dxa"/>
                  <w:right w:w="108" w:type="dxa"/>
                </w:tblCellMar>
              </w:tblPrEx>
              <w:trPr>
                <w:trHeight w:val="1520" w:hRule="atLeast"/>
              </w:trPr>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41BC47">
                  <w:pPr>
                    <w:pStyle w:val="56"/>
                    <w:spacing w:line="240" w:lineRule="auto"/>
                    <w:jc w:val="center"/>
                    <w:rPr>
                      <w:color w:val="auto"/>
                    </w:rPr>
                  </w:pP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3B752">
                  <w:pPr>
                    <w:pStyle w:val="56"/>
                    <w:bidi w:val="0"/>
                    <w:rPr>
                      <w:color w:val="auto"/>
                    </w:rPr>
                  </w:pPr>
                  <w:r>
                    <w:rPr>
                      <w:rFonts w:hint="eastAsia"/>
                    </w:rPr>
                    <w:t>能源利用总量及效率要求</w:t>
                  </w: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48DEF2">
                  <w:pPr>
                    <w:pStyle w:val="56"/>
                    <w:bidi w:val="0"/>
                    <w:rPr>
                      <w:color w:val="auto"/>
                    </w:rPr>
                  </w:pPr>
                  <w:r>
                    <w:t>12</w:t>
                  </w:r>
                </w:p>
              </w:tc>
              <w:tc>
                <w:tcPr>
                  <w:tcW w:w="2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0D07E6">
                  <w:pPr>
                    <w:pStyle w:val="56"/>
                    <w:bidi w:val="0"/>
                    <w:jc w:val="left"/>
                    <w:rPr>
                      <w:color w:val="auto"/>
                    </w:rPr>
                  </w:pPr>
                  <w:r>
                    <w:rPr>
                      <w:rFonts w:hint="eastAsia"/>
                    </w:rPr>
                    <w:t>到</w:t>
                  </w:r>
                  <w:r>
                    <w:t>2025</w:t>
                  </w:r>
                  <w:r>
                    <w:rPr>
                      <w:rFonts w:hint="eastAsia"/>
                    </w:rPr>
                    <w:t>年，全市单位生产总值能源消耗比</w:t>
                  </w:r>
                  <w:r>
                    <w:t>2020</w:t>
                  </w:r>
                  <w:r>
                    <w:rPr>
                      <w:rFonts w:hint="eastAsia"/>
                    </w:rPr>
                    <w:t>年下降</w:t>
                  </w:r>
                  <w:r>
                    <w:t>15.5%</w:t>
                  </w:r>
                  <w:r>
                    <w:rPr>
                      <w:rFonts w:hint="eastAsia"/>
                    </w:rPr>
                    <w:t>，力争达到</w:t>
                  </w:r>
                  <w:r>
                    <w:t>16%</w:t>
                  </w:r>
                  <w:r>
                    <w:rPr>
                      <w:rFonts w:hint="eastAsia"/>
                    </w:rPr>
                    <w:t>，能源消费总量得到合理控制。</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27482">
                  <w:pPr>
                    <w:pStyle w:val="56"/>
                    <w:bidi w:val="0"/>
                    <w:rPr>
                      <w:color w:val="auto"/>
                    </w:rPr>
                  </w:pPr>
                  <w:r>
                    <w:rPr>
                      <w:rFonts w:hint="eastAsia"/>
                    </w:rPr>
                    <w:t>/</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BD134">
                  <w:pPr>
                    <w:pStyle w:val="56"/>
                    <w:bidi w:val="0"/>
                    <w:rPr>
                      <w:color w:val="auto"/>
                    </w:rPr>
                  </w:pPr>
                  <w:r>
                    <w:rPr>
                      <w:rFonts w:hint="eastAsia"/>
                    </w:rPr>
                    <w:t>符合</w:t>
                  </w:r>
                </w:p>
              </w:tc>
            </w:tr>
            <w:tr w14:paraId="3EB55E20">
              <w:tblPrEx>
                <w:tblCellMar>
                  <w:top w:w="0" w:type="dxa"/>
                  <w:left w:w="108" w:type="dxa"/>
                  <w:bottom w:w="0" w:type="dxa"/>
                  <w:right w:w="108" w:type="dxa"/>
                </w:tblCellMar>
              </w:tblPrEx>
              <w:trPr>
                <w:trHeight w:val="855" w:hRule="atLeast"/>
              </w:trPr>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01B90E">
                  <w:pPr>
                    <w:pStyle w:val="56"/>
                    <w:spacing w:line="240" w:lineRule="auto"/>
                    <w:jc w:val="center"/>
                    <w:rPr>
                      <w:color w:val="auto"/>
                    </w:rPr>
                  </w:pP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30D27">
                  <w:pPr>
                    <w:pStyle w:val="56"/>
                    <w:bidi w:val="0"/>
                    <w:rPr>
                      <w:color w:val="auto"/>
                    </w:rPr>
                  </w:pPr>
                  <w:r>
                    <w:rPr>
                      <w:rFonts w:hint="eastAsia"/>
                    </w:rPr>
                    <w:t>禁燃区要求</w:t>
                  </w: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29D36">
                  <w:pPr>
                    <w:pStyle w:val="56"/>
                    <w:bidi w:val="0"/>
                    <w:rPr>
                      <w:color w:val="auto"/>
                    </w:rPr>
                  </w:pPr>
                  <w:r>
                    <w:t>13</w:t>
                  </w:r>
                </w:p>
              </w:tc>
              <w:tc>
                <w:tcPr>
                  <w:tcW w:w="2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C17DB">
                  <w:pPr>
                    <w:pStyle w:val="56"/>
                    <w:bidi w:val="0"/>
                    <w:jc w:val="left"/>
                    <w:rPr>
                      <w:color w:val="auto"/>
                    </w:rPr>
                  </w:pPr>
                  <w:r>
                    <w:rPr>
                      <w:rFonts w:hint="eastAsia"/>
                    </w:rPr>
                    <w:t>禁止新建、扩建燃用高污染燃料的项目和设施，已建成的应逐步或依法限期改用天然气、电或者其他清洁能源。</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540F9">
                  <w:pPr>
                    <w:pStyle w:val="56"/>
                    <w:bidi w:val="0"/>
                    <w:rPr>
                      <w:color w:val="auto"/>
                    </w:rPr>
                  </w:pPr>
                  <w:r>
                    <w:rPr>
                      <w:rFonts w:hint="eastAsia"/>
                    </w:rPr>
                    <w:t>不涉及</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B9893">
                  <w:pPr>
                    <w:pStyle w:val="56"/>
                    <w:bidi w:val="0"/>
                    <w:rPr>
                      <w:color w:val="auto"/>
                    </w:rPr>
                  </w:pPr>
                  <w:r>
                    <w:rPr>
                      <w:rFonts w:hint="eastAsia"/>
                    </w:rPr>
                    <w:t>符合</w:t>
                  </w:r>
                </w:p>
              </w:tc>
            </w:tr>
          </w:tbl>
          <w:p w14:paraId="35185013">
            <w:pPr>
              <w:pStyle w:val="62"/>
              <w:bidi w:val="0"/>
            </w:pPr>
            <w:r>
              <w:rPr>
                <w:rFonts w:hint="default"/>
                <w:lang w:val="en-US" w:eastAsia="zh-CN"/>
              </w:rPr>
              <w:t>表1-</w:t>
            </w:r>
            <w:r>
              <w:rPr>
                <w:rFonts w:hint="eastAsia"/>
                <w:lang w:val="en-US" w:eastAsia="zh-CN"/>
              </w:rPr>
              <w:t>7</w:t>
            </w:r>
            <w:r>
              <w:rPr>
                <w:rFonts w:hint="default"/>
                <w:lang w:val="en-US" w:eastAsia="zh-CN"/>
              </w:rPr>
              <w:t xml:space="preserve"> </w:t>
            </w:r>
            <w:r>
              <w:t>高安市环境管控单元生态环境准入清单</w:t>
            </w:r>
          </w:p>
          <w:tbl>
            <w:tblPr>
              <w:tblStyle w:val="4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7"/>
              <w:gridCol w:w="3557"/>
              <w:gridCol w:w="1587"/>
              <w:gridCol w:w="1256"/>
            </w:tblGrid>
            <w:tr w14:paraId="327C9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78" w:type="dxa"/>
                  <w:gridSpan w:val="2"/>
                  <w:vAlign w:val="center"/>
                </w:tcPr>
                <w:p w14:paraId="45C0D713">
                  <w:pPr>
                    <w:pStyle w:val="56"/>
                    <w:bidi w:val="0"/>
                    <w:rPr>
                      <w:color w:val="auto"/>
                    </w:rPr>
                  </w:pPr>
                  <w:r>
                    <w:rPr>
                      <w:rFonts w:hint="eastAsia"/>
                    </w:rPr>
                    <w:t>环境</w:t>
                  </w:r>
                  <w:r>
                    <w:t>管控单元名称</w:t>
                  </w:r>
                </w:p>
              </w:tc>
              <w:tc>
                <w:tcPr>
                  <w:tcW w:w="1588" w:type="dxa"/>
                  <w:vAlign w:val="center"/>
                </w:tcPr>
                <w:p w14:paraId="4FA24379">
                  <w:pPr>
                    <w:pStyle w:val="56"/>
                    <w:bidi w:val="0"/>
                    <w:jc w:val="left"/>
                    <w:rPr>
                      <w:color w:val="auto"/>
                    </w:rPr>
                  </w:pPr>
                  <w:r>
                    <w:t>江西省宜春市高安市重点管控单元</w:t>
                  </w:r>
                  <w:r>
                    <w:rPr>
                      <w:rFonts w:hint="eastAsia"/>
                    </w:rPr>
                    <w:t>2</w:t>
                  </w:r>
                </w:p>
              </w:tc>
              <w:tc>
                <w:tcPr>
                  <w:tcW w:w="1257" w:type="dxa"/>
                  <w:vMerge w:val="restart"/>
                  <w:vAlign w:val="center"/>
                </w:tcPr>
                <w:p w14:paraId="7BCCD44A">
                  <w:pPr>
                    <w:pStyle w:val="56"/>
                    <w:bidi w:val="0"/>
                    <w:rPr>
                      <w:color w:val="auto"/>
                    </w:rPr>
                  </w:pPr>
                  <w:r>
                    <w:t>本项目情况</w:t>
                  </w:r>
                </w:p>
              </w:tc>
            </w:tr>
            <w:tr w14:paraId="50D23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78" w:type="dxa"/>
                  <w:gridSpan w:val="2"/>
                  <w:vAlign w:val="center"/>
                </w:tcPr>
                <w:p w14:paraId="7A9D2643">
                  <w:pPr>
                    <w:pStyle w:val="56"/>
                    <w:bidi w:val="0"/>
                    <w:rPr>
                      <w:color w:val="auto"/>
                    </w:rPr>
                  </w:pPr>
                  <w:r>
                    <w:t>管控单元编码</w:t>
                  </w:r>
                </w:p>
              </w:tc>
              <w:tc>
                <w:tcPr>
                  <w:tcW w:w="1588" w:type="dxa"/>
                  <w:vAlign w:val="center"/>
                </w:tcPr>
                <w:p w14:paraId="785952E7">
                  <w:pPr>
                    <w:pStyle w:val="56"/>
                    <w:bidi w:val="0"/>
                    <w:jc w:val="left"/>
                    <w:rPr>
                      <w:color w:val="auto"/>
                    </w:rPr>
                  </w:pPr>
                  <w:r>
                    <w:t>ZH36098320002</w:t>
                  </w:r>
                </w:p>
              </w:tc>
              <w:tc>
                <w:tcPr>
                  <w:tcW w:w="1257" w:type="dxa"/>
                  <w:vMerge w:val="continue"/>
                  <w:vAlign w:val="center"/>
                </w:tcPr>
                <w:p w14:paraId="3C77D2B2">
                  <w:pPr>
                    <w:pStyle w:val="56"/>
                    <w:spacing w:line="240" w:lineRule="auto"/>
                    <w:jc w:val="center"/>
                    <w:rPr>
                      <w:color w:val="auto"/>
                    </w:rPr>
                  </w:pPr>
                </w:p>
              </w:tc>
            </w:tr>
            <w:tr w14:paraId="53063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78" w:type="dxa"/>
                  <w:gridSpan w:val="2"/>
                  <w:vAlign w:val="center"/>
                </w:tcPr>
                <w:p w14:paraId="6BBAC45C">
                  <w:pPr>
                    <w:pStyle w:val="56"/>
                    <w:bidi w:val="0"/>
                    <w:rPr>
                      <w:color w:val="auto"/>
                    </w:rPr>
                  </w:pPr>
                  <w:r>
                    <w:rPr>
                      <w:rFonts w:hint="eastAsia"/>
                    </w:rPr>
                    <w:t>环境管控单元</w:t>
                  </w:r>
                  <w:r>
                    <w:t>范围</w:t>
                  </w:r>
                </w:p>
              </w:tc>
              <w:tc>
                <w:tcPr>
                  <w:tcW w:w="1588" w:type="dxa"/>
                  <w:vAlign w:val="center"/>
                </w:tcPr>
                <w:p w14:paraId="5DAC047C">
                  <w:pPr>
                    <w:pStyle w:val="56"/>
                    <w:bidi w:val="0"/>
                    <w:jc w:val="left"/>
                    <w:rPr>
                      <w:color w:val="auto"/>
                    </w:rPr>
                  </w:pPr>
                  <w:r>
                    <w:t>高安市工业园区（新世纪产业园、建筑陶瓷产业园、建材环保产业园）</w:t>
                  </w:r>
                </w:p>
              </w:tc>
              <w:tc>
                <w:tcPr>
                  <w:tcW w:w="1257" w:type="dxa"/>
                  <w:vAlign w:val="center"/>
                </w:tcPr>
                <w:p w14:paraId="518D1675">
                  <w:pPr>
                    <w:pStyle w:val="56"/>
                    <w:bidi w:val="0"/>
                    <w:rPr>
                      <w:color w:val="auto"/>
                    </w:rPr>
                  </w:pPr>
                  <w:r>
                    <w:t>本项目位于新世纪产业园</w:t>
                  </w:r>
                </w:p>
              </w:tc>
            </w:tr>
            <w:tr w14:paraId="40043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78" w:type="dxa"/>
                  <w:gridSpan w:val="2"/>
                  <w:vAlign w:val="center"/>
                </w:tcPr>
                <w:p w14:paraId="332A7598">
                  <w:pPr>
                    <w:pStyle w:val="56"/>
                    <w:bidi w:val="0"/>
                    <w:rPr>
                      <w:color w:val="auto"/>
                    </w:rPr>
                  </w:pPr>
                  <w:r>
                    <w:t>管控要求</w:t>
                  </w:r>
                </w:p>
              </w:tc>
              <w:tc>
                <w:tcPr>
                  <w:tcW w:w="1588" w:type="dxa"/>
                  <w:vAlign w:val="center"/>
                </w:tcPr>
                <w:p w14:paraId="38FC5BBA">
                  <w:pPr>
                    <w:pStyle w:val="56"/>
                    <w:bidi w:val="0"/>
                    <w:rPr>
                      <w:color w:val="auto"/>
                    </w:rPr>
                  </w:pPr>
                  <w:r>
                    <w:rPr>
                      <w:rFonts w:hint="eastAsia"/>
                    </w:rPr>
                    <w:t>本项目情况</w:t>
                  </w:r>
                </w:p>
              </w:tc>
              <w:tc>
                <w:tcPr>
                  <w:tcW w:w="1257" w:type="dxa"/>
                  <w:vAlign w:val="center"/>
                </w:tcPr>
                <w:p w14:paraId="51DAD0B9">
                  <w:pPr>
                    <w:pStyle w:val="56"/>
                    <w:bidi w:val="0"/>
                    <w:rPr>
                      <w:color w:val="auto"/>
                    </w:rPr>
                  </w:pPr>
                  <w:r>
                    <w:rPr>
                      <w:rFonts w:hint="eastAsia"/>
                    </w:rPr>
                    <w:t>相符性分析</w:t>
                  </w:r>
                </w:p>
              </w:tc>
            </w:tr>
            <w:tr w14:paraId="7CF04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dxa"/>
                  <w:vAlign w:val="center"/>
                </w:tcPr>
                <w:p w14:paraId="1F07E54E">
                  <w:pPr>
                    <w:pStyle w:val="56"/>
                    <w:bidi w:val="0"/>
                    <w:rPr>
                      <w:color w:val="auto"/>
                    </w:rPr>
                  </w:pPr>
                  <w:r>
                    <w:rPr>
                      <w:rFonts w:hint="eastAsia"/>
                    </w:rPr>
                    <w:t>空间约束管控</w:t>
                  </w:r>
                </w:p>
              </w:tc>
              <w:tc>
                <w:tcPr>
                  <w:tcW w:w="3561" w:type="dxa"/>
                  <w:vAlign w:val="center"/>
                </w:tcPr>
                <w:p w14:paraId="577BCC50">
                  <w:pPr>
                    <w:pStyle w:val="56"/>
                    <w:bidi w:val="0"/>
                    <w:jc w:val="left"/>
                  </w:pPr>
                  <w:r>
                    <w:t>1.禁止新建不符合产业定位或碳排放要求的“两高”项目。</w:t>
                  </w:r>
                </w:p>
                <w:p w14:paraId="7BEAF93F">
                  <w:pPr>
                    <w:pStyle w:val="56"/>
                    <w:bidi w:val="0"/>
                    <w:jc w:val="left"/>
                  </w:pPr>
                  <w:r>
                    <w:t>2.入园项目应符合《产业结构调整指导目录》《长江经济带发展负面清单指南（试行，2022版）的通知》（长江办〔2022〕7号）等国家和地方产业政策和园区布局规划等要求。</w:t>
                  </w:r>
                </w:p>
                <w:p w14:paraId="1FE1D649">
                  <w:pPr>
                    <w:pStyle w:val="56"/>
                    <w:bidi w:val="0"/>
                    <w:jc w:val="left"/>
                  </w:pPr>
                  <w:r>
                    <w:t>3.逐步迁出（调整）不符合园区规划的陶瓷、化工、皮革等污染严重产业，依法取缔超标严重且治理无望的企业。</w:t>
                  </w:r>
                </w:p>
                <w:p w14:paraId="364944F3">
                  <w:pPr>
                    <w:pStyle w:val="56"/>
                    <w:bidi w:val="0"/>
                    <w:jc w:val="left"/>
                  </w:pPr>
                  <w:r>
                    <w:t>4.严控碳酸锂产能，不再引进单一的锂云母生产碳酸锂项目。</w:t>
                  </w:r>
                </w:p>
                <w:p w14:paraId="3CCA48BD">
                  <w:pPr>
                    <w:pStyle w:val="56"/>
                    <w:bidi w:val="0"/>
                    <w:jc w:val="left"/>
                    <w:rPr>
                      <w:color w:val="auto"/>
                    </w:rPr>
                  </w:pPr>
                  <w:r>
                    <w:t>5.新建碳酸锂项目规模不得小于5000吨/年，以锂云母、锂辉石、锂渣等为原料进行焙烧生产碳酸锂及其他中间产品等项目生产按照无机化工项目管理要求，不须进入化工园区但原则上应进入省政府认定的工业园区。</w:t>
                  </w:r>
                </w:p>
              </w:tc>
              <w:tc>
                <w:tcPr>
                  <w:tcW w:w="1588" w:type="dxa"/>
                  <w:vAlign w:val="center"/>
                </w:tcPr>
                <w:p w14:paraId="0BFFCEB5">
                  <w:pPr>
                    <w:pStyle w:val="56"/>
                    <w:bidi w:val="0"/>
                    <w:jc w:val="left"/>
                    <w:rPr>
                      <w:rFonts w:hint="eastAsia" w:eastAsia="宋体"/>
                      <w:color w:val="auto"/>
                      <w:lang w:eastAsia="zh-CN"/>
                    </w:rPr>
                  </w:pPr>
                  <w:r>
                    <w:rPr>
                      <w:rFonts w:hint="eastAsia"/>
                    </w:rPr>
                    <w:t>本项目符合</w:t>
                  </w:r>
                  <w:r>
                    <w:t>《产业结构调整指导目录》《长江经济带发展负面清单指南（试行，2022版）的通知》（长江办〔2022〕7号）等国家和地方产业政策和园区布局规划等要求</w:t>
                  </w:r>
                  <w:r>
                    <w:rPr>
                      <w:rFonts w:hint="eastAsia"/>
                    </w:rPr>
                    <w:t>，不属于碳酸锂项目，不属于</w:t>
                  </w:r>
                  <w:r>
                    <w:t>不符合产业定位或碳排放要求的“两高”项目</w:t>
                  </w:r>
                  <w:r>
                    <w:rPr>
                      <w:rFonts w:hint="eastAsia"/>
                      <w:lang w:eastAsia="zh-CN"/>
                    </w:rPr>
                    <w:t>。</w:t>
                  </w:r>
                </w:p>
              </w:tc>
              <w:tc>
                <w:tcPr>
                  <w:tcW w:w="1257" w:type="dxa"/>
                  <w:vAlign w:val="center"/>
                </w:tcPr>
                <w:p w14:paraId="46975006">
                  <w:pPr>
                    <w:pStyle w:val="56"/>
                    <w:bidi w:val="0"/>
                    <w:rPr>
                      <w:color w:val="auto"/>
                    </w:rPr>
                  </w:pPr>
                  <w:r>
                    <w:rPr>
                      <w:rFonts w:hint="eastAsia"/>
                    </w:rPr>
                    <w:t>相符</w:t>
                  </w:r>
                </w:p>
              </w:tc>
            </w:tr>
            <w:tr w14:paraId="7405F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dxa"/>
                  <w:vAlign w:val="center"/>
                </w:tcPr>
                <w:p w14:paraId="4365906C">
                  <w:pPr>
                    <w:pStyle w:val="56"/>
                    <w:bidi w:val="0"/>
                    <w:rPr>
                      <w:color w:val="auto"/>
                    </w:rPr>
                  </w:pPr>
                  <w:r>
                    <w:t>污染物排放管控</w:t>
                  </w:r>
                </w:p>
              </w:tc>
              <w:tc>
                <w:tcPr>
                  <w:tcW w:w="3561" w:type="dxa"/>
                  <w:vAlign w:val="top"/>
                </w:tcPr>
                <w:p w14:paraId="1F155C2B">
                  <w:pPr>
                    <w:pStyle w:val="56"/>
                    <w:bidi w:val="0"/>
                    <w:jc w:val="left"/>
                  </w:pPr>
                  <w:r>
                    <w:t>1.2025年，氮氧化物、挥发性有机物、化学需氧量、氨氮重点工程减排量分别达到“十四五”节能减排目标。</w:t>
                  </w:r>
                </w:p>
                <w:p w14:paraId="6DF2CBB7">
                  <w:pPr>
                    <w:pStyle w:val="56"/>
                    <w:bidi w:val="0"/>
                    <w:jc w:val="left"/>
                  </w:pPr>
                  <w:r>
                    <w:t>2.鼓励全市陶瓷行业减量替代，替代比例应不低于1.1：1。</w:t>
                  </w:r>
                </w:p>
                <w:p w14:paraId="35C4F918">
                  <w:pPr>
                    <w:pStyle w:val="56"/>
                    <w:bidi w:val="0"/>
                    <w:jc w:val="left"/>
                  </w:pPr>
                  <w:r>
                    <w:t>3.污染物排放应达到相应排放标准。</w:t>
                  </w:r>
                </w:p>
                <w:p w14:paraId="39943961">
                  <w:pPr>
                    <w:pStyle w:val="56"/>
                    <w:bidi w:val="0"/>
                    <w:jc w:val="left"/>
                    <w:rPr>
                      <w:color w:val="auto"/>
                    </w:rPr>
                  </w:pPr>
                  <w:r>
                    <w:t>4.污染物排放绩效水平应达到良好水平。</w:t>
                  </w:r>
                </w:p>
              </w:tc>
              <w:tc>
                <w:tcPr>
                  <w:tcW w:w="1588" w:type="dxa"/>
                  <w:vAlign w:val="center"/>
                </w:tcPr>
                <w:p w14:paraId="62DDF0B0">
                  <w:pPr>
                    <w:pStyle w:val="56"/>
                    <w:bidi w:val="0"/>
                    <w:rPr>
                      <w:rFonts w:hint="eastAsia" w:eastAsia="宋体"/>
                      <w:color w:val="auto"/>
                      <w:lang w:eastAsia="zh-CN"/>
                    </w:rPr>
                  </w:pPr>
                  <w:r>
                    <w:rPr>
                      <w:rFonts w:hint="eastAsia"/>
                    </w:rPr>
                    <w:t>本项目废水的总量CODcr、氨氮纳入园区污水处理厂</w:t>
                  </w:r>
                  <w:r>
                    <w:rPr>
                      <w:rFonts w:hint="eastAsia"/>
                      <w:lang w:eastAsia="zh-CN"/>
                    </w:rPr>
                    <w:t>。</w:t>
                  </w:r>
                </w:p>
              </w:tc>
              <w:tc>
                <w:tcPr>
                  <w:tcW w:w="1257" w:type="dxa"/>
                  <w:vAlign w:val="center"/>
                </w:tcPr>
                <w:p w14:paraId="493FD385">
                  <w:pPr>
                    <w:pStyle w:val="56"/>
                    <w:bidi w:val="0"/>
                    <w:rPr>
                      <w:color w:val="auto"/>
                    </w:rPr>
                  </w:pPr>
                  <w:r>
                    <w:rPr>
                      <w:rFonts w:hint="eastAsia"/>
                    </w:rPr>
                    <w:t>相符</w:t>
                  </w:r>
                </w:p>
              </w:tc>
            </w:tr>
            <w:tr w14:paraId="48F4C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dxa"/>
                  <w:vAlign w:val="center"/>
                </w:tcPr>
                <w:p w14:paraId="2204A7A4">
                  <w:pPr>
                    <w:pStyle w:val="56"/>
                    <w:bidi w:val="0"/>
                    <w:rPr>
                      <w:color w:val="auto"/>
                    </w:rPr>
                  </w:pPr>
                  <w:r>
                    <w:t>环境风险防控</w:t>
                  </w:r>
                </w:p>
              </w:tc>
              <w:tc>
                <w:tcPr>
                  <w:tcW w:w="3561" w:type="dxa"/>
                  <w:vAlign w:val="center"/>
                </w:tcPr>
                <w:p w14:paraId="19B2359A">
                  <w:pPr>
                    <w:pStyle w:val="56"/>
                    <w:bidi w:val="0"/>
                    <w:jc w:val="left"/>
                  </w:pPr>
                  <w:r>
                    <w:t>1.住宅、学校、养老机构应在毗邻地块土壤污染风险管控和修复完成后再投入使用。</w:t>
                  </w:r>
                </w:p>
                <w:p w14:paraId="305C3FBB">
                  <w:pPr>
                    <w:pStyle w:val="56"/>
                    <w:bidi w:val="0"/>
                    <w:jc w:val="left"/>
                  </w:pPr>
                  <w:r>
                    <w:t>2.紧邻居住、科教、医院等环境敏感点的工业用地，禁止新建环境风险等级高的建设项目。</w:t>
                  </w:r>
                </w:p>
                <w:p w14:paraId="0E597FCC">
                  <w:pPr>
                    <w:pStyle w:val="56"/>
                    <w:bidi w:val="0"/>
                    <w:jc w:val="left"/>
                  </w:pPr>
                  <w:r>
                    <w:t>3.建立环境风险防范和应急救援体系。</w:t>
                  </w:r>
                </w:p>
                <w:p w14:paraId="596EB7E2">
                  <w:pPr>
                    <w:pStyle w:val="56"/>
                    <w:bidi w:val="0"/>
                    <w:jc w:val="left"/>
                  </w:pPr>
                  <w:r>
                    <w:t>4.落实工业企业环境风险防范主体责任，以涉危险废物、涉重金属排放企业为重点，合理布设生产设施，强化事故排水收集截留设施、输送设施建设，合理设置消防处置用事故水池和初期雨水收集池。</w:t>
                  </w:r>
                </w:p>
                <w:p w14:paraId="780B0181">
                  <w:pPr>
                    <w:pStyle w:val="56"/>
                    <w:bidi w:val="0"/>
                    <w:jc w:val="left"/>
                  </w:pPr>
                  <w:r>
                    <w:t>5.废水、废气排放的涉铊企业要设置除铊治理设施，需相应达到排放标准要求，对于生产废水零排放的项目，企业废水总排口中铊不得检出。</w:t>
                  </w:r>
                </w:p>
                <w:p w14:paraId="766ED5F6">
                  <w:pPr>
                    <w:pStyle w:val="56"/>
                    <w:bidi w:val="0"/>
                    <w:jc w:val="left"/>
                    <w:rPr>
                      <w:color w:val="auto"/>
                    </w:rPr>
                  </w:pPr>
                  <w:r>
                    <w:t>6.碳酸锂及中间产品生产不得以危险废物、五类重金属、高氟等工业固废作为原料，严禁非法随意添加环评批复外的原辅材料。</w:t>
                  </w:r>
                </w:p>
              </w:tc>
              <w:tc>
                <w:tcPr>
                  <w:tcW w:w="1588" w:type="dxa"/>
                  <w:vAlign w:val="center"/>
                </w:tcPr>
                <w:p w14:paraId="706D40A5">
                  <w:pPr>
                    <w:pStyle w:val="56"/>
                    <w:bidi w:val="0"/>
                    <w:jc w:val="left"/>
                    <w:rPr>
                      <w:rFonts w:hint="eastAsia"/>
                      <w:lang w:eastAsia="zh-CN"/>
                    </w:rPr>
                  </w:pPr>
                  <w:r>
                    <w:rPr>
                      <w:rFonts w:hint="eastAsia"/>
                    </w:rPr>
                    <w:t>距离本项目最近的敏感点居住区</w:t>
                  </w:r>
                  <w:r>
                    <w:rPr>
                      <w:rFonts w:hint="eastAsia"/>
                      <w:lang w:eastAsia="zh-CN"/>
                    </w:rPr>
                    <w:t>杉林</w:t>
                  </w:r>
                  <w:r>
                    <w:rPr>
                      <w:rFonts w:hint="eastAsia"/>
                      <w:lang w:val="en-US" w:eastAsia="zh-CN"/>
                    </w:rPr>
                    <w:t>村480m</w:t>
                  </w:r>
                  <w:r>
                    <w:rPr>
                      <w:rFonts w:hint="eastAsia"/>
                    </w:rPr>
                    <w:t>；本项目已建立环境风险防范和应急救援体系；本项目不涉重</w:t>
                  </w:r>
                  <w:r>
                    <w:rPr>
                      <w:rFonts w:hint="eastAsia"/>
                      <w:lang w:eastAsia="zh-CN"/>
                    </w:rPr>
                    <w:t>。</w:t>
                  </w:r>
                </w:p>
                <w:p w14:paraId="4F9C8D98">
                  <w:pPr>
                    <w:pStyle w:val="56"/>
                    <w:spacing w:line="240" w:lineRule="auto"/>
                    <w:jc w:val="center"/>
                    <w:rPr>
                      <w:color w:val="auto"/>
                    </w:rPr>
                  </w:pPr>
                </w:p>
              </w:tc>
              <w:tc>
                <w:tcPr>
                  <w:tcW w:w="1257" w:type="dxa"/>
                  <w:vAlign w:val="center"/>
                </w:tcPr>
                <w:p w14:paraId="58FD4D97">
                  <w:pPr>
                    <w:pStyle w:val="56"/>
                    <w:bidi w:val="0"/>
                    <w:rPr>
                      <w:color w:val="auto"/>
                    </w:rPr>
                  </w:pPr>
                  <w:r>
                    <w:rPr>
                      <w:rFonts w:hint="eastAsia"/>
                    </w:rPr>
                    <w:t>相符</w:t>
                  </w:r>
                </w:p>
              </w:tc>
            </w:tr>
            <w:tr w14:paraId="1BF43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dxa"/>
                  <w:vAlign w:val="center"/>
                </w:tcPr>
                <w:p w14:paraId="1FDDC75C">
                  <w:pPr>
                    <w:pStyle w:val="56"/>
                    <w:bidi w:val="0"/>
                    <w:rPr>
                      <w:color w:val="auto"/>
                    </w:rPr>
                  </w:pPr>
                  <w:r>
                    <w:t>资源利用效率</w:t>
                  </w:r>
                </w:p>
              </w:tc>
              <w:tc>
                <w:tcPr>
                  <w:tcW w:w="3561" w:type="dxa"/>
                  <w:vAlign w:val="top"/>
                </w:tcPr>
                <w:p w14:paraId="010E2BEF">
                  <w:pPr>
                    <w:pStyle w:val="56"/>
                    <w:bidi w:val="0"/>
                    <w:jc w:val="left"/>
                  </w:pPr>
                  <w:r>
                    <w:t>1.到2025年，规模以上工业用水重复利用率稳定在93.3%以上，力争达到94%。</w:t>
                  </w:r>
                </w:p>
                <w:p w14:paraId="3E9F0E36">
                  <w:pPr>
                    <w:pStyle w:val="56"/>
                    <w:bidi w:val="0"/>
                    <w:jc w:val="left"/>
                  </w:pPr>
                  <w:r>
                    <w:t>2.到2025年，万元工业增加值用水量较2020年下降16%；万元国内生产总值用水量较2020年下降23%。</w:t>
                  </w:r>
                </w:p>
                <w:p w14:paraId="25890C37">
                  <w:pPr>
                    <w:pStyle w:val="56"/>
                    <w:bidi w:val="0"/>
                    <w:jc w:val="left"/>
                  </w:pPr>
                  <w:r>
                    <w:t>3.“十四五”能耗强度降低17.5%。</w:t>
                  </w:r>
                </w:p>
                <w:p w14:paraId="61DE5A0F">
                  <w:pPr>
                    <w:pStyle w:val="56"/>
                    <w:bidi w:val="0"/>
                    <w:jc w:val="left"/>
                    <w:rPr>
                      <w:color w:val="auto"/>
                    </w:rPr>
                  </w:pPr>
                  <w:r>
                    <w:t>4.禁止新增工业用水取用地下水，经依法批准开采的矿泉水、地热水除外。</w:t>
                  </w:r>
                </w:p>
              </w:tc>
              <w:tc>
                <w:tcPr>
                  <w:tcW w:w="1588" w:type="dxa"/>
                  <w:vAlign w:val="center"/>
                </w:tcPr>
                <w:p w14:paraId="2BE14C60">
                  <w:pPr>
                    <w:pStyle w:val="56"/>
                    <w:bidi w:val="0"/>
                    <w:jc w:val="left"/>
                    <w:rPr>
                      <w:color w:val="auto"/>
                    </w:rPr>
                  </w:pPr>
                  <w:r>
                    <w:rPr>
                      <w:rFonts w:hint="eastAsia"/>
                      <w:color w:val="FF0000"/>
                    </w:rPr>
                    <w:t>本项目满足要求</w:t>
                  </w:r>
                </w:p>
              </w:tc>
              <w:tc>
                <w:tcPr>
                  <w:tcW w:w="1257" w:type="dxa"/>
                  <w:vAlign w:val="center"/>
                </w:tcPr>
                <w:p w14:paraId="5154A8A0">
                  <w:pPr>
                    <w:pStyle w:val="56"/>
                    <w:bidi w:val="0"/>
                    <w:rPr>
                      <w:color w:val="auto"/>
                    </w:rPr>
                  </w:pPr>
                  <w:r>
                    <w:rPr>
                      <w:rFonts w:hint="eastAsia"/>
                    </w:rPr>
                    <w:t>相符</w:t>
                  </w:r>
                </w:p>
              </w:tc>
            </w:tr>
          </w:tbl>
          <w:p w14:paraId="00A14869">
            <w:pPr>
              <w:spacing w:line="360" w:lineRule="exact"/>
              <w:ind w:firstLine="480"/>
              <w:jc w:val="left"/>
              <w:rPr>
                <w:szCs w:val="32"/>
              </w:rPr>
            </w:pPr>
            <w:r>
              <w:rPr>
                <w:rFonts w:hint="eastAsia"/>
                <w:szCs w:val="32"/>
              </w:rPr>
              <w:t>与《江西省生态环境厅关于公布江西省生态环境分区管控成果（2023版）的函》（赣环环评函</w:t>
            </w:r>
            <w:r>
              <w:rPr>
                <w:rFonts w:hint="eastAsia"/>
                <w:szCs w:val="32"/>
                <w:lang w:eastAsia="zh-CN"/>
              </w:rPr>
              <w:t>〔2024〕87号</w:t>
            </w:r>
            <w:r>
              <w:rPr>
                <w:rFonts w:hint="eastAsia"/>
                <w:szCs w:val="32"/>
              </w:rPr>
              <w:t>）符合性分析。</w:t>
            </w:r>
          </w:p>
          <w:p w14:paraId="0299E635">
            <w:pPr>
              <w:pStyle w:val="62"/>
              <w:bidi w:val="0"/>
            </w:pPr>
            <w:r>
              <w:rPr>
                <w:rFonts w:hint="default"/>
                <w:lang w:val="en-US" w:eastAsia="zh-CN"/>
              </w:rPr>
              <w:t>表1-</w:t>
            </w:r>
            <w:r>
              <w:rPr>
                <w:rFonts w:hint="eastAsia"/>
                <w:lang w:val="en-US" w:eastAsia="zh-CN"/>
              </w:rPr>
              <w:t>8</w:t>
            </w:r>
            <w:r>
              <w:rPr>
                <w:rFonts w:hint="default"/>
                <w:lang w:val="en-US" w:eastAsia="zh-CN"/>
              </w:rPr>
              <w:t xml:space="preserve"> </w:t>
            </w:r>
            <w:r>
              <w:rPr>
                <w:rFonts w:hint="eastAsia"/>
              </w:rPr>
              <w:t>江西省生态环境总体准入要求表</w:t>
            </w:r>
          </w:p>
          <w:tbl>
            <w:tblPr>
              <w:tblStyle w:val="41"/>
              <w:tblW w:w="4989"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28" w:type="dxa"/>
                <w:bottom w:w="0" w:type="dxa"/>
                <w:right w:w="28" w:type="dxa"/>
              </w:tblCellMar>
            </w:tblPr>
            <w:tblGrid>
              <w:gridCol w:w="482"/>
              <w:gridCol w:w="429"/>
              <w:gridCol w:w="512"/>
              <w:gridCol w:w="3839"/>
              <w:gridCol w:w="899"/>
              <w:gridCol w:w="851"/>
            </w:tblGrid>
            <w:tr w14:paraId="07EDD9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90" w:hRule="atLeast"/>
                <w:jc w:val="center"/>
              </w:trPr>
              <w:tc>
                <w:tcPr>
                  <w:tcW w:w="343" w:type="pct"/>
                  <w:tcBorders>
                    <w:tl2br w:val="nil"/>
                    <w:tr2bl w:val="nil"/>
                  </w:tcBorders>
                  <w:shd w:val="clear" w:color="auto" w:fill="auto"/>
                  <w:noWrap/>
                  <w:vAlign w:val="center"/>
                </w:tcPr>
                <w:p w14:paraId="4FE7740A">
                  <w:pPr>
                    <w:pStyle w:val="56"/>
                    <w:bidi w:val="0"/>
                  </w:pPr>
                  <w:r>
                    <w:rPr>
                      <w:rFonts w:hint="eastAsia"/>
                    </w:rPr>
                    <w:t>单元</w:t>
                  </w:r>
                </w:p>
                <w:p w14:paraId="7BFF3074">
                  <w:pPr>
                    <w:pStyle w:val="56"/>
                    <w:bidi w:val="0"/>
                    <w:rPr>
                      <w:color w:val="auto"/>
                    </w:rPr>
                  </w:pPr>
                  <w:r>
                    <w:rPr>
                      <w:rFonts w:hint="eastAsia"/>
                    </w:rPr>
                    <w:t>类别</w:t>
                  </w:r>
                </w:p>
              </w:tc>
              <w:tc>
                <w:tcPr>
                  <w:tcW w:w="306" w:type="pct"/>
                  <w:tcBorders>
                    <w:tl2br w:val="nil"/>
                    <w:tr2bl w:val="nil"/>
                  </w:tcBorders>
                  <w:shd w:val="clear" w:color="auto" w:fill="auto"/>
                  <w:noWrap/>
                  <w:vAlign w:val="center"/>
                </w:tcPr>
                <w:p w14:paraId="4C45856A">
                  <w:pPr>
                    <w:pStyle w:val="56"/>
                    <w:bidi w:val="0"/>
                    <w:rPr>
                      <w:color w:val="auto"/>
                    </w:rPr>
                  </w:pPr>
                  <w:r>
                    <w:rPr>
                      <w:rFonts w:hint="eastAsia"/>
                    </w:rPr>
                    <w:t>维度</w:t>
                  </w:r>
                </w:p>
              </w:tc>
              <w:tc>
                <w:tcPr>
                  <w:tcW w:w="365" w:type="pct"/>
                  <w:tcBorders>
                    <w:tl2br w:val="nil"/>
                    <w:tr2bl w:val="nil"/>
                  </w:tcBorders>
                  <w:shd w:val="clear" w:color="auto" w:fill="auto"/>
                  <w:noWrap/>
                  <w:vAlign w:val="center"/>
                </w:tcPr>
                <w:p w14:paraId="49D29C9D">
                  <w:pPr>
                    <w:pStyle w:val="56"/>
                    <w:bidi w:val="0"/>
                    <w:rPr>
                      <w:color w:val="auto"/>
                    </w:rPr>
                  </w:pPr>
                  <w:r>
                    <w:rPr>
                      <w:rFonts w:hint="eastAsia"/>
                    </w:rPr>
                    <w:t>序号</w:t>
                  </w:r>
                </w:p>
              </w:tc>
              <w:tc>
                <w:tcPr>
                  <w:tcW w:w="2735" w:type="pct"/>
                  <w:tcBorders>
                    <w:tl2br w:val="nil"/>
                    <w:tr2bl w:val="nil"/>
                  </w:tcBorders>
                  <w:shd w:val="clear" w:color="auto" w:fill="auto"/>
                  <w:noWrap/>
                  <w:vAlign w:val="center"/>
                </w:tcPr>
                <w:p w14:paraId="6AFE9687">
                  <w:pPr>
                    <w:pStyle w:val="56"/>
                    <w:bidi w:val="0"/>
                    <w:rPr>
                      <w:color w:val="auto"/>
                    </w:rPr>
                  </w:pPr>
                  <w:r>
                    <w:rPr>
                      <w:rFonts w:hint="eastAsia"/>
                    </w:rPr>
                    <w:t>生态环境准入要求</w:t>
                  </w:r>
                </w:p>
              </w:tc>
              <w:tc>
                <w:tcPr>
                  <w:tcW w:w="640" w:type="pct"/>
                  <w:tcBorders>
                    <w:tl2br w:val="nil"/>
                    <w:tr2bl w:val="nil"/>
                  </w:tcBorders>
                  <w:shd w:val="clear" w:color="auto" w:fill="auto"/>
                  <w:noWrap/>
                  <w:vAlign w:val="center"/>
                </w:tcPr>
                <w:p w14:paraId="7FE331C6">
                  <w:pPr>
                    <w:pStyle w:val="56"/>
                    <w:bidi w:val="0"/>
                  </w:pPr>
                  <w:r>
                    <w:rPr>
                      <w:rFonts w:hint="eastAsia"/>
                    </w:rPr>
                    <w:t>本项目</w:t>
                  </w:r>
                </w:p>
                <w:p w14:paraId="62877EA9">
                  <w:pPr>
                    <w:pStyle w:val="56"/>
                    <w:bidi w:val="0"/>
                    <w:rPr>
                      <w:color w:val="auto"/>
                    </w:rPr>
                  </w:pPr>
                  <w:r>
                    <w:rPr>
                      <w:rFonts w:hint="eastAsia"/>
                    </w:rPr>
                    <w:t>情况</w:t>
                  </w:r>
                </w:p>
              </w:tc>
              <w:tc>
                <w:tcPr>
                  <w:tcW w:w="607" w:type="pct"/>
                  <w:tcBorders>
                    <w:tl2br w:val="nil"/>
                    <w:tr2bl w:val="nil"/>
                  </w:tcBorders>
                  <w:shd w:val="clear" w:color="auto" w:fill="auto"/>
                  <w:noWrap/>
                  <w:vAlign w:val="center"/>
                </w:tcPr>
                <w:p w14:paraId="3FE03800">
                  <w:pPr>
                    <w:pStyle w:val="56"/>
                    <w:bidi w:val="0"/>
                    <w:rPr>
                      <w:color w:val="auto"/>
                    </w:rPr>
                  </w:pPr>
                  <w:r>
                    <w:rPr>
                      <w:rFonts w:hint="eastAsia"/>
                    </w:rPr>
                    <w:t>相符性分析</w:t>
                  </w:r>
                </w:p>
              </w:tc>
            </w:tr>
            <w:tr w14:paraId="405C87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1008" w:hRule="atLeast"/>
                <w:jc w:val="center"/>
              </w:trPr>
              <w:tc>
                <w:tcPr>
                  <w:tcW w:w="343" w:type="pct"/>
                  <w:vMerge w:val="restart"/>
                  <w:tcBorders>
                    <w:tl2br w:val="nil"/>
                    <w:tr2bl w:val="nil"/>
                  </w:tcBorders>
                  <w:shd w:val="clear" w:color="auto" w:fill="auto"/>
                  <w:noWrap/>
                  <w:vAlign w:val="center"/>
                </w:tcPr>
                <w:p w14:paraId="24A028D2">
                  <w:pPr>
                    <w:pStyle w:val="56"/>
                    <w:bidi w:val="0"/>
                    <w:rPr>
                      <w:color w:val="auto"/>
                    </w:rPr>
                  </w:pPr>
                  <w:r>
                    <w:rPr>
                      <w:rFonts w:hint="eastAsia"/>
                    </w:rPr>
                    <w:t>重点管控单元</w:t>
                  </w:r>
                </w:p>
              </w:tc>
              <w:tc>
                <w:tcPr>
                  <w:tcW w:w="306" w:type="pct"/>
                  <w:vMerge w:val="restart"/>
                  <w:tcBorders>
                    <w:tl2br w:val="nil"/>
                    <w:tr2bl w:val="nil"/>
                  </w:tcBorders>
                  <w:shd w:val="clear" w:color="auto" w:fill="auto"/>
                  <w:noWrap/>
                  <w:vAlign w:val="center"/>
                </w:tcPr>
                <w:p w14:paraId="7194B554">
                  <w:pPr>
                    <w:pStyle w:val="56"/>
                    <w:bidi w:val="0"/>
                    <w:rPr>
                      <w:color w:val="auto"/>
                    </w:rPr>
                  </w:pPr>
                  <w:r>
                    <w:rPr>
                      <w:rFonts w:hint="eastAsia"/>
                    </w:rPr>
                    <w:t>空间布局约束</w:t>
                  </w:r>
                </w:p>
              </w:tc>
              <w:tc>
                <w:tcPr>
                  <w:tcW w:w="365" w:type="pct"/>
                  <w:tcBorders>
                    <w:tl2br w:val="nil"/>
                    <w:tr2bl w:val="nil"/>
                  </w:tcBorders>
                  <w:shd w:val="clear" w:color="auto" w:fill="auto"/>
                  <w:noWrap/>
                  <w:vAlign w:val="center"/>
                </w:tcPr>
                <w:p w14:paraId="7707A90A">
                  <w:pPr>
                    <w:pStyle w:val="56"/>
                    <w:bidi w:val="0"/>
                    <w:rPr>
                      <w:color w:val="auto"/>
                    </w:rPr>
                  </w:pPr>
                  <w:r>
                    <w:rPr>
                      <w:rFonts w:hint="eastAsia"/>
                    </w:rPr>
                    <w:t>1</w:t>
                  </w:r>
                </w:p>
              </w:tc>
              <w:tc>
                <w:tcPr>
                  <w:tcW w:w="2735" w:type="pct"/>
                  <w:tcBorders>
                    <w:tl2br w:val="nil"/>
                    <w:tr2bl w:val="nil"/>
                  </w:tcBorders>
                  <w:shd w:val="clear" w:color="auto" w:fill="auto"/>
                  <w:noWrap/>
                  <w:vAlign w:val="center"/>
                </w:tcPr>
                <w:p w14:paraId="2F53A570">
                  <w:pPr>
                    <w:pStyle w:val="56"/>
                    <w:bidi w:val="0"/>
                    <w:jc w:val="left"/>
                    <w:rPr>
                      <w:color w:val="auto"/>
                    </w:rPr>
                  </w:pPr>
                  <w:r>
                    <w:rPr>
                      <w:rFonts w:hint="eastAsia"/>
                    </w:rPr>
                    <w:t>禁止新、扩建不符合国家石化、现代煤化工等产业布局规划的项目。禁止新建、扩建法律法规和相关政策明令禁止的落后产能项目。禁止开展投资建设属于淘汰类的项目及其相关活动，禁止开展投资新建、扩建属于限制类的项目及其相关活动。禁止新建、扩建不符合国家产能置换要求的钢铁、电解铝、水泥熟料、平板玻璃、船舶等严重过剩产能行业的项目。对确有必要建设的，必须严格执行产能置换实施办法，实施减量或等量置换，依法依规办理有关手续。禁止新建扩建不符合要求的高耗能高排放项目。</w:t>
                  </w:r>
                </w:p>
              </w:tc>
              <w:tc>
                <w:tcPr>
                  <w:tcW w:w="640" w:type="pct"/>
                  <w:tcBorders>
                    <w:tl2br w:val="nil"/>
                    <w:tr2bl w:val="nil"/>
                  </w:tcBorders>
                  <w:shd w:val="clear" w:color="auto" w:fill="auto"/>
                  <w:noWrap/>
                  <w:vAlign w:val="center"/>
                </w:tcPr>
                <w:p w14:paraId="1073A4EB">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03C59899">
                  <w:pPr>
                    <w:pStyle w:val="56"/>
                    <w:bidi w:val="0"/>
                    <w:rPr>
                      <w:color w:val="auto"/>
                    </w:rPr>
                  </w:pPr>
                  <w:r>
                    <w:rPr>
                      <w:rFonts w:hint="eastAsia"/>
                    </w:rPr>
                    <w:t>相符</w:t>
                  </w:r>
                </w:p>
              </w:tc>
            </w:tr>
            <w:tr w14:paraId="13EA7E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90" w:hRule="atLeast"/>
                <w:jc w:val="center"/>
              </w:trPr>
              <w:tc>
                <w:tcPr>
                  <w:tcW w:w="343" w:type="pct"/>
                  <w:vMerge w:val="continue"/>
                  <w:tcBorders>
                    <w:tl2br w:val="nil"/>
                    <w:tr2bl w:val="nil"/>
                  </w:tcBorders>
                  <w:shd w:val="clear" w:color="auto" w:fill="auto"/>
                  <w:noWrap/>
                  <w:vAlign w:val="center"/>
                </w:tcPr>
                <w:p w14:paraId="1F01C101">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4FBFD159">
                  <w:pPr>
                    <w:pStyle w:val="56"/>
                    <w:spacing w:line="240" w:lineRule="auto"/>
                    <w:jc w:val="center"/>
                    <w:rPr>
                      <w:color w:val="auto"/>
                    </w:rPr>
                  </w:pPr>
                </w:p>
              </w:tc>
              <w:tc>
                <w:tcPr>
                  <w:tcW w:w="365" w:type="pct"/>
                  <w:tcBorders>
                    <w:tl2br w:val="nil"/>
                    <w:tr2bl w:val="nil"/>
                  </w:tcBorders>
                  <w:shd w:val="clear" w:color="auto" w:fill="auto"/>
                  <w:noWrap/>
                  <w:vAlign w:val="center"/>
                </w:tcPr>
                <w:p w14:paraId="3D3DEBC3">
                  <w:pPr>
                    <w:pStyle w:val="56"/>
                    <w:bidi w:val="0"/>
                    <w:rPr>
                      <w:color w:val="auto"/>
                    </w:rPr>
                  </w:pPr>
                  <w:r>
                    <w:rPr>
                      <w:rFonts w:hint="eastAsia"/>
                    </w:rPr>
                    <w:t>2</w:t>
                  </w:r>
                </w:p>
              </w:tc>
              <w:tc>
                <w:tcPr>
                  <w:tcW w:w="2735" w:type="pct"/>
                  <w:tcBorders>
                    <w:tl2br w:val="nil"/>
                    <w:tr2bl w:val="nil"/>
                  </w:tcBorders>
                  <w:shd w:val="clear" w:color="auto" w:fill="auto"/>
                  <w:noWrap/>
                  <w:vAlign w:val="center"/>
                </w:tcPr>
                <w:p w14:paraId="3EC04C73">
                  <w:pPr>
                    <w:pStyle w:val="56"/>
                    <w:bidi w:val="0"/>
                    <w:jc w:val="left"/>
                    <w:rPr>
                      <w:color w:val="auto"/>
                    </w:rPr>
                  </w:pPr>
                  <w:r>
                    <w:rPr>
                      <w:rFonts w:hint="eastAsia"/>
                    </w:rPr>
                    <w:t>县级及以上城市建成区原则上不再新建35蒸吨/小时及以下燃煤锅炉。</w:t>
                  </w:r>
                </w:p>
              </w:tc>
              <w:tc>
                <w:tcPr>
                  <w:tcW w:w="640" w:type="pct"/>
                  <w:tcBorders>
                    <w:tl2br w:val="nil"/>
                    <w:tr2bl w:val="nil"/>
                  </w:tcBorders>
                  <w:shd w:val="clear" w:color="auto" w:fill="auto"/>
                  <w:noWrap/>
                  <w:vAlign w:val="center"/>
                </w:tcPr>
                <w:p w14:paraId="14DB221B">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609E3482">
                  <w:pPr>
                    <w:pStyle w:val="56"/>
                    <w:bidi w:val="0"/>
                    <w:rPr>
                      <w:color w:val="auto"/>
                    </w:rPr>
                  </w:pPr>
                  <w:r>
                    <w:rPr>
                      <w:rFonts w:hint="eastAsia"/>
                    </w:rPr>
                    <w:t>相符</w:t>
                  </w:r>
                </w:p>
              </w:tc>
            </w:tr>
            <w:tr w14:paraId="661AB0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90" w:hRule="atLeast"/>
                <w:jc w:val="center"/>
              </w:trPr>
              <w:tc>
                <w:tcPr>
                  <w:tcW w:w="343" w:type="pct"/>
                  <w:vMerge w:val="continue"/>
                  <w:tcBorders>
                    <w:tl2br w:val="nil"/>
                    <w:tr2bl w:val="nil"/>
                  </w:tcBorders>
                  <w:shd w:val="clear" w:color="auto" w:fill="auto"/>
                  <w:noWrap/>
                  <w:vAlign w:val="center"/>
                </w:tcPr>
                <w:p w14:paraId="660ED680">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353977A1">
                  <w:pPr>
                    <w:pStyle w:val="56"/>
                    <w:spacing w:line="240" w:lineRule="auto"/>
                    <w:jc w:val="center"/>
                    <w:rPr>
                      <w:color w:val="auto"/>
                    </w:rPr>
                  </w:pPr>
                </w:p>
              </w:tc>
              <w:tc>
                <w:tcPr>
                  <w:tcW w:w="365" w:type="pct"/>
                  <w:tcBorders>
                    <w:tl2br w:val="nil"/>
                    <w:tr2bl w:val="nil"/>
                  </w:tcBorders>
                  <w:shd w:val="clear" w:color="auto" w:fill="auto"/>
                  <w:noWrap/>
                  <w:vAlign w:val="center"/>
                </w:tcPr>
                <w:p w14:paraId="31A8B740">
                  <w:pPr>
                    <w:pStyle w:val="56"/>
                    <w:bidi w:val="0"/>
                    <w:rPr>
                      <w:color w:val="auto"/>
                    </w:rPr>
                  </w:pPr>
                  <w:r>
                    <w:rPr>
                      <w:rFonts w:hint="eastAsia"/>
                    </w:rPr>
                    <w:t>3</w:t>
                  </w:r>
                </w:p>
              </w:tc>
              <w:tc>
                <w:tcPr>
                  <w:tcW w:w="2735" w:type="pct"/>
                  <w:tcBorders>
                    <w:tl2br w:val="nil"/>
                    <w:tr2bl w:val="nil"/>
                  </w:tcBorders>
                  <w:shd w:val="clear" w:color="auto" w:fill="auto"/>
                  <w:noWrap/>
                  <w:vAlign w:val="center"/>
                </w:tcPr>
                <w:p w14:paraId="787CED56">
                  <w:pPr>
                    <w:pStyle w:val="56"/>
                    <w:bidi w:val="0"/>
                    <w:jc w:val="left"/>
                    <w:rPr>
                      <w:color w:val="auto"/>
                    </w:rPr>
                  </w:pPr>
                  <w:r>
                    <w:rPr>
                      <w:rFonts w:hint="eastAsia"/>
                    </w:rPr>
                    <w:t>禁止在长江干支流、重要湖泊岸线1公里范围内新建、扩建化工园区和化工项目。禁止在合规园区外新建、扩建钢铁、石化、化工、焦化、建材、有色、纸浆造纸等高污染项目。</w:t>
                  </w:r>
                </w:p>
              </w:tc>
              <w:tc>
                <w:tcPr>
                  <w:tcW w:w="640" w:type="pct"/>
                  <w:tcBorders>
                    <w:tl2br w:val="nil"/>
                    <w:tr2bl w:val="nil"/>
                  </w:tcBorders>
                  <w:shd w:val="clear" w:color="auto" w:fill="auto"/>
                  <w:noWrap/>
                  <w:vAlign w:val="center"/>
                </w:tcPr>
                <w:p w14:paraId="47AA9B58">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6A8F929E">
                  <w:pPr>
                    <w:pStyle w:val="56"/>
                    <w:bidi w:val="0"/>
                    <w:rPr>
                      <w:color w:val="auto"/>
                    </w:rPr>
                  </w:pPr>
                  <w:r>
                    <w:rPr>
                      <w:rFonts w:hint="eastAsia"/>
                    </w:rPr>
                    <w:t>相符</w:t>
                  </w:r>
                </w:p>
              </w:tc>
            </w:tr>
            <w:tr w14:paraId="089F17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90" w:hRule="atLeast"/>
                <w:jc w:val="center"/>
              </w:trPr>
              <w:tc>
                <w:tcPr>
                  <w:tcW w:w="343" w:type="pct"/>
                  <w:vMerge w:val="continue"/>
                  <w:tcBorders>
                    <w:tl2br w:val="nil"/>
                    <w:tr2bl w:val="nil"/>
                  </w:tcBorders>
                  <w:shd w:val="clear" w:color="auto" w:fill="auto"/>
                  <w:noWrap/>
                  <w:vAlign w:val="center"/>
                </w:tcPr>
                <w:p w14:paraId="34189768">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1822366C">
                  <w:pPr>
                    <w:pStyle w:val="56"/>
                    <w:spacing w:line="240" w:lineRule="auto"/>
                    <w:jc w:val="center"/>
                    <w:rPr>
                      <w:color w:val="auto"/>
                    </w:rPr>
                  </w:pPr>
                </w:p>
              </w:tc>
              <w:tc>
                <w:tcPr>
                  <w:tcW w:w="365" w:type="pct"/>
                  <w:tcBorders>
                    <w:tl2br w:val="nil"/>
                    <w:tr2bl w:val="nil"/>
                  </w:tcBorders>
                  <w:shd w:val="clear" w:color="auto" w:fill="auto"/>
                  <w:noWrap/>
                  <w:vAlign w:val="center"/>
                </w:tcPr>
                <w:p w14:paraId="06E6181E">
                  <w:pPr>
                    <w:pStyle w:val="56"/>
                    <w:bidi w:val="0"/>
                    <w:rPr>
                      <w:color w:val="auto"/>
                    </w:rPr>
                  </w:pPr>
                  <w:r>
                    <w:rPr>
                      <w:rFonts w:hint="eastAsia"/>
                    </w:rPr>
                    <w:t>4</w:t>
                  </w:r>
                </w:p>
              </w:tc>
              <w:tc>
                <w:tcPr>
                  <w:tcW w:w="2735" w:type="pct"/>
                  <w:tcBorders>
                    <w:tl2br w:val="nil"/>
                    <w:tr2bl w:val="nil"/>
                  </w:tcBorders>
                  <w:shd w:val="clear" w:color="auto" w:fill="auto"/>
                  <w:noWrap/>
                  <w:vAlign w:val="center"/>
                </w:tcPr>
                <w:p w14:paraId="07221552">
                  <w:pPr>
                    <w:pStyle w:val="56"/>
                    <w:bidi w:val="0"/>
                    <w:jc w:val="left"/>
                    <w:rPr>
                      <w:color w:val="auto"/>
                    </w:rPr>
                  </w:pPr>
                  <w:r>
                    <w:rPr>
                      <w:rFonts w:hint="eastAsia"/>
                    </w:rPr>
                    <w:t>禁止建设不符合国家和省级港口布局规划以及港口总体规划的码头项目。</w:t>
                  </w:r>
                </w:p>
              </w:tc>
              <w:tc>
                <w:tcPr>
                  <w:tcW w:w="640" w:type="pct"/>
                  <w:tcBorders>
                    <w:tl2br w:val="nil"/>
                    <w:tr2bl w:val="nil"/>
                  </w:tcBorders>
                  <w:shd w:val="clear" w:color="auto" w:fill="auto"/>
                  <w:noWrap/>
                  <w:vAlign w:val="center"/>
                </w:tcPr>
                <w:p w14:paraId="47DF1568">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2F8070F4">
                  <w:pPr>
                    <w:pStyle w:val="56"/>
                    <w:bidi w:val="0"/>
                    <w:rPr>
                      <w:color w:val="auto"/>
                    </w:rPr>
                  </w:pPr>
                  <w:r>
                    <w:rPr>
                      <w:rFonts w:hint="eastAsia"/>
                    </w:rPr>
                    <w:t>相符</w:t>
                  </w:r>
                </w:p>
              </w:tc>
            </w:tr>
            <w:tr w14:paraId="1719A2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255" w:hRule="atLeast"/>
                <w:jc w:val="center"/>
              </w:trPr>
              <w:tc>
                <w:tcPr>
                  <w:tcW w:w="343" w:type="pct"/>
                  <w:vMerge w:val="continue"/>
                  <w:tcBorders>
                    <w:tl2br w:val="nil"/>
                    <w:tr2bl w:val="nil"/>
                  </w:tcBorders>
                  <w:shd w:val="clear" w:color="auto" w:fill="auto"/>
                  <w:noWrap/>
                  <w:vAlign w:val="center"/>
                </w:tcPr>
                <w:p w14:paraId="2212A8C8">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34F9F261">
                  <w:pPr>
                    <w:pStyle w:val="56"/>
                    <w:spacing w:line="240" w:lineRule="auto"/>
                    <w:jc w:val="center"/>
                    <w:rPr>
                      <w:color w:val="auto"/>
                    </w:rPr>
                  </w:pPr>
                </w:p>
              </w:tc>
              <w:tc>
                <w:tcPr>
                  <w:tcW w:w="365" w:type="pct"/>
                  <w:tcBorders>
                    <w:tl2br w:val="nil"/>
                    <w:tr2bl w:val="nil"/>
                  </w:tcBorders>
                  <w:shd w:val="clear" w:color="auto" w:fill="auto"/>
                  <w:noWrap/>
                  <w:vAlign w:val="center"/>
                </w:tcPr>
                <w:p w14:paraId="48DAD449">
                  <w:pPr>
                    <w:pStyle w:val="56"/>
                    <w:bidi w:val="0"/>
                    <w:rPr>
                      <w:color w:val="auto"/>
                    </w:rPr>
                  </w:pPr>
                  <w:r>
                    <w:rPr>
                      <w:rFonts w:hint="eastAsia"/>
                    </w:rPr>
                    <w:t>5</w:t>
                  </w:r>
                </w:p>
              </w:tc>
              <w:tc>
                <w:tcPr>
                  <w:tcW w:w="2735" w:type="pct"/>
                  <w:tcBorders>
                    <w:tl2br w:val="nil"/>
                    <w:tr2bl w:val="nil"/>
                  </w:tcBorders>
                  <w:shd w:val="clear" w:color="auto" w:fill="auto"/>
                  <w:noWrap/>
                  <w:vAlign w:val="center"/>
                </w:tcPr>
                <w:p w14:paraId="61BBD23B">
                  <w:pPr>
                    <w:pStyle w:val="56"/>
                    <w:bidi w:val="0"/>
                    <w:jc w:val="left"/>
                    <w:rPr>
                      <w:color w:val="auto"/>
                    </w:rPr>
                  </w:pPr>
                  <w:r>
                    <w:rPr>
                      <w:rFonts w:hint="eastAsia"/>
                    </w:rPr>
                    <w:t>禁止在江河、湖泊、运河、渠道、水库最高水位线以下的滩地和岸坡堆放、存贮固体废弃物和其他污染物。</w:t>
                  </w:r>
                </w:p>
              </w:tc>
              <w:tc>
                <w:tcPr>
                  <w:tcW w:w="640" w:type="pct"/>
                  <w:tcBorders>
                    <w:tl2br w:val="nil"/>
                    <w:tr2bl w:val="nil"/>
                  </w:tcBorders>
                  <w:shd w:val="clear" w:color="auto" w:fill="auto"/>
                  <w:noWrap/>
                  <w:vAlign w:val="center"/>
                </w:tcPr>
                <w:p w14:paraId="7DE82931">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64385C9B">
                  <w:pPr>
                    <w:pStyle w:val="56"/>
                    <w:bidi w:val="0"/>
                    <w:rPr>
                      <w:color w:val="auto"/>
                    </w:rPr>
                  </w:pPr>
                  <w:r>
                    <w:rPr>
                      <w:rFonts w:hint="eastAsia"/>
                    </w:rPr>
                    <w:t>相符</w:t>
                  </w:r>
                </w:p>
              </w:tc>
            </w:tr>
            <w:tr w14:paraId="1C7667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929" w:hRule="atLeast"/>
                <w:jc w:val="center"/>
              </w:trPr>
              <w:tc>
                <w:tcPr>
                  <w:tcW w:w="343" w:type="pct"/>
                  <w:vMerge w:val="continue"/>
                  <w:tcBorders>
                    <w:tl2br w:val="nil"/>
                    <w:tr2bl w:val="nil"/>
                  </w:tcBorders>
                  <w:shd w:val="clear" w:color="auto" w:fill="auto"/>
                  <w:noWrap/>
                  <w:vAlign w:val="center"/>
                </w:tcPr>
                <w:p w14:paraId="1D19D233">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03B00AC0">
                  <w:pPr>
                    <w:pStyle w:val="56"/>
                    <w:spacing w:line="240" w:lineRule="auto"/>
                    <w:jc w:val="center"/>
                    <w:rPr>
                      <w:color w:val="auto"/>
                    </w:rPr>
                  </w:pPr>
                </w:p>
              </w:tc>
              <w:tc>
                <w:tcPr>
                  <w:tcW w:w="365" w:type="pct"/>
                  <w:tcBorders>
                    <w:tl2br w:val="nil"/>
                    <w:tr2bl w:val="nil"/>
                  </w:tcBorders>
                  <w:shd w:val="clear" w:color="auto" w:fill="auto"/>
                  <w:noWrap/>
                  <w:vAlign w:val="center"/>
                </w:tcPr>
                <w:p w14:paraId="124E6209">
                  <w:pPr>
                    <w:pStyle w:val="56"/>
                    <w:bidi w:val="0"/>
                    <w:rPr>
                      <w:color w:val="auto"/>
                    </w:rPr>
                  </w:pPr>
                  <w:r>
                    <w:rPr>
                      <w:rFonts w:hint="eastAsia"/>
                    </w:rPr>
                    <w:t>6</w:t>
                  </w:r>
                </w:p>
              </w:tc>
              <w:tc>
                <w:tcPr>
                  <w:tcW w:w="2735" w:type="pct"/>
                  <w:tcBorders>
                    <w:tl2br w:val="nil"/>
                    <w:tr2bl w:val="nil"/>
                  </w:tcBorders>
                  <w:shd w:val="clear" w:color="auto" w:fill="auto"/>
                  <w:noWrap/>
                  <w:vAlign w:val="center"/>
                </w:tcPr>
                <w:p w14:paraId="39F8CD08">
                  <w:pPr>
                    <w:pStyle w:val="56"/>
                    <w:bidi w:val="0"/>
                    <w:jc w:val="left"/>
                    <w:rPr>
                      <w:color w:val="auto"/>
                    </w:rPr>
                  </w:pPr>
                  <w:r>
                    <w:rPr>
                      <w:rFonts w:hint="eastAsia"/>
                    </w:rPr>
                    <w:t>城市建成区内人口密集区、环境脆弱敏感区周边的钢铁、石油、化工、有色金属、水泥、平板玻璃、建筑陶瓷等行业中高排放、高污染项目，应当逐步进行搬迁、改造或者转型、退出。</w:t>
                  </w:r>
                </w:p>
              </w:tc>
              <w:tc>
                <w:tcPr>
                  <w:tcW w:w="640" w:type="pct"/>
                  <w:tcBorders>
                    <w:tl2br w:val="nil"/>
                    <w:tr2bl w:val="nil"/>
                  </w:tcBorders>
                  <w:shd w:val="clear" w:color="auto" w:fill="auto"/>
                  <w:noWrap/>
                  <w:vAlign w:val="center"/>
                </w:tcPr>
                <w:p w14:paraId="1638087B">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42D885B0">
                  <w:pPr>
                    <w:pStyle w:val="56"/>
                    <w:bidi w:val="0"/>
                    <w:rPr>
                      <w:color w:val="auto"/>
                    </w:rPr>
                  </w:pPr>
                  <w:r>
                    <w:rPr>
                      <w:rFonts w:hint="eastAsia"/>
                    </w:rPr>
                    <w:t>相符</w:t>
                  </w:r>
                </w:p>
              </w:tc>
            </w:tr>
            <w:tr w14:paraId="4F3ABE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191" w:hRule="atLeast"/>
                <w:jc w:val="center"/>
              </w:trPr>
              <w:tc>
                <w:tcPr>
                  <w:tcW w:w="343" w:type="pct"/>
                  <w:vMerge w:val="continue"/>
                  <w:tcBorders>
                    <w:tl2br w:val="nil"/>
                    <w:tr2bl w:val="nil"/>
                  </w:tcBorders>
                  <w:shd w:val="clear" w:color="auto" w:fill="auto"/>
                  <w:noWrap/>
                  <w:vAlign w:val="center"/>
                </w:tcPr>
                <w:p w14:paraId="61FCED8C">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17006FF2">
                  <w:pPr>
                    <w:pStyle w:val="56"/>
                    <w:spacing w:line="240" w:lineRule="auto"/>
                    <w:jc w:val="center"/>
                    <w:rPr>
                      <w:color w:val="auto"/>
                    </w:rPr>
                  </w:pPr>
                </w:p>
              </w:tc>
              <w:tc>
                <w:tcPr>
                  <w:tcW w:w="365" w:type="pct"/>
                  <w:tcBorders>
                    <w:tl2br w:val="nil"/>
                    <w:tr2bl w:val="nil"/>
                  </w:tcBorders>
                  <w:shd w:val="clear" w:color="auto" w:fill="auto"/>
                  <w:noWrap/>
                  <w:vAlign w:val="center"/>
                </w:tcPr>
                <w:p w14:paraId="21A7F8E4">
                  <w:pPr>
                    <w:pStyle w:val="56"/>
                    <w:bidi w:val="0"/>
                    <w:rPr>
                      <w:color w:val="auto"/>
                    </w:rPr>
                  </w:pPr>
                  <w:r>
                    <w:rPr>
                      <w:rFonts w:hint="eastAsia"/>
                    </w:rPr>
                    <w:t>7</w:t>
                  </w:r>
                </w:p>
              </w:tc>
              <w:tc>
                <w:tcPr>
                  <w:tcW w:w="2735" w:type="pct"/>
                  <w:tcBorders>
                    <w:tl2br w:val="nil"/>
                    <w:tr2bl w:val="nil"/>
                  </w:tcBorders>
                  <w:shd w:val="clear" w:color="auto" w:fill="auto"/>
                  <w:noWrap/>
                  <w:vAlign w:val="center"/>
                </w:tcPr>
                <w:p w14:paraId="11F186A8">
                  <w:pPr>
                    <w:pStyle w:val="56"/>
                    <w:bidi w:val="0"/>
                    <w:jc w:val="left"/>
                    <w:rPr>
                      <w:color w:val="auto"/>
                    </w:rPr>
                  </w:pPr>
                  <w:r>
                    <w:rPr>
                      <w:rFonts w:hint="eastAsia"/>
                    </w:rPr>
                    <w:t>禁止在居民区和学校、医院、疗养院、养老院等单位周边新建、改扩建可能造成土壤污染的建设项目；在永久基本农田集中区域，不得新建可能造成土壤污染的项目，已经建成的，限期内关闭拆除。</w:t>
                  </w:r>
                </w:p>
              </w:tc>
              <w:tc>
                <w:tcPr>
                  <w:tcW w:w="640" w:type="pct"/>
                  <w:tcBorders>
                    <w:tl2br w:val="nil"/>
                    <w:tr2bl w:val="nil"/>
                  </w:tcBorders>
                  <w:shd w:val="clear" w:color="auto" w:fill="auto"/>
                  <w:noWrap/>
                  <w:vAlign w:val="center"/>
                </w:tcPr>
                <w:p w14:paraId="0AA97C8C">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7467A2EC">
                  <w:pPr>
                    <w:pStyle w:val="56"/>
                    <w:bidi w:val="0"/>
                    <w:rPr>
                      <w:color w:val="auto"/>
                    </w:rPr>
                  </w:pPr>
                  <w:r>
                    <w:rPr>
                      <w:rFonts w:hint="eastAsia"/>
                    </w:rPr>
                    <w:t>相符</w:t>
                  </w:r>
                </w:p>
              </w:tc>
            </w:tr>
            <w:tr w14:paraId="6B6F0C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1490" w:hRule="atLeast"/>
                <w:jc w:val="center"/>
              </w:trPr>
              <w:tc>
                <w:tcPr>
                  <w:tcW w:w="343" w:type="pct"/>
                  <w:vMerge w:val="continue"/>
                  <w:tcBorders>
                    <w:tl2br w:val="nil"/>
                    <w:tr2bl w:val="nil"/>
                  </w:tcBorders>
                  <w:shd w:val="clear" w:color="auto" w:fill="auto"/>
                  <w:noWrap/>
                  <w:vAlign w:val="center"/>
                </w:tcPr>
                <w:p w14:paraId="285E4711">
                  <w:pPr>
                    <w:pStyle w:val="56"/>
                    <w:spacing w:line="240" w:lineRule="auto"/>
                    <w:jc w:val="center"/>
                    <w:rPr>
                      <w:color w:val="auto"/>
                    </w:rPr>
                  </w:pPr>
                </w:p>
              </w:tc>
              <w:tc>
                <w:tcPr>
                  <w:tcW w:w="306" w:type="pct"/>
                  <w:vMerge w:val="restart"/>
                  <w:tcBorders>
                    <w:tl2br w:val="nil"/>
                    <w:tr2bl w:val="nil"/>
                  </w:tcBorders>
                  <w:shd w:val="clear" w:color="auto" w:fill="auto"/>
                  <w:noWrap/>
                  <w:vAlign w:val="center"/>
                </w:tcPr>
                <w:p w14:paraId="0186D5A2">
                  <w:pPr>
                    <w:pStyle w:val="56"/>
                    <w:bidi w:val="0"/>
                    <w:rPr>
                      <w:color w:val="auto"/>
                    </w:rPr>
                  </w:pPr>
                  <w:r>
                    <w:rPr>
                      <w:rFonts w:hint="eastAsia"/>
                    </w:rPr>
                    <w:t>污染物排放管控</w:t>
                  </w:r>
                </w:p>
              </w:tc>
              <w:tc>
                <w:tcPr>
                  <w:tcW w:w="365" w:type="pct"/>
                  <w:tcBorders>
                    <w:tl2br w:val="nil"/>
                    <w:tr2bl w:val="nil"/>
                  </w:tcBorders>
                  <w:shd w:val="clear" w:color="auto" w:fill="auto"/>
                  <w:noWrap/>
                  <w:vAlign w:val="center"/>
                </w:tcPr>
                <w:p w14:paraId="19D3D724">
                  <w:pPr>
                    <w:pStyle w:val="56"/>
                    <w:bidi w:val="0"/>
                    <w:rPr>
                      <w:color w:val="auto"/>
                    </w:rPr>
                  </w:pPr>
                  <w:r>
                    <w:rPr>
                      <w:rFonts w:hint="eastAsia"/>
                    </w:rPr>
                    <w:t>8</w:t>
                  </w:r>
                </w:p>
              </w:tc>
              <w:tc>
                <w:tcPr>
                  <w:tcW w:w="2735" w:type="pct"/>
                  <w:tcBorders>
                    <w:tl2br w:val="nil"/>
                    <w:tr2bl w:val="nil"/>
                  </w:tcBorders>
                  <w:shd w:val="clear" w:color="auto" w:fill="auto"/>
                  <w:noWrap/>
                  <w:vAlign w:val="center"/>
                </w:tcPr>
                <w:p w14:paraId="2F831CE9">
                  <w:pPr>
                    <w:pStyle w:val="56"/>
                    <w:bidi w:val="0"/>
                    <w:jc w:val="left"/>
                    <w:rPr>
                      <w:color w:val="auto"/>
                    </w:rPr>
                  </w:pPr>
                  <w:r>
                    <w:rPr>
                      <w:rFonts w:hint="eastAsia"/>
                    </w:rPr>
                    <w:t>城镇开发边界内划定的特别用途区原则上禁止任何新增城镇集中建设行为，实施建设用地总量控制，原则上不得新增除市政基础设施、交通物流基础设施、生态修复工程、必要的配套及游憩设施外的其他城镇建设用地。</w:t>
                  </w:r>
                </w:p>
              </w:tc>
              <w:tc>
                <w:tcPr>
                  <w:tcW w:w="640" w:type="pct"/>
                  <w:tcBorders>
                    <w:tl2br w:val="nil"/>
                    <w:tr2bl w:val="nil"/>
                  </w:tcBorders>
                  <w:shd w:val="clear" w:color="auto" w:fill="auto"/>
                  <w:noWrap/>
                  <w:vAlign w:val="center"/>
                </w:tcPr>
                <w:p w14:paraId="78046AEF">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76C4169B">
                  <w:pPr>
                    <w:pStyle w:val="56"/>
                    <w:bidi w:val="0"/>
                    <w:rPr>
                      <w:color w:val="auto"/>
                    </w:rPr>
                  </w:pPr>
                  <w:r>
                    <w:rPr>
                      <w:rFonts w:hint="eastAsia"/>
                    </w:rPr>
                    <w:t>相符</w:t>
                  </w:r>
                </w:p>
              </w:tc>
            </w:tr>
            <w:tr w14:paraId="54901C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1236" w:hRule="atLeast"/>
                <w:jc w:val="center"/>
              </w:trPr>
              <w:tc>
                <w:tcPr>
                  <w:tcW w:w="343" w:type="pct"/>
                  <w:vMerge w:val="continue"/>
                  <w:tcBorders>
                    <w:tl2br w:val="nil"/>
                    <w:tr2bl w:val="nil"/>
                  </w:tcBorders>
                  <w:shd w:val="clear" w:color="auto" w:fill="auto"/>
                  <w:noWrap/>
                  <w:vAlign w:val="center"/>
                </w:tcPr>
                <w:p w14:paraId="6B987899">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4C84B667">
                  <w:pPr>
                    <w:pStyle w:val="56"/>
                    <w:spacing w:line="240" w:lineRule="auto"/>
                    <w:jc w:val="center"/>
                    <w:rPr>
                      <w:color w:val="auto"/>
                    </w:rPr>
                  </w:pPr>
                </w:p>
              </w:tc>
              <w:tc>
                <w:tcPr>
                  <w:tcW w:w="365" w:type="pct"/>
                  <w:tcBorders>
                    <w:tl2br w:val="nil"/>
                    <w:tr2bl w:val="nil"/>
                  </w:tcBorders>
                  <w:shd w:val="clear" w:color="auto" w:fill="auto"/>
                  <w:noWrap/>
                  <w:vAlign w:val="center"/>
                </w:tcPr>
                <w:p w14:paraId="04997DC9">
                  <w:pPr>
                    <w:pStyle w:val="56"/>
                    <w:bidi w:val="0"/>
                    <w:rPr>
                      <w:color w:val="auto"/>
                    </w:rPr>
                  </w:pPr>
                  <w:r>
                    <w:rPr>
                      <w:rFonts w:hint="eastAsia"/>
                    </w:rPr>
                    <w:t>9</w:t>
                  </w:r>
                </w:p>
              </w:tc>
              <w:tc>
                <w:tcPr>
                  <w:tcW w:w="2735" w:type="pct"/>
                  <w:tcBorders>
                    <w:tl2br w:val="nil"/>
                    <w:tr2bl w:val="nil"/>
                  </w:tcBorders>
                  <w:shd w:val="clear" w:color="auto" w:fill="auto"/>
                  <w:noWrap/>
                  <w:vAlign w:val="center"/>
                </w:tcPr>
                <w:p w14:paraId="146F1725">
                  <w:pPr>
                    <w:pStyle w:val="56"/>
                    <w:bidi w:val="0"/>
                    <w:jc w:val="left"/>
                    <w:rPr>
                      <w:color w:val="auto"/>
                    </w:rPr>
                  </w:pPr>
                  <w:r>
                    <w:rPr>
                      <w:rFonts w:hint="eastAsia"/>
                    </w:rPr>
                    <w:t>到2025年，全省单位生产总值能源消耗比2020年下降14%，力争达到14.5%，能源消费总量得到合理控制，氮氧化物、挥发性有机物、化学需氧量、氨氮重点工程减排量分别达到2.73万吨、1.41万吨、8.41万吨、0.55万吨。</w:t>
                  </w:r>
                </w:p>
              </w:tc>
              <w:tc>
                <w:tcPr>
                  <w:tcW w:w="640" w:type="pct"/>
                  <w:tcBorders>
                    <w:tl2br w:val="nil"/>
                    <w:tr2bl w:val="nil"/>
                  </w:tcBorders>
                  <w:shd w:val="clear" w:color="auto" w:fill="auto"/>
                  <w:noWrap/>
                  <w:vAlign w:val="center"/>
                </w:tcPr>
                <w:p w14:paraId="49F57261">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3A945EE2">
                  <w:pPr>
                    <w:pStyle w:val="56"/>
                    <w:bidi w:val="0"/>
                    <w:rPr>
                      <w:color w:val="auto"/>
                    </w:rPr>
                  </w:pPr>
                  <w:r>
                    <w:rPr>
                      <w:rFonts w:hint="eastAsia"/>
                    </w:rPr>
                    <w:t>相符</w:t>
                  </w:r>
                </w:p>
              </w:tc>
            </w:tr>
            <w:tr w14:paraId="744F46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439" w:hRule="atLeast"/>
                <w:jc w:val="center"/>
              </w:trPr>
              <w:tc>
                <w:tcPr>
                  <w:tcW w:w="343" w:type="pct"/>
                  <w:vMerge w:val="continue"/>
                  <w:tcBorders>
                    <w:tl2br w:val="nil"/>
                    <w:tr2bl w:val="nil"/>
                  </w:tcBorders>
                  <w:shd w:val="clear" w:color="auto" w:fill="auto"/>
                  <w:noWrap/>
                  <w:vAlign w:val="center"/>
                </w:tcPr>
                <w:p w14:paraId="266D355C">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24D7CFB8">
                  <w:pPr>
                    <w:pStyle w:val="56"/>
                    <w:spacing w:line="240" w:lineRule="auto"/>
                    <w:jc w:val="center"/>
                    <w:rPr>
                      <w:color w:val="auto"/>
                    </w:rPr>
                  </w:pPr>
                </w:p>
              </w:tc>
              <w:tc>
                <w:tcPr>
                  <w:tcW w:w="365" w:type="pct"/>
                  <w:tcBorders>
                    <w:tl2br w:val="nil"/>
                    <w:tr2bl w:val="nil"/>
                  </w:tcBorders>
                  <w:shd w:val="clear" w:color="auto" w:fill="auto"/>
                  <w:noWrap/>
                  <w:vAlign w:val="center"/>
                </w:tcPr>
                <w:p w14:paraId="1E5D90DD">
                  <w:pPr>
                    <w:pStyle w:val="56"/>
                    <w:bidi w:val="0"/>
                    <w:rPr>
                      <w:color w:val="auto"/>
                    </w:rPr>
                  </w:pPr>
                  <w:r>
                    <w:rPr>
                      <w:rFonts w:hint="eastAsia"/>
                    </w:rPr>
                    <w:t>10</w:t>
                  </w:r>
                </w:p>
              </w:tc>
              <w:tc>
                <w:tcPr>
                  <w:tcW w:w="2735" w:type="pct"/>
                  <w:tcBorders>
                    <w:tl2br w:val="nil"/>
                    <w:tr2bl w:val="nil"/>
                  </w:tcBorders>
                  <w:shd w:val="clear" w:color="auto" w:fill="auto"/>
                  <w:noWrap/>
                  <w:vAlign w:val="center"/>
                </w:tcPr>
                <w:p w14:paraId="209AF6C3">
                  <w:pPr>
                    <w:pStyle w:val="56"/>
                    <w:bidi w:val="0"/>
                    <w:jc w:val="left"/>
                    <w:rPr>
                      <w:color w:val="auto"/>
                    </w:rPr>
                  </w:pPr>
                  <w:r>
                    <w:rPr>
                      <w:rFonts w:hint="eastAsia"/>
                    </w:rPr>
                    <w:t>禁止新建不符合国家产业政策的小型造纸、制革、印染、染料、炼焦、炼硫、炼砷、炼汞、炼油、电镀、农药、石棉、水泥、玻璃、钢铁、火电以及其他严重污染水环境的生产项目。</w:t>
                  </w:r>
                </w:p>
              </w:tc>
              <w:tc>
                <w:tcPr>
                  <w:tcW w:w="640" w:type="pct"/>
                  <w:tcBorders>
                    <w:tl2br w:val="nil"/>
                    <w:tr2bl w:val="nil"/>
                  </w:tcBorders>
                  <w:shd w:val="clear" w:color="auto" w:fill="auto"/>
                  <w:noWrap/>
                  <w:vAlign w:val="center"/>
                </w:tcPr>
                <w:p w14:paraId="477D1516">
                  <w:pPr>
                    <w:pStyle w:val="56"/>
                    <w:bidi w:val="0"/>
                    <w:jc w:val="left"/>
                    <w:rPr>
                      <w:color w:val="auto"/>
                    </w:rPr>
                  </w:pPr>
                  <w:r>
                    <w:t>本项目符合国家产业政策</w:t>
                  </w:r>
                </w:p>
              </w:tc>
              <w:tc>
                <w:tcPr>
                  <w:tcW w:w="607" w:type="pct"/>
                  <w:tcBorders>
                    <w:tl2br w:val="nil"/>
                    <w:tr2bl w:val="nil"/>
                  </w:tcBorders>
                  <w:shd w:val="clear" w:color="auto" w:fill="auto"/>
                  <w:noWrap/>
                  <w:vAlign w:val="center"/>
                </w:tcPr>
                <w:p w14:paraId="3335D75F">
                  <w:pPr>
                    <w:pStyle w:val="56"/>
                    <w:bidi w:val="0"/>
                    <w:rPr>
                      <w:color w:val="auto"/>
                    </w:rPr>
                  </w:pPr>
                  <w:r>
                    <w:rPr>
                      <w:rFonts w:hint="eastAsia"/>
                    </w:rPr>
                    <w:t>相符</w:t>
                  </w:r>
                </w:p>
              </w:tc>
            </w:tr>
            <w:tr w14:paraId="02E567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90" w:hRule="atLeast"/>
                <w:jc w:val="center"/>
              </w:trPr>
              <w:tc>
                <w:tcPr>
                  <w:tcW w:w="343" w:type="pct"/>
                  <w:vMerge w:val="continue"/>
                  <w:tcBorders>
                    <w:tl2br w:val="nil"/>
                    <w:tr2bl w:val="nil"/>
                  </w:tcBorders>
                  <w:shd w:val="clear" w:color="auto" w:fill="auto"/>
                  <w:noWrap/>
                  <w:vAlign w:val="center"/>
                </w:tcPr>
                <w:p w14:paraId="62AC1576">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53AF91A0">
                  <w:pPr>
                    <w:pStyle w:val="56"/>
                    <w:spacing w:line="240" w:lineRule="auto"/>
                    <w:jc w:val="center"/>
                    <w:rPr>
                      <w:color w:val="auto"/>
                    </w:rPr>
                  </w:pPr>
                </w:p>
              </w:tc>
              <w:tc>
                <w:tcPr>
                  <w:tcW w:w="365" w:type="pct"/>
                  <w:tcBorders>
                    <w:tl2br w:val="nil"/>
                    <w:tr2bl w:val="nil"/>
                  </w:tcBorders>
                  <w:shd w:val="clear" w:color="auto" w:fill="auto"/>
                  <w:noWrap/>
                  <w:vAlign w:val="center"/>
                </w:tcPr>
                <w:p w14:paraId="4151511C">
                  <w:pPr>
                    <w:pStyle w:val="56"/>
                    <w:bidi w:val="0"/>
                    <w:rPr>
                      <w:color w:val="auto"/>
                    </w:rPr>
                  </w:pPr>
                  <w:r>
                    <w:rPr>
                      <w:rFonts w:hint="eastAsia"/>
                    </w:rPr>
                    <w:t>11</w:t>
                  </w:r>
                </w:p>
              </w:tc>
              <w:tc>
                <w:tcPr>
                  <w:tcW w:w="2735" w:type="pct"/>
                  <w:tcBorders>
                    <w:tl2br w:val="nil"/>
                    <w:tr2bl w:val="nil"/>
                  </w:tcBorders>
                  <w:shd w:val="clear" w:color="auto" w:fill="auto"/>
                  <w:noWrap/>
                  <w:vAlign w:val="center"/>
                </w:tcPr>
                <w:p w14:paraId="43006DFE">
                  <w:pPr>
                    <w:pStyle w:val="56"/>
                    <w:bidi w:val="0"/>
                    <w:jc w:val="left"/>
                    <w:rPr>
                      <w:color w:val="auto"/>
                    </w:rPr>
                  </w:pPr>
                  <w:r>
                    <w:rPr>
                      <w:rFonts w:hint="eastAsia"/>
                    </w:rPr>
                    <w:t>新建、改建、扩建造纸、焦化、氮肥、有色金属、印染、农副食品加工、原料药制造、制革、农药、电镀等重点行业建设项目，实行主要污染物排放等量或减量置换。</w:t>
                  </w:r>
                </w:p>
              </w:tc>
              <w:tc>
                <w:tcPr>
                  <w:tcW w:w="640" w:type="pct"/>
                  <w:tcBorders>
                    <w:tl2br w:val="nil"/>
                    <w:tr2bl w:val="nil"/>
                  </w:tcBorders>
                  <w:shd w:val="clear" w:color="auto" w:fill="auto"/>
                  <w:noWrap/>
                  <w:vAlign w:val="center"/>
                </w:tcPr>
                <w:p w14:paraId="3E7FFEDA">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5CAB79C2">
                  <w:pPr>
                    <w:pStyle w:val="56"/>
                    <w:bidi w:val="0"/>
                    <w:rPr>
                      <w:color w:val="auto"/>
                    </w:rPr>
                  </w:pPr>
                  <w:r>
                    <w:rPr>
                      <w:rFonts w:hint="eastAsia"/>
                    </w:rPr>
                    <w:t>相符</w:t>
                  </w:r>
                </w:p>
              </w:tc>
            </w:tr>
            <w:tr w14:paraId="4814AD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90" w:hRule="atLeast"/>
                <w:jc w:val="center"/>
              </w:trPr>
              <w:tc>
                <w:tcPr>
                  <w:tcW w:w="343" w:type="pct"/>
                  <w:vMerge w:val="continue"/>
                  <w:tcBorders>
                    <w:tl2br w:val="nil"/>
                    <w:tr2bl w:val="nil"/>
                  </w:tcBorders>
                  <w:shd w:val="clear" w:color="auto" w:fill="auto"/>
                  <w:noWrap/>
                  <w:vAlign w:val="center"/>
                </w:tcPr>
                <w:p w14:paraId="32AB0B7F">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10D31FCE">
                  <w:pPr>
                    <w:pStyle w:val="56"/>
                    <w:spacing w:line="240" w:lineRule="auto"/>
                    <w:jc w:val="center"/>
                    <w:rPr>
                      <w:color w:val="auto"/>
                    </w:rPr>
                  </w:pPr>
                </w:p>
              </w:tc>
              <w:tc>
                <w:tcPr>
                  <w:tcW w:w="365" w:type="pct"/>
                  <w:tcBorders>
                    <w:tl2br w:val="nil"/>
                    <w:tr2bl w:val="nil"/>
                  </w:tcBorders>
                  <w:shd w:val="clear" w:color="auto" w:fill="auto"/>
                  <w:noWrap/>
                  <w:vAlign w:val="center"/>
                </w:tcPr>
                <w:p w14:paraId="3AD90F3A">
                  <w:pPr>
                    <w:pStyle w:val="56"/>
                    <w:bidi w:val="0"/>
                    <w:rPr>
                      <w:color w:val="auto"/>
                    </w:rPr>
                  </w:pPr>
                  <w:r>
                    <w:rPr>
                      <w:rFonts w:hint="eastAsia"/>
                    </w:rPr>
                    <w:t>12</w:t>
                  </w:r>
                </w:p>
              </w:tc>
              <w:tc>
                <w:tcPr>
                  <w:tcW w:w="2735" w:type="pct"/>
                  <w:tcBorders>
                    <w:tl2br w:val="nil"/>
                    <w:tr2bl w:val="nil"/>
                  </w:tcBorders>
                  <w:shd w:val="clear" w:color="auto" w:fill="auto"/>
                  <w:noWrap/>
                  <w:vAlign w:val="center"/>
                </w:tcPr>
                <w:p w14:paraId="0CB5D89B">
                  <w:pPr>
                    <w:pStyle w:val="56"/>
                    <w:bidi w:val="0"/>
                    <w:jc w:val="left"/>
                    <w:rPr>
                      <w:color w:val="auto"/>
                    </w:rPr>
                  </w:pPr>
                  <w:r>
                    <w:rPr>
                      <w:rFonts w:hint="eastAsia"/>
                    </w:rPr>
                    <w:t>严格落实钢铁、水泥、平板玻璃产生减量置换政策。推进钢铁、水泥、焦化行业及燃煤锅炉超低排放改造。</w:t>
                  </w:r>
                </w:p>
              </w:tc>
              <w:tc>
                <w:tcPr>
                  <w:tcW w:w="640" w:type="pct"/>
                  <w:tcBorders>
                    <w:tl2br w:val="nil"/>
                    <w:tr2bl w:val="nil"/>
                  </w:tcBorders>
                  <w:shd w:val="clear" w:color="auto" w:fill="auto"/>
                  <w:noWrap/>
                  <w:vAlign w:val="center"/>
                </w:tcPr>
                <w:p w14:paraId="5B43ACBF">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7F8CCB8F">
                  <w:pPr>
                    <w:pStyle w:val="56"/>
                    <w:bidi w:val="0"/>
                    <w:rPr>
                      <w:color w:val="auto"/>
                    </w:rPr>
                  </w:pPr>
                  <w:r>
                    <w:rPr>
                      <w:rFonts w:hint="eastAsia"/>
                    </w:rPr>
                    <w:t>相符</w:t>
                  </w:r>
                </w:p>
              </w:tc>
            </w:tr>
            <w:tr w14:paraId="08D122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90" w:hRule="atLeast"/>
                <w:jc w:val="center"/>
              </w:trPr>
              <w:tc>
                <w:tcPr>
                  <w:tcW w:w="343" w:type="pct"/>
                  <w:vMerge w:val="continue"/>
                  <w:tcBorders>
                    <w:tl2br w:val="nil"/>
                    <w:tr2bl w:val="nil"/>
                  </w:tcBorders>
                  <w:shd w:val="clear" w:color="auto" w:fill="auto"/>
                  <w:noWrap/>
                  <w:vAlign w:val="center"/>
                </w:tcPr>
                <w:p w14:paraId="7D7D878E">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62C27199">
                  <w:pPr>
                    <w:pStyle w:val="56"/>
                    <w:spacing w:line="240" w:lineRule="auto"/>
                    <w:jc w:val="center"/>
                    <w:rPr>
                      <w:color w:val="auto"/>
                    </w:rPr>
                  </w:pPr>
                </w:p>
              </w:tc>
              <w:tc>
                <w:tcPr>
                  <w:tcW w:w="365" w:type="pct"/>
                  <w:tcBorders>
                    <w:tl2br w:val="nil"/>
                    <w:tr2bl w:val="nil"/>
                  </w:tcBorders>
                  <w:shd w:val="clear" w:color="auto" w:fill="auto"/>
                  <w:noWrap/>
                  <w:vAlign w:val="center"/>
                </w:tcPr>
                <w:p w14:paraId="1FF91162">
                  <w:pPr>
                    <w:pStyle w:val="56"/>
                    <w:bidi w:val="0"/>
                    <w:rPr>
                      <w:color w:val="auto"/>
                    </w:rPr>
                  </w:pPr>
                  <w:r>
                    <w:rPr>
                      <w:rFonts w:hint="eastAsia"/>
                    </w:rPr>
                    <w:t>13</w:t>
                  </w:r>
                </w:p>
              </w:tc>
              <w:tc>
                <w:tcPr>
                  <w:tcW w:w="2735" w:type="pct"/>
                  <w:tcBorders>
                    <w:tl2br w:val="nil"/>
                    <w:tr2bl w:val="nil"/>
                  </w:tcBorders>
                  <w:shd w:val="clear" w:color="auto" w:fill="auto"/>
                  <w:noWrap/>
                  <w:vAlign w:val="center"/>
                </w:tcPr>
                <w:p w14:paraId="6BDEA4D8">
                  <w:pPr>
                    <w:pStyle w:val="56"/>
                    <w:bidi w:val="0"/>
                    <w:jc w:val="left"/>
                    <w:rPr>
                      <w:color w:val="auto"/>
                    </w:rPr>
                  </w:pPr>
                  <w:r>
                    <w:rPr>
                      <w:rFonts w:hint="eastAsia"/>
                    </w:rPr>
                    <w:t>推动全省34个涉气重点行业企业绩效分级，积极引导污染物排放总量大、污染物排放浓度高的行业企业开展超低排放改造。</w:t>
                  </w:r>
                </w:p>
              </w:tc>
              <w:tc>
                <w:tcPr>
                  <w:tcW w:w="640" w:type="pct"/>
                  <w:tcBorders>
                    <w:tl2br w:val="nil"/>
                    <w:tr2bl w:val="nil"/>
                  </w:tcBorders>
                  <w:shd w:val="clear" w:color="auto" w:fill="auto"/>
                  <w:noWrap/>
                  <w:vAlign w:val="center"/>
                </w:tcPr>
                <w:p w14:paraId="6492EB11">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5F032E07">
                  <w:pPr>
                    <w:pStyle w:val="56"/>
                    <w:bidi w:val="0"/>
                    <w:rPr>
                      <w:color w:val="auto"/>
                    </w:rPr>
                  </w:pPr>
                  <w:r>
                    <w:rPr>
                      <w:rFonts w:hint="eastAsia"/>
                    </w:rPr>
                    <w:t>相符</w:t>
                  </w:r>
                </w:p>
              </w:tc>
            </w:tr>
            <w:tr w14:paraId="42E98D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752" w:hRule="atLeast"/>
                <w:jc w:val="center"/>
              </w:trPr>
              <w:tc>
                <w:tcPr>
                  <w:tcW w:w="343" w:type="pct"/>
                  <w:vMerge w:val="continue"/>
                  <w:tcBorders>
                    <w:tl2br w:val="nil"/>
                    <w:tr2bl w:val="nil"/>
                  </w:tcBorders>
                  <w:shd w:val="clear" w:color="auto" w:fill="auto"/>
                  <w:noWrap/>
                  <w:vAlign w:val="center"/>
                </w:tcPr>
                <w:p w14:paraId="5E37FB5B">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3CDBBE9E">
                  <w:pPr>
                    <w:pStyle w:val="56"/>
                    <w:spacing w:line="240" w:lineRule="auto"/>
                    <w:jc w:val="center"/>
                    <w:rPr>
                      <w:color w:val="auto"/>
                    </w:rPr>
                  </w:pPr>
                </w:p>
              </w:tc>
              <w:tc>
                <w:tcPr>
                  <w:tcW w:w="365" w:type="pct"/>
                  <w:tcBorders>
                    <w:tl2br w:val="nil"/>
                    <w:tr2bl w:val="nil"/>
                  </w:tcBorders>
                  <w:shd w:val="clear" w:color="auto" w:fill="auto"/>
                  <w:noWrap/>
                  <w:vAlign w:val="center"/>
                </w:tcPr>
                <w:p w14:paraId="12104368">
                  <w:pPr>
                    <w:pStyle w:val="56"/>
                    <w:bidi w:val="0"/>
                    <w:rPr>
                      <w:color w:val="auto"/>
                    </w:rPr>
                  </w:pPr>
                  <w:r>
                    <w:rPr>
                      <w:rFonts w:hint="eastAsia"/>
                    </w:rPr>
                    <w:t>14</w:t>
                  </w:r>
                </w:p>
              </w:tc>
              <w:tc>
                <w:tcPr>
                  <w:tcW w:w="2735" w:type="pct"/>
                  <w:tcBorders>
                    <w:tl2br w:val="nil"/>
                    <w:tr2bl w:val="nil"/>
                  </w:tcBorders>
                  <w:shd w:val="clear" w:color="auto" w:fill="auto"/>
                  <w:noWrap/>
                  <w:vAlign w:val="center"/>
                </w:tcPr>
                <w:p w14:paraId="5C3A50F7">
                  <w:pPr>
                    <w:pStyle w:val="56"/>
                    <w:bidi w:val="0"/>
                    <w:jc w:val="left"/>
                    <w:rPr>
                      <w:color w:val="auto"/>
                    </w:rPr>
                  </w:pPr>
                  <w:r>
                    <w:rPr>
                      <w:rFonts w:hint="eastAsia"/>
                    </w:rPr>
                    <w:t>禁止新建、扩建不符合要求的高耗能高排放项目</w:t>
                  </w:r>
                </w:p>
              </w:tc>
              <w:tc>
                <w:tcPr>
                  <w:tcW w:w="640" w:type="pct"/>
                  <w:tcBorders>
                    <w:tl2br w:val="nil"/>
                    <w:tr2bl w:val="nil"/>
                  </w:tcBorders>
                  <w:shd w:val="clear" w:color="auto" w:fill="auto"/>
                  <w:noWrap/>
                  <w:vAlign w:val="center"/>
                </w:tcPr>
                <w:p w14:paraId="56BA7337">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1856BF44">
                  <w:pPr>
                    <w:pStyle w:val="56"/>
                    <w:bidi w:val="0"/>
                    <w:rPr>
                      <w:color w:val="auto"/>
                    </w:rPr>
                  </w:pPr>
                  <w:r>
                    <w:rPr>
                      <w:rFonts w:hint="eastAsia"/>
                    </w:rPr>
                    <w:t>相符</w:t>
                  </w:r>
                </w:p>
              </w:tc>
            </w:tr>
            <w:tr w14:paraId="6B9DD9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654" w:hRule="atLeast"/>
                <w:jc w:val="center"/>
              </w:trPr>
              <w:tc>
                <w:tcPr>
                  <w:tcW w:w="343" w:type="pct"/>
                  <w:vMerge w:val="continue"/>
                  <w:tcBorders>
                    <w:tl2br w:val="nil"/>
                    <w:tr2bl w:val="nil"/>
                  </w:tcBorders>
                  <w:shd w:val="clear" w:color="auto" w:fill="auto"/>
                  <w:noWrap/>
                  <w:vAlign w:val="center"/>
                </w:tcPr>
                <w:p w14:paraId="5D52F275">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2EDC9793">
                  <w:pPr>
                    <w:pStyle w:val="56"/>
                    <w:spacing w:line="240" w:lineRule="auto"/>
                    <w:jc w:val="center"/>
                    <w:rPr>
                      <w:color w:val="auto"/>
                    </w:rPr>
                  </w:pPr>
                </w:p>
              </w:tc>
              <w:tc>
                <w:tcPr>
                  <w:tcW w:w="365" w:type="pct"/>
                  <w:tcBorders>
                    <w:tl2br w:val="nil"/>
                    <w:tr2bl w:val="nil"/>
                  </w:tcBorders>
                  <w:shd w:val="clear" w:color="auto" w:fill="auto"/>
                  <w:noWrap/>
                  <w:vAlign w:val="center"/>
                </w:tcPr>
                <w:p w14:paraId="355C44D5">
                  <w:pPr>
                    <w:pStyle w:val="56"/>
                    <w:bidi w:val="0"/>
                    <w:rPr>
                      <w:color w:val="auto"/>
                    </w:rPr>
                  </w:pPr>
                  <w:r>
                    <w:rPr>
                      <w:rFonts w:hint="eastAsia"/>
                    </w:rPr>
                    <w:t>15</w:t>
                  </w:r>
                </w:p>
              </w:tc>
              <w:tc>
                <w:tcPr>
                  <w:tcW w:w="2735" w:type="pct"/>
                  <w:tcBorders>
                    <w:tl2br w:val="nil"/>
                    <w:tr2bl w:val="nil"/>
                  </w:tcBorders>
                  <w:shd w:val="clear" w:color="auto" w:fill="auto"/>
                  <w:noWrap/>
                  <w:vAlign w:val="center"/>
                </w:tcPr>
                <w:p w14:paraId="7BBAAD85">
                  <w:pPr>
                    <w:pStyle w:val="56"/>
                    <w:bidi w:val="0"/>
                    <w:jc w:val="left"/>
                    <w:rPr>
                      <w:rFonts w:hint="eastAsia" w:eastAsia="宋体"/>
                      <w:color w:val="auto"/>
                      <w:lang w:eastAsia="zh-CN"/>
                    </w:rPr>
                  </w:pPr>
                  <w:r>
                    <w:rPr>
                      <w:rFonts w:hint="eastAsia"/>
                    </w:rPr>
                    <w:t>在居民集中区、医院和学校附近、重点水源涵养生态功能区等环境风险防控重点区域，禁止新建或扩建化工石化、有色冶炼、制浆造纸等可能引发环境风险的项目</w:t>
                  </w:r>
                  <w:r>
                    <w:rPr>
                      <w:rFonts w:hint="eastAsia"/>
                      <w:lang w:eastAsia="zh-CN"/>
                    </w:rPr>
                    <w:t>。</w:t>
                  </w:r>
                </w:p>
              </w:tc>
              <w:tc>
                <w:tcPr>
                  <w:tcW w:w="640" w:type="pct"/>
                  <w:tcBorders>
                    <w:tl2br w:val="nil"/>
                    <w:tr2bl w:val="nil"/>
                  </w:tcBorders>
                  <w:shd w:val="clear" w:color="auto" w:fill="auto"/>
                  <w:noWrap/>
                  <w:vAlign w:val="center"/>
                </w:tcPr>
                <w:p w14:paraId="5AFE075B">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65AE2030">
                  <w:pPr>
                    <w:pStyle w:val="56"/>
                    <w:bidi w:val="0"/>
                    <w:rPr>
                      <w:color w:val="auto"/>
                    </w:rPr>
                  </w:pPr>
                  <w:r>
                    <w:rPr>
                      <w:rFonts w:hint="eastAsia"/>
                    </w:rPr>
                    <w:t>相符</w:t>
                  </w:r>
                </w:p>
              </w:tc>
            </w:tr>
            <w:tr w14:paraId="43B0DA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520" w:hRule="atLeast"/>
                <w:jc w:val="center"/>
              </w:trPr>
              <w:tc>
                <w:tcPr>
                  <w:tcW w:w="343" w:type="pct"/>
                  <w:vMerge w:val="continue"/>
                  <w:tcBorders>
                    <w:tl2br w:val="nil"/>
                    <w:tr2bl w:val="nil"/>
                  </w:tcBorders>
                  <w:shd w:val="clear" w:color="auto" w:fill="auto"/>
                  <w:noWrap/>
                  <w:vAlign w:val="center"/>
                </w:tcPr>
                <w:p w14:paraId="2C48DFB8">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21F8825F">
                  <w:pPr>
                    <w:pStyle w:val="56"/>
                    <w:spacing w:line="240" w:lineRule="auto"/>
                    <w:jc w:val="center"/>
                    <w:rPr>
                      <w:color w:val="auto"/>
                    </w:rPr>
                  </w:pPr>
                </w:p>
              </w:tc>
              <w:tc>
                <w:tcPr>
                  <w:tcW w:w="365" w:type="pct"/>
                  <w:tcBorders>
                    <w:tl2br w:val="nil"/>
                    <w:tr2bl w:val="nil"/>
                  </w:tcBorders>
                  <w:shd w:val="clear" w:color="auto" w:fill="auto"/>
                  <w:noWrap/>
                  <w:vAlign w:val="center"/>
                </w:tcPr>
                <w:p w14:paraId="6092ABA4">
                  <w:pPr>
                    <w:pStyle w:val="56"/>
                    <w:bidi w:val="0"/>
                    <w:rPr>
                      <w:color w:val="auto"/>
                    </w:rPr>
                  </w:pPr>
                  <w:r>
                    <w:rPr>
                      <w:rFonts w:hint="eastAsia"/>
                    </w:rPr>
                    <w:t>16</w:t>
                  </w:r>
                </w:p>
              </w:tc>
              <w:tc>
                <w:tcPr>
                  <w:tcW w:w="2735" w:type="pct"/>
                  <w:tcBorders>
                    <w:tl2br w:val="nil"/>
                    <w:tr2bl w:val="nil"/>
                  </w:tcBorders>
                  <w:shd w:val="clear" w:color="auto" w:fill="auto"/>
                  <w:noWrap/>
                  <w:vAlign w:val="center"/>
                </w:tcPr>
                <w:p w14:paraId="75E0F347">
                  <w:pPr>
                    <w:pStyle w:val="56"/>
                    <w:bidi w:val="0"/>
                    <w:jc w:val="left"/>
                    <w:rPr>
                      <w:rFonts w:hint="eastAsia" w:eastAsia="宋体"/>
                      <w:color w:val="auto"/>
                      <w:lang w:eastAsia="zh-CN"/>
                    </w:rPr>
                  </w:pPr>
                  <w:r>
                    <w:rPr>
                      <w:rFonts w:hint="eastAsia"/>
                    </w:rPr>
                    <w:t>含有毒有害氰化物电镀工艺（电镀金、银、铜基合金及予镀铜打底工艺除外）</w:t>
                  </w:r>
                </w:p>
              </w:tc>
              <w:tc>
                <w:tcPr>
                  <w:tcW w:w="640" w:type="pct"/>
                  <w:tcBorders>
                    <w:tl2br w:val="nil"/>
                    <w:tr2bl w:val="nil"/>
                  </w:tcBorders>
                  <w:shd w:val="clear" w:color="auto" w:fill="auto"/>
                  <w:noWrap/>
                  <w:vAlign w:val="center"/>
                </w:tcPr>
                <w:p w14:paraId="60132B65">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364A7470">
                  <w:pPr>
                    <w:pStyle w:val="56"/>
                    <w:bidi w:val="0"/>
                    <w:rPr>
                      <w:color w:val="auto"/>
                    </w:rPr>
                  </w:pPr>
                  <w:r>
                    <w:rPr>
                      <w:rFonts w:hint="eastAsia"/>
                    </w:rPr>
                    <w:t>相符</w:t>
                  </w:r>
                </w:p>
              </w:tc>
            </w:tr>
            <w:tr w14:paraId="0D66A2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1240" w:hRule="atLeast"/>
                <w:jc w:val="center"/>
              </w:trPr>
              <w:tc>
                <w:tcPr>
                  <w:tcW w:w="343" w:type="pct"/>
                  <w:vMerge w:val="continue"/>
                  <w:tcBorders>
                    <w:tl2br w:val="nil"/>
                    <w:tr2bl w:val="nil"/>
                  </w:tcBorders>
                  <w:shd w:val="clear" w:color="auto" w:fill="auto"/>
                  <w:noWrap/>
                  <w:vAlign w:val="center"/>
                </w:tcPr>
                <w:p w14:paraId="7F988583">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4F2FC1E5">
                  <w:pPr>
                    <w:pStyle w:val="56"/>
                    <w:spacing w:line="240" w:lineRule="auto"/>
                    <w:jc w:val="center"/>
                    <w:rPr>
                      <w:color w:val="auto"/>
                    </w:rPr>
                  </w:pPr>
                </w:p>
              </w:tc>
              <w:tc>
                <w:tcPr>
                  <w:tcW w:w="365" w:type="pct"/>
                  <w:tcBorders>
                    <w:tl2br w:val="nil"/>
                    <w:tr2bl w:val="nil"/>
                  </w:tcBorders>
                  <w:shd w:val="clear" w:color="auto" w:fill="auto"/>
                  <w:noWrap/>
                  <w:vAlign w:val="center"/>
                </w:tcPr>
                <w:p w14:paraId="5B7194F0">
                  <w:pPr>
                    <w:pStyle w:val="56"/>
                    <w:bidi w:val="0"/>
                    <w:rPr>
                      <w:color w:val="auto"/>
                    </w:rPr>
                  </w:pPr>
                  <w:r>
                    <w:rPr>
                      <w:rFonts w:hint="eastAsia"/>
                    </w:rPr>
                    <w:t>17</w:t>
                  </w:r>
                </w:p>
              </w:tc>
              <w:tc>
                <w:tcPr>
                  <w:tcW w:w="2735" w:type="pct"/>
                  <w:tcBorders>
                    <w:tl2br w:val="nil"/>
                    <w:tr2bl w:val="nil"/>
                  </w:tcBorders>
                  <w:shd w:val="clear" w:color="auto" w:fill="auto"/>
                  <w:noWrap/>
                  <w:vAlign w:val="center"/>
                </w:tcPr>
                <w:p w14:paraId="479030B2">
                  <w:pPr>
                    <w:pStyle w:val="56"/>
                    <w:bidi w:val="0"/>
                    <w:jc w:val="left"/>
                    <w:rPr>
                      <w:rFonts w:hint="eastAsia" w:eastAsia="宋体"/>
                      <w:color w:val="auto"/>
                      <w:lang w:eastAsia="zh-CN"/>
                    </w:rPr>
                  </w:pPr>
                  <w:r>
                    <w:rPr>
                      <w:rFonts w:hint="eastAsia"/>
                    </w:rPr>
                    <w:t>港口、码头、装卸站和船舶修造厂应当备有足够的船舶污染物、废弃物的接收设施；从事船舶污染物、废弃物接收作业，或者从事装载油类、污染危害性货物船舱清洗作业的单位，应当具备与其运营规模相适应的接收处理能力</w:t>
                  </w:r>
                  <w:r>
                    <w:rPr>
                      <w:rFonts w:hint="eastAsia"/>
                      <w:lang w:eastAsia="zh-CN"/>
                    </w:rPr>
                    <w:t>。</w:t>
                  </w:r>
                </w:p>
              </w:tc>
              <w:tc>
                <w:tcPr>
                  <w:tcW w:w="640" w:type="pct"/>
                  <w:tcBorders>
                    <w:tl2br w:val="nil"/>
                    <w:tr2bl w:val="nil"/>
                  </w:tcBorders>
                  <w:shd w:val="clear" w:color="auto" w:fill="auto"/>
                  <w:noWrap/>
                  <w:vAlign w:val="center"/>
                </w:tcPr>
                <w:p w14:paraId="1EAF1957">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1A2B63EC">
                  <w:pPr>
                    <w:pStyle w:val="56"/>
                    <w:bidi w:val="0"/>
                    <w:rPr>
                      <w:color w:val="auto"/>
                    </w:rPr>
                  </w:pPr>
                  <w:r>
                    <w:rPr>
                      <w:rFonts w:hint="eastAsia"/>
                    </w:rPr>
                    <w:t>相符</w:t>
                  </w:r>
                </w:p>
              </w:tc>
            </w:tr>
            <w:tr w14:paraId="52FD7D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90" w:hRule="atLeast"/>
                <w:jc w:val="center"/>
              </w:trPr>
              <w:tc>
                <w:tcPr>
                  <w:tcW w:w="343" w:type="pct"/>
                  <w:vMerge w:val="continue"/>
                  <w:tcBorders>
                    <w:tl2br w:val="nil"/>
                    <w:tr2bl w:val="nil"/>
                  </w:tcBorders>
                  <w:shd w:val="clear" w:color="auto" w:fill="auto"/>
                  <w:noWrap/>
                  <w:vAlign w:val="center"/>
                </w:tcPr>
                <w:p w14:paraId="2B679847">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5EC5B78C">
                  <w:pPr>
                    <w:pStyle w:val="56"/>
                    <w:spacing w:line="240" w:lineRule="auto"/>
                    <w:jc w:val="center"/>
                    <w:rPr>
                      <w:color w:val="auto"/>
                    </w:rPr>
                  </w:pPr>
                </w:p>
              </w:tc>
              <w:tc>
                <w:tcPr>
                  <w:tcW w:w="365" w:type="pct"/>
                  <w:tcBorders>
                    <w:tl2br w:val="nil"/>
                    <w:tr2bl w:val="nil"/>
                  </w:tcBorders>
                  <w:shd w:val="clear" w:color="auto" w:fill="auto"/>
                  <w:noWrap/>
                  <w:vAlign w:val="center"/>
                </w:tcPr>
                <w:p w14:paraId="79CB3585">
                  <w:pPr>
                    <w:pStyle w:val="56"/>
                    <w:bidi w:val="0"/>
                    <w:rPr>
                      <w:color w:val="auto"/>
                    </w:rPr>
                  </w:pPr>
                  <w:r>
                    <w:rPr>
                      <w:rFonts w:hint="eastAsia"/>
                    </w:rPr>
                    <w:t>18</w:t>
                  </w:r>
                </w:p>
              </w:tc>
              <w:tc>
                <w:tcPr>
                  <w:tcW w:w="2735" w:type="pct"/>
                  <w:tcBorders>
                    <w:tl2br w:val="nil"/>
                    <w:tr2bl w:val="nil"/>
                  </w:tcBorders>
                  <w:shd w:val="clear" w:color="auto" w:fill="auto"/>
                  <w:noWrap/>
                  <w:vAlign w:val="center"/>
                </w:tcPr>
                <w:p w14:paraId="624FCA34">
                  <w:pPr>
                    <w:pStyle w:val="56"/>
                    <w:bidi w:val="0"/>
                    <w:jc w:val="left"/>
                    <w:rPr>
                      <w:color w:val="auto"/>
                    </w:rPr>
                  </w:pPr>
                  <w:r>
                    <w:rPr>
                      <w:rFonts w:hint="eastAsia"/>
                    </w:rPr>
                    <w:t>位于城镇人口密集区内，安全、卫生防护距离不能满足相关要求和不符合规划的现有危险化学品生产企业限期退出或依法关停。</w:t>
                  </w:r>
                </w:p>
              </w:tc>
              <w:tc>
                <w:tcPr>
                  <w:tcW w:w="640" w:type="pct"/>
                  <w:tcBorders>
                    <w:tl2br w:val="nil"/>
                    <w:tr2bl w:val="nil"/>
                  </w:tcBorders>
                  <w:shd w:val="clear" w:color="auto" w:fill="auto"/>
                  <w:noWrap/>
                  <w:vAlign w:val="center"/>
                </w:tcPr>
                <w:p w14:paraId="23C4DAB8">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516B9526">
                  <w:pPr>
                    <w:pStyle w:val="56"/>
                    <w:bidi w:val="0"/>
                    <w:rPr>
                      <w:color w:val="auto"/>
                    </w:rPr>
                  </w:pPr>
                  <w:r>
                    <w:rPr>
                      <w:rFonts w:hint="eastAsia"/>
                    </w:rPr>
                    <w:t>相符</w:t>
                  </w:r>
                </w:p>
              </w:tc>
            </w:tr>
            <w:tr w14:paraId="090774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90" w:hRule="atLeast"/>
                <w:jc w:val="center"/>
              </w:trPr>
              <w:tc>
                <w:tcPr>
                  <w:tcW w:w="343" w:type="pct"/>
                  <w:vMerge w:val="continue"/>
                  <w:tcBorders>
                    <w:tl2br w:val="nil"/>
                    <w:tr2bl w:val="nil"/>
                  </w:tcBorders>
                  <w:shd w:val="clear" w:color="auto" w:fill="auto"/>
                  <w:noWrap/>
                  <w:vAlign w:val="center"/>
                </w:tcPr>
                <w:p w14:paraId="3AF1A014">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6DEF4E4A">
                  <w:pPr>
                    <w:pStyle w:val="56"/>
                    <w:spacing w:line="240" w:lineRule="auto"/>
                    <w:jc w:val="center"/>
                    <w:rPr>
                      <w:color w:val="auto"/>
                    </w:rPr>
                  </w:pPr>
                </w:p>
              </w:tc>
              <w:tc>
                <w:tcPr>
                  <w:tcW w:w="365" w:type="pct"/>
                  <w:tcBorders>
                    <w:tl2br w:val="nil"/>
                    <w:tr2bl w:val="nil"/>
                  </w:tcBorders>
                  <w:shd w:val="clear" w:color="auto" w:fill="auto"/>
                  <w:noWrap/>
                  <w:vAlign w:val="center"/>
                </w:tcPr>
                <w:p w14:paraId="3F8C40EE">
                  <w:pPr>
                    <w:pStyle w:val="56"/>
                    <w:bidi w:val="0"/>
                    <w:rPr>
                      <w:color w:val="auto"/>
                    </w:rPr>
                  </w:pPr>
                  <w:r>
                    <w:rPr>
                      <w:rFonts w:hint="eastAsia"/>
                    </w:rPr>
                    <w:t>19</w:t>
                  </w:r>
                </w:p>
              </w:tc>
              <w:tc>
                <w:tcPr>
                  <w:tcW w:w="2735" w:type="pct"/>
                  <w:tcBorders>
                    <w:tl2br w:val="nil"/>
                    <w:tr2bl w:val="nil"/>
                  </w:tcBorders>
                  <w:shd w:val="clear" w:color="auto" w:fill="auto"/>
                  <w:noWrap/>
                  <w:vAlign w:val="center"/>
                </w:tcPr>
                <w:p w14:paraId="5708A928">
                  <w:pPr>
                    <w:pStyle w:val="56"/>
                    <w:bidi w:val="0"/>
                    <w:jc w:val="left"/>
                    <w:rPr>
                      <w:color w:val="auto"/>
                    </w:rPr>
                  </w:pPr>
                  <w:r>
                    <w:rPr>
                      <w:rFonts w:hint="eastAsia"/>
                    </w:rPr>
                    <w:t>禁止在长江干流岸线三公里范围内和重要支流岸线一公里范围内新建、改建、扩建尾矿库、冶炼渣库和磷石膏库，以提升安全、生态环境保护水平为目的的改建除外。</w:t>
                  </w:r>
                </w:p>
              </w:tc>
              <w:tc>
                <w:tcPr>
                  <w:tcW w:w="640" w:type="pct"/>
                  <w:tcBorders>
                    <w:tl2br w:val="nil"/>
                    <w:tr2bl w:val="nil"/>
                  </w:tcBorders>
                  <w:shd w:val="clear" w:color="auto" w:fill="auto"/>
                  <w:noWrap/>
                  <w:vAlign w:val="center"/>
                </w:tcPr>
                <w:p w14:paraId="14297687">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213C756F">
                  <w:pPr>
                    <w:pStyle w:val="56"/>
                    <w:bidi w:val="0"/>
                    <w:rPr>
                      <w:color w:val="auto"/>
                    </w:rPr>
                  </w:pPr>
                  <w:r>
                    <w:rPr>
                      <w:rFonts w:hint="eastAsia"/>
                    </w:rPr>
                    <w:t>相符</w:t>
                  </w:r>
                </w:p>
              </w:tc>
            </w:tr>
            <w:tr w14:paraId="551C1F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158" w:hRule="atLeast"/>
                <w:jc w:val="center"/>
              </w:trPr>
              <w:tc>
                <w:tcPr>
                  <w:tcW w:w="343" w:type="pct"/>
                  <w:vMerge w:val="continue"/>
                  <w:tcBorders>
                    <w:tl2br w:val="nil"/>
                    <w:tr2bl w:val="nil"/>
                  </w:tcBorders>
                  <w:shd w:val="clear" w:color="auto" w:fill="auto"/>
                  <w:noWrap/>
                  <w:vAlign w:val="center"/>
                </w:tcPr>
                <w:p w14:paraId="63BA5B09">
                  <w:pPr>
                    <w:pStyle w:val="56"/>
                    <w:spacing w:line="240" w:lineRule="auto"/>
                    <w:jc w:val="center"/>
                    <w:rPr>
                      <w:color w:val="auto"/>
                    </w:rPr>
                  </w:pPr>
                </w:p>
              </w:tc>
              <w:tc>
                <w:tcPr>
                  <w:tcW w:w="306" w:type="pct"/>
                  <w:vMerge w:val="restart"/>
                  <w:tcBorders>
                    <w:tl2br w:val="nil"/>
                    <w:tr2bl w:val="nil"/>
                  </w:tcBorders>
                  <w:shd w:val="clear" w:color="auto" w:fill="auto"/>
                  <w:noWrap/>
                  <w:vAlign w:val="center"/>
                </w:tcPr>
                <w:p w14:paraId="72073936">
                  <w:pPr>
                    <w:pStyle w:val="56"/>
                    <w:bidi w:val="0"/>
                    <w:rPr>
                      <w:color w:val="auto"/>
                    </w:rPr>
                  </w:pPr>
                  <w:r>
                    <w:rPr>
                      <w:rFonts w:hint="eastAsia"/>
                    </w:rPr>
                    <w:t>资源利用效率</w:t>
                  </w:r>
                </w:p>
              </w:tc>
              <w:tc>
                <w:tcPr>
                  <w:tcW w:w="365" w:type="pct"/>
                  <w:tcBorders>
                    <w:tl2br w:val="nil"/>
                    <w:tr2bl w:val="nil"/>
                  </w:tcBorders>
                  <w:shd w:val="clear" w:color="auto" w:fill="auto"/>
                  <w:noWrap/>
                  <w:vAlign w:val="center"/>
                </w:tcPr>
                <w:p w14:paraId="1A8A124D">
                  <w:pPr>
                    <w:pStyle w:val="56"/>
                    <w:bidi w:val="0"/>
                    <w:rPr>
                      <w:color w:val="auto"/>
                    </w:rPr>
                  </w:pPr>
                  <w:r>
                    <w:rPr>
                      <w:rFonts w:hint="eastAsia"/>
                    </w:rPr>
                    <w:t>20</w:t>
                  </w:r>
                </w:p>
              </w:tc>
              <w:tc>
                <w:tcPr>
                  <w:tcW w:w="2735" w:type="pct"/>
                  <w:tcBorders>
                    <w:tl2br w:val="nil"/>
                    <w:tr2bl w:val="nil"/>
                  </w:tcBorders>
                  <w:shd w:val="clear" w:color="auto" w:fill="auto"/>
                  <w:noWrap/>
                  <w:vAlign w:val="center"/>
                </w:tcPr>
                <w:p w14:paraId="35472EB6">
                  <w:pPr>
                    <w:pStyle w:val="56"/>
                    <w:bidi w:val="0"/>
                    <w:jc w:val="left"/>
                    <w:rPr>
                      <w:color w:val="auto"/>
                    </w:rPr>
                  </w:pPr>
                  <w:r>
                    <w:rPr>
                      <w:rFonts w:hint="eastAsia"/>
                    </w:rPr>
                    <w:t>对取用水总量</w:t>
                  </w:r>
                  <w:r>
                    <w:rPr>
                      <w:rFonts w:hint="eastAsia"/>
                      <w:lang w:eastAsia="zh-CN"/>
                    </w:rPr>
                    <w:t>已</w:t>
                  </w:r>
                  <w:r>
                    <w:rPr>
                      <w:rFonts w:hint="eastAsia"/>
                    </w:rPr>
                    <w:t>达到或超过控制指标的地区，暂停审批建设项目新增取水。对取用水总量接近控制指标的地区，</w:t>
                  </w:r>
                  <w:r>
                    <w:rPr>
                      <w:rFonts w:hint="eastAsia"/>
                      <w:lang w:eastAsia="zh-CN"/>
                    </w:rPr>
                    <w:t>限制</w:t>
                  </w:r>
                  <w:r>
                    <w:rPr>
                      <w:rFonts w:hint="eastAsia"/>
                    </w:rPr>
                    <w:t>审批建设项目新增取水。</w:t>
                  </w:r>
                </w:p>
              </w:tc>
              <w:tc>
                <w:tcPr>
                  <w:tcW w:w="640" w:type="pct"/>
                  <w:tcBorders>
                    <w:tl2br w:val="nil"/>
                    <w:tr2bl w:val="nil"/>
                  </w:tcBorders>
                  <w:shd w:val="clear" w:color="auto" w:fill="auto"/>
                  <w:noWrap/>
                  <w:vAlign w:val="center"/>
                </w:tcPr>
                <w:p w14:paraId="0FBD703F">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3F2F5A29">
                  <w:pPr>
                    <w:pStyle w:val="56"/>
                    <w:bidi w:val="0"/>
                    <w:rPr>
                      <w:color w:val="auto"/>
                    </w:rPr>
                  </w:pPr>
                  <w:r>
                    <w:rPr>
                      <w:rFonts w:hint="eastAsia"/>
                    </w:rPr>
                    <w:t>相符</w:t>
                  </w:r>
                </w:p>
              </w:tc>
            </w:tr>
            <w:tr w14:paraId="4FBD4C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90" w:hRule="atLeast"/>
                <w:jc w:val="center"/>
              </w:trPr>
              <w:tc>
                <w:tcPr>
                  <w:tcW w:w="343" w:type="pct"/>
                  <w:vMerge w:val="continue"/>
                  <w:tcBorders>
                    <w:tl2br w:val="nil"/>
                    <w:tr2bl w:val="nil"/>
                  </w:tcBorders>
                  <w:shd w:val="clear" w:color="auto" w:fill="auto"/>
                  <w:noWrap/>
                  <w:vAlign w:val="center"/>
                </w:tcPr>
                <w:p w14:paraId="0758B1BE">
                  <w:pPr>
                    <w:pStyle w:val="56"/>
                    <w:spacing w:line="240" w:lineRule="auto"/>
                    <w:jc w:val="center"/>
                    <w:rPr>
                      <w:color w:val="auto"/>
                    </w:rPr>
                  </w:pPr>
                </w:p>
              </w:tc>
              <w:tc>
                <w:tcPr>
                  <w:tcW w:w="306" w:type="pct"/>
                  <w:vMerge w:val="continue"/>
                  <w:tcBorders>
                    <w:tl2br w:val="nil"/>
                    <w:tr2bl w:val="nil"/>
                  </w:tcBorders>
                  <w:shd w:val="clear" w:color="auto" w:fill="auto"/>
                  <w:noWrap/>
                  <w:vAlign w:val="center"/>
                </w:tcPr>
                <w:p w14:paraId="26C1D1A2">
                  <w:pPr>
                    <w:pStyle w:val="56"/>
                    <w:spacing w:line="240" w:lineRule="auto"/>
                    <w:jc w:val="center"/>
                    <w:rPr>
                      <w:color w:val="auto"/>
                    </w:rPr>
                  </w:pPr>
                </w:p>
              </w:tc>
              <w:tc>
                <w:tcPr>
                  <w:tcW w:w="365" w:type="pct"/>
                  <w:tcBorders>
                    <w:tl2br w:val="nil"/>
                    <w:tr2bl w:val="nil"/>
                  </w:tcBorders>
                  <w:shd w:val="clear" w:color="auto" w:fill="auto"/>
                  <w:noWrap/>
                  <w:vAlign w:val="center"/>
                </w:tcPr>
                <w:p w14:paraId="46DA0049">
                  <w:pPr>
                    <w:pStyle w:val="56"/>
                    <w:bidi w:val="0"/>
                    <w:rPr>
                      <w:color w:val="auto"/>
                    </w:rPr>
                  </w:pPr>
                  <w:r>
                    <w:rPr>
                      <w:rFonts w:hint="eastAsia"/>
                    </w:rPr>
                    <w:t>21</w:t>
                  </w:r>
                </w:p>
              </w:tc>
              <w:tc>
                <w:tcPr>
                  <w:tcW w:w="2735" w:type="pct"/>
                  <w:tcBorders>
                    <w:tl2br w:val="nil"/>
                    <w:tr2bl w:val="nil"/>
                  </w:tcBorders>
                  <w:shd w:val="clear" w:color="auto" w:fill="auto"/>
                  <w:noWrap/>
                  <w:vAlign w:val="center"/>
                </w:tcPr>
                <w:p w14:paraId="5C85AB6F">
                  <w:pPr>
                    <w:pStyle w:val="56"/>
                    <w:bidi w:val="0"/>
                    <w:jc w:val="left"/>
                    <w:rPr>
                      <w:color w:val="auto"/>
                    </w:rPr>
                  </w:pPr>
                  <w:r>
                    <w:rPr>
                      <w:rFonts w:hint="eastAsia"/>
                    </w:rPr>
                    <w:t>在禁燃区内，禁止新建、扩建燃用高污染燃料的项目和设施已建成的应逐步改用天然气、电或者其他清洁能源。</w:t>
                  </w:r>
                </w:p>
              </w:tc>
              <w:tc>
                <w:tcPr>
                  <w:tcW w:w="640" w:type="pct"/>
                  <w:tcBorders>
                    <w:tl2br w:val="nil"/>
                    <w:tr2bl w:val="nil"/>
                  </w:tcBorders>
                  <w:shd w:val="clear" w:color="auto" w:fill="auto"/>
                  <w:noWrap/>
                  <w:vAlign w:val="center"/>
                </w:tcPr>
                <w:p w14:paraId="0D6F6B5E">
                  <w:pPr>
                    <w:pStyle w:val="56"/>
                    <w:bidi w:val="0"/>
                    <w:rPr>
                      <w:color w:val="auto"/>
                    </w:rPr>
                  </w:pPr>
                  <w:r>
                    <w:rPr>
                      <w:rFonts w:hint="eastAsia"/>
                    </w:rPr>
                    <w:t>不涉及</w:t>
                  </w:r>
                </w:p>
              </w:tc>
              <w:tc>
                <w:tcPr>
                  <w:tcW w:w="607" w:type="pct"/>
                  <w:tcBorders>
                    <w:tl2br w:val="nil"/>
                    <w:tr2bl w:val="nil"/>
                  </w:tcBorders>
                  <w:shd w:val="clear" w:color="auto" w:fill="auto"/>
                  <w:noWrap/>
                  <w:vAlign w:val="center"/>
                </w:tcPr>
                <w:p w14:paraId="5C83786C">
                  <w:pPr>
                    <w:pStyle w:val="56"/>
                    <w:bidi w:val="0"/>
                    <w:rPr>
                      <w:color w:val="auto"/>
                    </w:rPr>
                  </w:pPr>
                  <w:r>
                    <w:rPr>
                      <w:rFonts w:hint="eastAsia"/>
                    </w:rPr>
                    <w:t>相符</w:t>
                  </w:r>
                </w:p>
              </w:tc>
            </w:tr>
          </w:tbl>
          <w:p w14:paraId="661C95D5">
            <w:pPr>
              <w:pStyle w:val="131"/>
              <w:ind w:firstLine="480"/>
            </w:pPr>
            <w:r>
              <w:t>由</w:t>
            </w:r>
            <w:r>
              <w:rPr>
                <w:rFonts w:hint="eastAsia"/>
              </w:rPr>
              <w:t>表1-6、表1-7、</w:t>
            </w:r>
            <w:r>
              <w:t>表1-</w:t>
            </w:r>
            <w:r>
              <w:rPr>
                <w:rFonts w:hint="eastAsia"/>
              </w:rPr>
              <w:t>8</w:t>
            </w:r>
            <w:r>
              <w:t>可知，本项目满足</w:t>
            </w:r>
            <w:r>
              <w:rPr>
                <w:rFonts w:hint="eastAsia"/>
              </w:rPr>
              <w:t>江西省、宜春市、高安市生态环境总体准入要求</w:t>
            </w:r>
            <w:r>
              <w:t>。</w:t>
            </w:r>
          </w:p>
          <w:p w14:paraId="6F4FD7E6">
            <w:pPr>
              <w:pStyle w:val="131"/>
              <w:ind w:firstLine="480"/>
            </w:pPr>
            <w:r>
              <w:t>经过</w:t>
            </w:r>
            <w:r>
              <w:rPr>
                <w:rFonts w:hint="eastAsia"/>
              </w:rPr>
              <w:t>与“三线一单”进</w:t>
            </w:r>
            <w:r>
              <w:t>行对照后，项目不在生态保护红线内，可以达到环境质量底线相关要求，未超出资源利用上线，未列入环境准入负面清单内。</w:t>
            </w:r>
          </w:p>
          <w:p w14:paraId="0B2AA778">
            <w:pPr>
              <w:pStyle w:val="131"/>
              <w:ind w:firstLine="480"/>
            </w:pPr>
            <w:r>
              <w:rPr>
                <w:rFonts w:hint="eastAsia"/>
              </w:rPr>
              <w:t>综上</w:t>
            </w:r>
            <w:r>
              <w:t>所述</w:t>
            </w:r>
            <w:r>
              <w:rPr>
                <w:rFonts w:hint="eastAsia"/>
              </w:rPr>
              <w:t>，本项目符合“三线一单”要求。</w:t>
            </w:r>
          </w:p>
          <w:p w14:paraId="6A0DACB6">
            <w:pPr>
              <w:pStyle w:val="116"/>
              <w:ind w:firstLine="480"/>
              <w:rPr>
                <w:b/>
                <w:bCs/>
              </w:rPr>
            </w:pPr>
            <w:r>
              <w:rPr>
                <w:b/>
                <w:bCs/>
              </w:rPr>
              <w:t>2、产业政策相符性分析</w:t>
            </w:r>
          </w:p>
          <w:p w14:paraId="64BE7F73">
            <w:pPr>
              <w:pStyle w:val="116"/>
              <w:ind w:firstLine="480"/>
              <w:rPr>
                <w:color w:val="auto"/>
              </w:rPr>
            </w:pPr>
            <w:r>
              <w:rPr>
                <w:rFonts w:hint="eastAsia"/>
                <w:color w:val="auto"/>
              </w:rPr>
              <w:t>本项目</w:t>
            </w:r>
            <w:r>
              <w:rPr>
                <w:rFonts w:hint="eastAsia"/>
                <w:color w:val="auto"/>
                <w:lang w:val="en-US" w:eastAsia="zh-CN"/>
              </w:rPr>
              <w:t>为</w:t>
            </w:r>
            <w:r>
              <w:rPr>
                <w:rFonts w:hint="eastAsia"/>
                <w:color w:val="auto"/>
                <w:lang w:eastAsia="zh-CN"/>
              </w:rPr>
              <w:t>新型光伏发电折叠房屋、光伏预制装配式围墙、</w:t>
            </w:r>
            <w:r>
              <w:rPr>
                <w:rFonts w:hint="eastAsia"/>
                <w:color w:val="auto"/>
                <w:lang w:val="en-US" w:eastAsia="zh-CN"/>
              </w:rPr>
              <w:t>ICF盖板、预制箱变基础、预制环网柜基础以及预制“小十件”，</w:t>
            </w:r>
            <w:r>
              <w:rPr>
                <w:rFonts w:hint="eastAsia"/>
                <w:color w:val="auto"/>
              </w:rPr>
              <w:t>属于</w:t>
            </w:r>
            <w:r>
              <w:rPr>
                <w:rFonts w:hint="eastAsia"/>
                <w:color w:val="auto"/>
                <w:lang w:eastAsia="zh-CN"/>
              </w:rPr>
              <w:t>砼结构构件制造</w:t>
            </w:r>
            <w:r>
              <w:rPr>
                <w:rFonts w:hint="eastAsia"/>
                <w:color w:val="auto"/>
              </w:rPr>
              <w:t>。本项目不属于《产业结构调整指导目录》（2024年版）中的鼓励类、限制类、淘汰类，为允许类。同时，本项目取得高安市发展和改革委员会同意本项目的备案文件，项目统一代码为：</w:t>
            </w:r>
            <w:r>
              <w:rPr>
                <w:rFonts w:hint="eastAsia"/>
                <w:color w:val="auto"/>
                <w:lang w:val="en-US" w:eastAsia="zh-CN"/>
              </w:rPr>
              <w:t>2412-360983-04-05-877307</w:t>
            </w:r>
            <w:r>
              <w:rPr>
                <w:rFonts w:hint="eastAsia"/>
                <w:color w:val="auto"/>
              </w:rPr>
              <w:t>。因此，项目符合国家及地方产业政策要求。</w:t>
            </w:r>
          </w:p>
          <w:p w14:paraId="05AD5870">
            <w:pPr>
              <w:pStyle w:val="116"/>
              <w:ind w:firstLine="482"/>
              <w:rPr>
                <w:b/>
                <w:bCs/>
              </w:rPr>
            </w:pPr>
            <w:r>
              <w:rPr>
                <w:b/>
                <w:bCs/>
              </w:rPr>
              <w:t>3、选址</w:t>
            </w:r>
            <w:r>
              <w:rPr>
                <w:rFonts w:hint="eastAsia"/>
                <w:b/>
                <w:bCs/>
              </w:rPr>
              <w:t>可行</w:t>
            </w:r>
            <w:r>
              <w:rPr>
                <w:b/>
                <w:bCs/>
              </w:rPr>
              <w:t>性分析</w:t>
            </w:r>
          </w:p>
          <w:p w14:paraId="53A70C7C">
            <w:pPr>
              <w:pStyle w:val="116"/>
              <w:ind w:firstLine="482"/>
              <w:rPr>
                <w:b/>
                <w:bCs/>
              </w:rPr>
            </w:pPr>
            <w:r>
              <w:rPr>
                <w:rFonts w:hint="eastAsia"/>
                <w:b/>
                <w:bCs/>
              </w:rPr>
              <w:t>（1）选址所在地环境敏感程度</w:t>
            </w:r>
          </w:p>
          <w:p w14:paraId="7E640D10">
            <w:pPr>
              <w:pStyle w:val="116"/>
              <w:ind w:firstLine="480"/>
            </w:pPr>
            <w:r>
              <w:rPr>
                <w:rFonts w:hint="eastAsia"/>
              </w:rPr>
              <w:t>本项目选址位于</w:t>
            </w:r>
            <w:r>
              <w:rPr>
                <w:rFonts w:hint="eastAsia"/>
                <w:lang w:eastAsia="zh-CN"/>
              </w:rPr>
              <w:t>江西高安高新技术产业园区新世纪产业园祥符收费站组团</w:t>
            </w:r>
            <w:r>
              <w:rPr>
                <w:rFonts w:hint="eastAsia"/>
              </w:rPr>
              <w:t>，项目所在地周围无自然保护区、风景名胜区、文物保护</w:t>
            </w:r>
            <w:r>
              <w:t>单位，</w:t>
            </w:r>
            <w:r>
              <w:rPr>
                <w:rFonts w:hint="eastAsia"/>
              </w:rPr>
              <w:t>亦</w:t>
            </w:r>
            <w:r>
              <w:t>无需特殊保护的野生动植物，生态环境良好，环境承载能力较强；厂址所在地地质情况较好，无不良工程地质现象，建设条件良好。</w:t>
            </w:r>
          </w:p>
          <w:p w14:paraId="292CB101">
            <w:pPr>
              <w:pStyle w:val="116"/>
              <w:ind w:firstLine="482"/>
              <w:rPr>
                <w:b/>
                <w:bCs/>
              </w:rPr>
            </w:pPr>
            <w:r>
              <w:rPr>
                <w:rFonts w:hint="eastAsia"/>
                <w:b/>
                <w:bCs/>
              </w:rPr>
              <w:t>（2）用地性质的相符性</w:t>
            </w:r>
          </w:p>
          <w:p w14:paraId="2C09183A">
            <w:pPr>
              <w:pStyle w:val="116"/>
              <w:ind w:firstLine="480"/>
            </w:pPr>
            <w:r>
              <w:rPr>
                <w:rFonts w:hint="eastAsia"/>
              </w:rPr>
              <w:t>根据</w:t>
            </w:r>
            <w:r>
              <w:rPr>
                <w:rFonts w:hint="eastAsia"/>
                <w:lang w:eastAsia="zh-CN"/>
              </w:rPr>
              <w:t>江西中超建设工程有限公司高安分</w:t>
            </w:r>
            <w:r>
              <w:rPr>
                <w:rFonts w:hint="eastAsia"/>
                <w:highlight w:val="none"/>
                <w:lang w:eastAsia="zh-CN"/>
              </w:rPr>
              <w:t>公司</w:t>
            </w:r>
            <w:r>
              <w:rPr>
                <w:rFonts w:hint="eastAsia"/>
                <w:highlight w:val="none"/>
                <w:lang w:val="en-US" w:eastAsia="zh-CN"/>
              </w:rPr>
              <w:t>用地文件及</w:t>
            </w:r>
            <w:r>
              <w:rPr>
                <w:rFonts w:hint="eastAsia"/>
                <w:color w:val="FF0000"/>
                <w:highlight w:val="none"/>
                <w:lang w:val="en-US" w:eastAsia="zh-CN"/>
              </w:rPr>
              <w:t>项目初审表</w:t>
            </w:r>
            <w:r>
              <w:rPr>
                <w:rFonts w:hint="eastAsia"/>
                <w:color w:val="FF0000"/>
                <w:highlight w:val="none"/>
                <w:lang w:eastAsia="zh-CN"/>
              </w:rPr>
              <w:t>（详见附件</w:t>
            </w:r>
            <w:r>
              <w:rPr>
                <w:rFonts w:hint="eastAsia"/>
                <w:color w:val="FF0000"/>
                <w:highlight w:val="none"/>
                <w:lang w:val="en-US" w:eastAsia="zh-CN"/>
              </w:rPr>
              <w:t>6、7</w:t>
            </w:r>
            <w:r>
              <w:rPr>
                <w:rFonts w:hint="eastAsia"/>
                <w:color w:val="FF0000"/>
                <w:highlight w:val="none"/>
                <w:lang w:eastAsia="zh-CN"/>
              </w:rPr>
              <w:t>）</w:t>
            </w:r>
            <w:r>
              <w:rPr>
                <w:rFonts w:hint="eastAsia"/>
                <w:highlight w:val="none"/>
              </w:rPr>
              <w:t>，本项目</w:t>
            </w:r>
            <w:r>
              <w:rPr>
                <w:rFonts w:hint="eastAsia"/>
                <w:color w:val="auto"/>
              </w:rPr>
              <w:t>用地位于</w:t>
            </w:r>
            <w:r>
              <w:rPr>
                <w:rFonts w:hint="eastAsia"/>
                <w:color w:val="auto"/>
                <w:lang w:eastAsia="zh-CN"/>
              </w:rPr>
              <w:t>江西高安高新技术产业园区新世纪产业园祥符收费站组团</w:t>
            </w:r>
            <w:r>
              <w:rPr>
                <w:rFonts w:hint="eastAsia"/>
              </w:rPr>
              <w:t>，用途是工业用地。因此，本项目符合</w:t>
            </w:r>
            <w:r>
              <w:t>当地土地利用规划。项目营运期间产生的污染物均采取了相应的防治措施，总体上不因本项目的实施而改变区域环境现有功能，因此本项目的选址符合用地性质要求</w:t>
            </w:r>
            <w:r>
              <w:rPr>
                <w:rFonts w:hint="eastAsia"/>
              </w:rPr>
              <w:t>。</w:t>
            </w:r>
          </w:p>
          <w:p w14:paraId="37A935DE">
            <w:pPr>
              <w:pStyle w:val="116"/>
              <w:ind w:firstLine="482"/>
              <w:rPr>
                <w:b/>
                <w:bCs/>
              </w:rPr>
            </w:pPr>
            <w:r>
              <w:rPr>
                <w:rFonts w:hint="eastAsia"/>
                <w:b/>
                <w:bCs/>
              </w:rPr>
              <w:t>4、与周边环境相容性分析</w:t>
            </w:r>
          </w:p>
          <w:p w14:paraId="028F1FFC">
            <w:pPr>
              <w:pStyle w:val="116"/>
              <w:ind w:firstLine="480"/>
            </w:pPr>
            <w:r>
              <w:rPr>
                <w:rFonts w:hint="eastAsia"/>
              </w:rPr>
              <w:t>项目选址</w:t>
            </w:r>
            <w:r>
              <w:rPr>
                <w:rFonts w:hint="eastAsia"/>
                <w:color w:val="auto"/>
              </w:rPr>
              <w:t>在</w:t>
            </w:r>
            <w:r>
              <w:rPr>
                <w:rFonts w:hint="eastAsia"/>
                <w:color w:val="auto"/>
                <w:lang w:eastAsia="zh-CN"/>
              </w:rPr>
              <w:t>江西高安高新技术产业园区新世纪产业园祥符收费站组团</w:t>
            </w:r>
            <w:r>
              <w:rPr>
                <w:rFonts w:hint="eastAsia"/>
                <w:color w:val="auto"/>
              </w:rPr>
              <w:t>，根据现场踏</w:t>
            </w:r>
            <w:r>
              <w:rPr>
                <w:rFonts w:hint="eastAsia"/>
                <w:color w:val="auto"/>
                <w:highlight w:val="none"/>
              </w:rPr>
              <w:t>勘，项目东面为</w:t>
            </w:r>
            <w:r>
              <w:rPr>
                <w:rFonts w:hint="eastAsia"/>
                <w:color w:val="auto"/>
                <w:highlight w:val="none"/>
                <w:lang w:val="en-US" w:eastAsia="zh-CN"/>
              </w:rPr>
              <w:t>经十路</w:t>
            </w:r>
            <w:r>
              <w:rPr>
                <w:rFonts w:hint="eastAsia"/>
                <w:color w:val="auto"/>
                <w:highlight w:val="none"/>
              </w:rPr>
              <w:t>，南面为</w:t>
            </w:r>
            <w:r>
              <w:rPr>
                <w:rFonts w:hint="eastAsia"/>
                <w:color w:val="auto"/>
                <w:highlight w:val="none"/>
                <w:lang w:val="en-US" w:eastAsia="zh-CN"/>
              </w:rPr>
              <w:t>纬十三路</w:t>
            </w:r>
            <w:r>
              <w:rPr>
                <w:rFonts w:hint="eastAsia"/>
                <w:color w:val="auto"/>
                <w:highlight w:val="none"/>
              </w:rPr>
              <w:t>，</w:t>
            </w:r>
            <w:r>
              <w:rPr>
                <w:rFonts w:hint="eastAsia"/>
                <w:color w:val="auto"/>
                <w:highlight w:val="none"/>
                <w:lang w:val="en-US" w:eastAsia="zh-CN"/>
              </w:rPr>
              <w:t>西面及北面为江西省送变电工程有限公司培训基地</w:t>
            </w:r>
            <w:r>
              <w:rPr>
                <w:rFonts w:hint="eastAsia"/>
                <w:color w:val="auto"/>
                <w:highlight w:val="none"/>
              </w:rPr>
              <w:t>，以上工业企业对周围环境无特殊要求，且</w:t>
            </w:r>
            <w:r>
              <w:rPr>
                <w:rFonts w:hint="eastAsia"/>
                <w:color w:val="auto"/>
              </w:rPr>
              <w:t>对本项目影响较小；本项目生</w:t>
            </w:r>
            <w:r>
              <w:rPr>
                <w:rFonts w:hint="eastAsia"/>
              </w:rPr>
              <w:t>活污水</w:t>
            </w:r>
            <w:r>
              <w:rPr>
                <w:rFonts w:hint="eastAsia"/>
                <w:lang w:eastAsia="zh-CN"/>
              </w:rPr>
              <w:t>、</w:t>
            </w:r>
            <w:r>
              <w:rPr>
                <w:rFonts w:hint="eastAsia"/>
              </w:rPr>
              <w:t>生产废水经预处理后排入园区污水处理厂处理，对地表水环境质量影响较小，距离本项目厂界最近的敏感点</w:t>
            </w:r>
            <w:r>
              <w:rPr>
                <w:rFonts w:hint="eastAsia"/>
                <w:highlight w:val="none"/>
              </w:rPr>
              <w:t>是西</w:t>
            </w:r>
            <w:r>
              <w:rPr>
                <w:rFonts w:hint="eastAsia"/>
                <w:highlight w:val="none"/>
                <w:lang w:val="en-US" w:eastAsia="zh-CN"/>
              </w:rPr>
              <w:t>北</w:t>
            </w:r>
            <w:r>
              <w:rPr>
                <w:rFonts w:hint="eastAsia"/>
                <w:highlight w:val="none"/>
              </w:rPr>
              <w:t>侧</w:t>
            </w:r>
            <w:r>
              <w:rPr>
                <w:rFonts w:hint="eastAsia"/>
                <w:highlight w:val="none"/>
                <w:lang w:val="en-US" w:eastAsia="zh-CN"/>
              </w:rPr>
              <w:t>480</w:t>
            </w:r>
            <w:r>
              <w:rPr>
                <w:rFonts w:hint="eastAsia"/>
                <w:highlight w:val="none"/>
              </w:rPr>
              <w:t>m</w:t>
            </w:r>
            <w:r>
              <w:rPr>
                <w:rFonts w:hint="eastAsia"/>
                <w:highlight w:val="none"/>
                <w:lang w:val="en-US" w:eastAsia="zh-CN"/>
              </w:rPr>
              <w:t>杉林村</w:t>
            </w:r>
            <w:r>
              <w:rPr>
                <w:rFonts w:hint="eastAsia"/>
              </w:rPr>
              <w:t>。且本项目在营运期会产生噪声和废气等污染，在采取防治措施后，对周边环境影响较小，与周边环境兼容，选址</w:t>
            </w:r>
            <w:r>
              <w:rPr>
                <w:rFonts w:hint="eastAsia"/>
                <w:lang w:val="en-US" w:eastAsia="zh-CN"/>
              </w:rPr>
              <w:t>可行</w:t>
            </w:r>
            <w:r>
              <w:rPr>
                <w:rFonts w:hint="eastAsia"/>
              </w:rPr>
              <w:t>。</w:t>
            </w:r>
          </w:p>
          <w:p w14:paraId="740D2D0A">
            <w:pPr>
              <w:ind w:firstLine="482"/>
              <w:rPr>
                <w:b/>
                <w:bCs/>
              </w:rPr>
            </w:pPr>
            <w:r>
              <w:rPr>
                <w:rFonts w:hint="eastAsia"/>
                <w:b/>
                <w:bCs/>
              </w:rPr>
              <w:t>5、与《高安市“十四五”生态环境保护规划》（高府发</w:t>
            </w:r>
            <w:r>
              <w:rPr>
                <w:rFonts w:hint="eastAsia"/>
                <w:b/>
                <w:bCs/>
                <w:lang w:eastAsia="zh-CN"/>
              </w:rPr>
              <w:t>〔2022〕9号</w:t>
            </w:r>
            <w:r>
              <w:rPr>
                <w:rFonts w:hint="eastAsia"/>
                <w:b/>
                <w:bCs/>
              </w:rPr>
              <w:t>）相符性分析</w:t>
            </w:r>
          </w:p>
          <w:p w14:paraId="6EFDA044">
            <w:pPr>
              <w:bidi w:val="0"/>
            </w:pPr>
            <w:r>
              <w:rPr>
                <w:rFonts w:hint="eastAsia"/>
              </w:rPr>
              <w:t>结合《高安市“十四五”生态环境保护规划》及本项目重点关注环境问题，本项目主要分析相关内容如下：</w:t>
            </w:r>
          </w:p>
          <w:p w14:paraId="2655E52B">
            <w:pPr>
              <w:bidi w:val="0"/>
            </w:pPr>
            <w:r>
              <w:rPr>
                <w:rFonts w:hint="eastAsia"/>
              </w:rPr>
              <w:t>根据《高安市“十四五”生态环境保护规划》“加强废气治理”相关内容提出“加快化工、有色金属冶炼、水泥、陶瓷、家具等重点行业企业废气污染治理，加大超标处罚和联合惩戒力度。加大“散乱污”企业整治力度，坚决关停取缔一批、整改提升一批、搬迁入园一批，实现“散乱污”企业彻底“清零”。制定和完善重点行业排放标准和改造方案，推动重点行业脱硫、脱硝、除尘等生产工艺改进和烟气排放设施提标改造。”以及“加强工业固体废物污染防治”中内容提出“以建筑企业废瓷片、碳酸钙行业废尾渣等为重点，强化大宗工业固体废物的综合利用，推动大宗工业固体废物贮存处置总量趋零增长。推进固体废物减量化、资源化、无害化综合利用与处置。完善全市工业固体废物收运处理体系，督促相关企业在江西省固废平台完成固废申报等工作，完善城区及乡镇回收站点建设，全面提高工业固体废物综合利用水平。到2025年，全市一般工业固体废弃物综合利用率不低于99%。”</w:t>
            </w:r>
          </w:p>
          <w:p w14:paraId="1E89BF20">
            <w:pPr>
              <w:bidi w:val="0"/>
            </w:pPr>
            <w:r>
              <w:rPr>
                <w:rFonts w:hint="eastAsia"/>
              </w:rPr>
              <w:t>本项目属于C3</w:t>
            </w:r>
            <w:r>
              <w:rPr>
                <w:rFonts w:hint="eastAsia"/>
                <w:lang w:val="en-US" w:eastAsia="zh-CN"/>
              </w:rPr>
              <w:t>022砼结构构件制造</w:t>
            </w:r>
            <w:r>
              <w:rPr>
                <w:rFonts w:hint="eastAsia"/>
              </w:rPr>
              <w:t>，不属于上述提及的重点行业。综上分析，本项目符合《高安市“十四五”生态环境保护规划》的要求。</w:t>
            </w:r>
          </w:p>
          <w:p w14:paraId="6A1D2FAC">
            <w:pPr>
              <w:ind w:firstLine="482"/>
              <w:rPr>
                <w:b/>
                <w:bCs/>
              </w:rPr>
            </w:pPr>
            <w:r>
              <w:rPr>
                <w:rFonts w:hint="eastAsia"/>
                <w:b/>
                <w:bCs/>
              </w:rPr>
              <w:t>6、与《中华人民共和国长江保护法》文件相符性分析</w:t>
            </w:r>
          </w:p>
          <w:p w14:paraId="4662B7FB">
            <w:pPr>
              <w:pStyle w:val="62"/>
              <w:bidi w:val="0"/>
            </w:pPr>
            <w:r>
              <w:rPr>
                <w:rFonts w:hint="default"/>
                <w:lang w:val="en-US" w:eastAsia="zh-CN"/>
              </w:rPr>
              <w:t>表1-</w:t>
            </w:r>
            <w:r>
              <w:rPr>
                <w:rFonts w:hint="eastAsia"/>
                <w:lang w:val="en-US" w:eastAsia="zh-CN"/>
              </w:rPr>
              <w:t>9</w:t>
            </w:r>
            <w:r>
              <w:rPr>
                <w:rFonts w:hint="default"/>
                <w:lang w:val="en-US" w:eastAsia="zh-CN"/>
              </w:rPr>
              <w:t xml:space="preserve"> </w:t>
            </w:r>
            <w:r>
              <w:rPr>
                <w:rFonts w:hint="eastAsia"/>
              </w:rPr>
              <w:t>本项目与《中华人民共和国长江保护法》相符性分析</w:t>
            </w:r>
          </w:p>
          <w:tbl>
            <w:tblPr>
              <w:tblStyle w:val="41"/>
              <w:tblW w:w="678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558"/>
              <w:gridCol w:w="3939"/>
              <w:gridCol w:w="1431"/>
              <w:gridCol w:w="858"/>
            </w:tblGrid>
            <w:tr w14:paraId="23A603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535" w:hRule="atLeast"/>
                <w:jc w:val="center"/>
              </w:trPr>
              <w:tc>
                <w:tcPr>
                  <w:tcW w:w="558" w:type="dxa"/>
                  <w:tcBorders>
                    <w:tl2br w:val="nil"/>
                    <w:tr2bl w:val="nil"/>
                  </w:tcBorders>
                  <w:noWrap/>
                  <w:vAlign w:val="center"/>
                </w:tcPr>
                <w:p w14:paraId="1CA3BBD9">
                  <w:pPr>
                    <w:pStyle w:val="56"/>
                    <w:bidi w:val="0"/>
                    <w:rPr>
                      <w:color w:val="auto"/>
                    </w:rPr>
                  </w:pPr>
                  <w:r>
                    <w:rPr>
                      <w:rFonts w:hint="eastAsia"/>
                    </w:rPr>
                    <w:t>序号</w:t>
                  </w:r>
                </w:p>
              </w:tc>
              <w:tc>
                <w:tcPr>
                  <w:tcW w:w="3939" w:type="dxa"/>
                  <w:tcBorders>
                    <w:tl2br w:val="nil"/>
                    <w:tr2bl w:val="nil"/>
                  </w:tcBorders>
                  <w:noWrap/>
                  <w:vAlign w:val="center"/>
                </w:tcPr>
                <w:p w14:paraId="0EEB1EF0">
                  <w:pPr>
                    <w:pStyle w:val="56"/>
                    <w:bidi w:val="0"/>
                    <w:rPr>
                      <w:color w:val="auto"/>
                    </w:rPr>
                  </w:pPr>
                  <w:r>
                    <w:rPr>
                      <w:rFonts w:hint="eastAsia"/>
                    </w:rPr>
                    <w:t>文件要求</w:t>
                  </w:r>
                </w:p>
              </w:tc>
              <w:tc>
                <w:tcPr>
                  <w:tcW w:w="1431" w:type="dxa"/>
                  <w:tcBorders>
                    <w:tl2br w:val="nil"/>
                    <w:tr2bl w:val="nil"/>
                  </w:tcBorders>
                  <w:noWrap/>
                  <w:vAlign w:val="center"/>
                </w:tcPr>
                <w:p w14:paraId="06C4E588">
                  <w:pPr>
                    <w:pStyle w:val="56"/>
                    <w:bidi w:val="0"/>
                    <w:rPr>
                      <w:color w:val="auto"/>
                    </w:rPr>
                  </w:pPr>
                  <w:r>
                    <w:rPr>
                      <w:rFonts w:hint="eastAsia"/>
                    </w:rPr>
                    <w:t>本项目情况</w:t>
                  </w:r>
                </w:p>
              </w:tc>
              <w:tc>
                <w:tcPr>
                  <w:tcW w:w="858" w:type="dxa"/>
                  <w:tcBorders>
                    <w:tl2br w:val="nil"/>
                    <w:tr2bl w:val="nil"/>
                  </w:tcBorders>
                  <w:noWrap/>
                  <w:vAlign w:val="center"/>
                </w:tcPr>
                <w:p w14:paraId="7FCA29C6">
                  <w:pPr>
                    <w:pStyle w:val="56"/>
                    <w:bidi w:val="0"/>
                    <w:rPr>
                      <w:color w:val="auto"/>
                    </w:rPr>
                  </w:pPr>
                  <w:r>
                    <w:rPr>
                      <w:rFonts w:hint="eastAsia"/>
                    </w:rPr>
                    <w:t>相符性分析</w:t>
                  </w:r>
                </w:p>
              </w:tc>
            </w:tr>
            <w:tr w14:paraId="2DCF18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231" w:hRule="atLeast"/>
                <w:jc w:val="center"/>
              </w:trPr>
              <w:tc>
                <w:tcPr>
                  <w:tcW w:w="558" w:type="dxa"/>
                  <w:tcBorders>
                    <w:tl2br w:val="nil"/>
                    <w:tr2bl w:val="nil"/>
                  </w:tcBorders>
                  <w:noWrap/>
                  <w:vAlign w:val="center"/>
                </w:tcPr>
                <w:p w14:paraId="6E23F193">
                  <w:pPr>
                    <w:pStyle w:val="56"/>
                    <w:bidi w:val="0"/>
                    <w:rPr>
                      <w:color w:val="auto"/>
                    </w:rPr>
                  </w:pPr>
                  <w:r>
                    <w:rPr>
                      <w:rFonts w:hint="eastAsia"/>
                    </w:rPr>
                    <w:t>1</w:t>
                  </w:r>
                </w:p>
              </w:tc>
              <w:tc>
                <w:tcPr>
                  <w:tcW w:w="3939" w:type="dxa"/>
                  <w:tcBorders>
                    <w:tl2br w:val="nil"/>
                    <w:tr2bl w:val="nil"/>
                  </w:tcBorders>
                  <w:noWrap/>
                  <w:vAlign w:val="center"/>
                </w:tcPr>
                <w:p w14:paraId="68054391">
                  <w:pPr>
                    <w:pStyle w:val="56"/>
                    <w:bidi w:val="0"/>
                    <w:jc w:val="left"/>
                    <w:rPr>
                      <w:color w:val="auto"/>
                    </w:rPr>
                  </w:pPr>
                  <w:r>
                    <w:rPr>
                      <w:rFonts w:hint="eastAsia"/>
                    </w:rPr>
                    <w:t>长江流域地方各级人民政府应当落实本行政区域的生态环境保护和修复、促进资源合理高效利用、优化产业结构和布局、维护长江流域生态安全</w:t>
                  </w:r>
                  <w:r>
                    <w:rPr>
                      <w:rFonts w:hint="eastAsia"/>
                      <w:lang w:eastAsia="zh-CN"/>
                    </w:rPr>
                    <w:t>的责</w:t>
                  </w:r>
                  <w:r>
                    <w:rPr>
                      <w:rFonts w:hint="eastAsia"/>
                    </w:rPr>
                    <w:t>任。</w:t>
                  </w:r>
                </w:p>
              </w:tc>
              <w:tc>
                <w:tcPr>
                  <w:tcW w:w="1431" w:type="dxa"/>
                  <w:tcBorders>
                    <w:tl2br w:val="nil"/>
                    <w:tr2bl w:val="nil"/>
                  </w:tcBorders>
                  <w:noWrap/>
                  <w:vAlign w:val="center"/>
                </w:tcPr>
                <w:p w14:paraId="3FDCAE9B">
                  <w:pPr>
                    <w:pStyle w:val="56"/>
                    <w:bidi w:val="0"/>
                    <w:jc w:val="left"/>
                    <w:rPr>
                      <w:color w:val="auto"/>
                    </w:rPr>
                  </w:pPr>
                  <w:r>
                    <w:rPr>
                      <w:rFonts w:hint="eastAsia"/>
                    </w:rPr>
                    <w:t>本项目满足要求</w:t>
                  </w:r>
                </w:p>
              </w:tc>
              <w:tc>
                <w:tcPr>
                  <w:tcW w:w="858" w:type="dxa"/>
                  <w:tcBorders>
                    <w:tl2br w:val="nil"/>
                    <w:tr2bl w:val="nil"/>
                  </w:tcBorders>
                  <w:noWrap/>
                  <w:vAlign w:val="center"/>
                </w:tcPr>
                <w:p w14:paraId="5450F806">
                  <w:pPr>
                    <w:pStyle w:val="56"/>
                    <w:bidi w:val="0"/>
                    <w:rPr>
                      <w:color w:val="auto"/>
                    </w:rPr>
                  </w:pPr>
                  <w:r>
                    <w:rPr>
                      <w:rFonts w:hint="eastAsia"/>
                    </w:rPr>
                    <w:t>符合</w:t>
                  </w:r>
                </w:p>
              </w:tc>
            </w:tr>
            <w:tr w14:paraId="628A6E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208" w:hRule="atLeast"/>
                <w:jc w:val="center"/>
              </w:trPr>
              <w:tc>
                <w:tcPr>
                  <w:tcW w:w="558" w:type="dxa"/>
                  <w:tcBorders>
                    <w:tl2br w:val="nil"/>
                    <w:tr2bl w:val="nil"/>
                  </w:tcBorders>
                  <w:noWrap/>
                  <w:vAlign w:val="center"/>
                </w:tcPr>
                <w:p w14:paraId="1C774AB9">
                  <w:pPr>
                    <w:pStyle w:val="56"/>
                    <w:bidi w:val="0"/>
                    <w:rPr>
                      <w:color w:val="auto"/>
                    </w:rPr>
                  </w:pPr>
                  <w:r>
                    <w:rPr>
                      <w:rFonts w:hint="eastAsia"/>
                    </w:rPr>
                    <w:t>2</w:t>
                  </w:r>
                </w:p>
              </w:tc>
              <w:tc>
                <w:tcPr>
                  <w:tcW w:w="3939" w:type="dxa"/>
                  <w:tcBorders>
                    <w:tl2br w:val="nil"/>
                    <w:tr2bl w:val="nil"/>
                  </w:tcBorders>
                  <w:noWrap/>
                  <w:vAlign w:val="center"/>
                </w:tcPr>
                <w:p w14:paraId="1F0772A8">
                  <w:pPr>
                    <w:pStyle w:val="56"/>
                    <w:bidi w:val="0"/>
                    <w:jc w:val="left"/>
                    <w:rPr>
                      <w:color w:val="auto"/>
                    </w:rPr>
                  </w:pPr>
                  <w:r>
                    <w:rPr>
                      <w:rFonts w:hint="eastAsia"/>
                    </w:rPr>
                    <w:t>禁止在长江干支流岸线一公里范围内新建、扩建化工园区和化工项目。禁止在长江干流岸线三公里范围内和重要支流岸线一公里范围内新建、改建、扩建尾矿库。</w:t>
                  </w:r>
                </w:p>
              </w:tc>
              <w:tc>
                <w:tcPr>
                  <w:tcW w:w="1431" w:type="dxa"/>
                  <w:tcBorders>
                    <w:tl2br w:val="nil"/>
                    <w:tr2bl w:val="nil"/>
                  </w:tcBorders>
                  <w:noWrap/>
                  <w:vAlign w:val="center"/>
                </w:tcPr>
                <w:p w14:paraId="43090107">
                  <w:pPr>
                    <w:pStyle w:val="56"/>
                    <w:bidi w:val="0"/>
                    <w:rPr>
                      <w:color w:val="auto"/>
                    </w:rPr>
                  </w:pPr>
                  <w:r>
                    <w:rPr>
                      <w:rFonts w:hint="eastAsia"/>
                    </w:rPr>
                    <w:t>不涉及</w:t>
                  </w:r>
                </w:p>
              </w:tc>
              <w:tc>
                <w:tcPr>
                  <w:tcW w:w="858" w:type="dxa"/>
                  <w:tcBorders>
                    <w:tl2br w:val="nil"/>
                    <w:tr2bl w:val="nil"/>
                  </w:tcBorders>
                  <w:noWrap/>
                  <w:vAlign w:val="center"/>
                </w:tcPr>
                <w:p w14:paraId="62F23C23">
                  <w:pPr>
                    <w:pStyle w:val="56"/>
                    <w:bidi w:val="0"/>
                    <w:rPr>
                      <w:color w:val="auto"/>
                    </w:rPr>
                  </w:pPr>
                  <w:r>
                    <w:rPr>
                      <w:rFonts w:hint="eastAsia"/>
                    </w:rPr>
                    <w:t>符合</w:t>
                  </w:r>
                </w:p>
              </w:tc>
            </w:tr>
            <w:tr w14:paraId="2BB534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139" w:hRule="atLeast"/>
                <w:jc w:val="center"/>
              </w:trPr>
              <w:tc>
                <w:tcPr>
                  <w:tcW w:w="558" w:type="dxa"/>
                  <w:tcBorders>
                    <w:tl2br w:val="nil"/>
                    <w:tr2bl w:val="nil"/>
                  </w:tcBorders>
                  <w:noWrap/>
                  <w:vAlign w:val="center"/>
                </w:tcPr>
                <w:p w14:paraId="1BD88B6E">
                  <w:pPr>
                    <w:pStyle w:val="56"/>
                    <w:bidi w:val="0"/>
                    <w:rPr>
                      <w:color w:val="auto"/>
                    </w:rPr>
                  </w:pPr>
                  <w:r>
                    <w:rPr>
                      <w:rFonts w:hint="eastAsia"/>
                    </w:rPr>
                    <w:t>3</w:t>
                  </w:r>
                </w:p>
              </w:tc>
              <w:tc>
                <w:tcPr>
                  <w:tcW w:w="3939" w:type="dxa"/>
                  <w:tcBorders>
                    <w:tl2br w:val="nil"/>
                    <w:tr2bl w:val="nil"/>
                  </w:tcBorders>
                  <w:noWrap/>
                  <w:vAlign w:val="center"/>
                </w:tcPr>
                <w:p w14:paraId="3061F72A">
                  <w:pPr>
                    <w:pStyle w:val="56"/>
                    <w:bidi w:val="0"/>
                    <w:jc w:val="left"/>
                    <w:rPr>
                      <w:color w:val="auto"/>
                    </w:rPr>
                  </w:pPr>
                  <w:r>
                    <w:rPr>
                      <w:rFonts w:hint="eastAsia"/>
                    </w:rPr>
                    <w:t>长江流域水质超标的水功能区，应当实施更严格的污染物排放总量削减要求。企业事业单位应当按照要求，采取污染物排放总量控制措施。</w:t>
                  </w:r>
                </w:p>
              </w:tc>
              <w:tc>
                <w:tcPr>
                  <w:tcW w:w="1431" w:type="dxa"/>
                  <w:tcBorders>
                    <w:tl2br w:val="nil"/>
                    <w:tr2bl w:val="nil"/>
                  </w:tcBorders>
                  <w:noWrap/>
                  <w:vAlign w:val="center"/>
                </w:tcPr>
                <w:p w14:paraId="4B7EE763">
                  <w:pPr>
                    <w:pStyle w:val="56"/>
                    <w:bidi w:val="0"/>
                    <w:jc w:val="left"/>
                    <w:rPr>
                      <w:color w:val="auto"/>
                    </w:rPr>
                  </w:pPr>
                  <w:r>
                    <w:rPr>
                      <w:rFonts w:hint="eastAsia"/>
                    </w:rPr>
                    <w:t>本项目满足要求</w:t>
                  </w:r>
                </w:p>
              </w:tc>
              <w:tc>
                <w:tcPr>
                  <w:tcW w:w="858" w:type="dxa"/>
                  <w:tcBorders>
                    <w:tl2br w:val="nil"/>
                    <w:tr2bl w:val="nil"/>
                  </w:tcBorders>
                  <w:noWrap/>
                  <w:vAlign w:val="center"/>
                </w:tcPr>
                <w:p w14:paraId="3EC3F03C">
                  <w:pPr>
                    <w:pStyle w:val="56"/>
                    <w:bidi w:val="0"/>
                    <w:rPr>
                      <w:color w:val="auto"/>
                    </w:rPr>
                  </w:pPr>
                  <w:r>
                    <w:rPr>
                      <w:rFonts w:hint="eastAsia"/>
                    </w:rPr>
                    <w:t>符合</w:t>
                  </w:r>
                </w:p>
              </w:tc>
            </w:tr>
            <w:tr w14:paraId="39A905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464" w:hRule="atLeast"/>
                <w:jc w:val="center"/>
              </w:trPr>
              <w:tc>
                <w:tcPr>
                  <w:tcW w:w="558" w:type="dxa"/>
                  <w:tcBorders>
                    <w:tl2br w:val="nil"/>
                    <w:tr2bl w:val="nil"/>
                  </w:tcBorders>
                  <w:noWrap/>
                  <w:vAlign w:val="center"/>
                </w:tcPr>
                <w:p w14:paraId="63280F3B">
                  <w:pPr>
                    <w:pStyle w:val="56"/>
                    <w:bidi w:val="0"/>
                    <w:rPr>
                      <w:color w:val="auto"/>
                    </w:rPr>
                  </w:pPr>
                  <w:r>
                    <w:rPr>
                      <w:rFonts w:hint="eastAsia"/>
                    </w:rPr>
                    <w:t>4</w:t>
                  </w:r>
                </w:p>
              </w:tc>
              <w:tc>
                <w:tcPr>
                  <w:tcW w:w="3939" w:type="dxa"/>
                  <w:tcBorders>
                    <w:tl2br w:val="nil"/>
                    <w:tr2bl w:val="nil"/>
                  </w:tcBorders>
                  <w:noWrap/>
                  <w:vAlign w:val="center"/>
                </w:tcPr>
                <w:p w14:paraId="33C67FCF">
                  <w:pPr>
                    <w:pStyle w:val="56"/>
                    <w:bidi w:val="0"/>
                    <w:jc w:val="left"/>
                    <w:rPr>
                      <w:color w:val="auto"/>
                    </w:rPr>
                  </w:pPr>
                  <w:r>
                    <w:rPr>
                      <w:rFonts w:hint="eastAsia"/>
                    </w:rPr>
                    <w:t>长江流域省级人民政府制定本行政区域的总磷污染控制方案，并组织实施。对磷矿、磷肥生产集中的长江干支流，有关省级人民政府应当制定更加严格的总磷排放管控要求，有效控制总磷排放总量。</w:t>
                  </w:r>
                </w:p>
              </w:tc>
              <w:tc>
                <w:tcPr>
                  <w:tcW w:w="1431" w:type="dxa"/>
                  <w:tcBorders>
                    <w:tl2br w:val="nil"/>
                    <w:tr2bl w:val="nil"/>
                  </w:tcBorders>
                  <w:noWrap/>
                  <w:vAlign w:val="center"/>
                </w:tcPr>
                <w:p w14:paraId="44F79E84">
                  <w:pPr>
                    <w:pStyle w:val="56"/>
                    <w:bidi w:val="0"/>
                    <w:rPr>
                      <w:color w:val="auto"/>
                    </w:rPr>
                  </w:pPr>
                  <w:r>
                    <w:rPr>
                      <w:rFonts w:hint="eastAsia"/>
                    </w:rPr>
                    <w:t>不涉及</w:t>
                  </w:r>
                </w:p>
              </w:tc>
              <w:tc>
                <w:tcPr>
                  <w:tcW w:w="858" w:type="dxa"/>
                  <w:tcBorders>
                    <w:tl2br w:val="nil"/>
                    <w:tr2bl w:val="nil"/>
                  </w:tcBorders>
                  <w:noWrap/>
                  <w:vAlign w:val="center"/>
                </w:tcPr>
                <w:p w14:paraId="64D12FDA">
                  <w:pPr>
                    <w:pStyle w:val="56"/>
                    <w:bidi w:val="0"/>
                    <w:rPr>
                      <w:color w:val="auto"/>
                    </w:rPr>
                  </w:pPr>
                  <w:r>
                    <w:rPr>
                      <w:rFonts w:hint="eastAsia"/>
                    </w:rPr>
                    <w:t>符合</w:t>
                  </w:r>
                </w:p>
              </w:tc>
            </w:tr>
          </w:tbl>
          <w:p w14:paraId="6783F0D9">
            <w:pPr>
              <w:widowControl/>
              <w:spacing w:line="360" w:lineRule="exact"/>
              <w:ind w:firstLine="480"/>
              <w:jc w:val="left"/>
            </w:pPr>
            <w:r>
              <w:rPr>
                <w:rFonts w:hint="eastAsia"/>
              </w:rPr>
              <w:t>因此，本项目符合《中华人民共和国长江保护法》相关规定要求。</w:t>
            </w:r>
          </w:p>
          <w:p w14:paraId="5CAD6625">
            <w:pPr>
              <w:spacing w:line="360" w:lineRule="exact"/>
              <w:ind w:firstLine="482"/>
              <w:rPr>
                <w:b/>
                <w:bCs/>
              </w:rPr>
            </w:pPr>
            <w:r>
              <w:rPr>
                <w:b/>
                <w:bCs/>
              </w:rPr>
              <w:t>7、</w:t>
            </w:r>
            <w:r>
              <w:rPr>
                <w:rFonts w:hint="eastAsia"/>
                <w:b/>
                <w:bCs/>
              </w:rPr>
              <w:t>与《江西省长江经济带发展负面清单实施细则（试行）》符合性分析</w:t>
            </w:r>
          </w:p>
          <w:p w14:paraId="07CA2166">
            <w:pPr>
              <w:spacing w:line="360" w:lineRule="exact"/>
              <w:ind w:firstLine="480"/>
            </w:pPr>
            <w:r>
              <w:rPr>
                <w:rFonts w:hint="eastAsia"/>
              </w:rPr>
              <w:t>本项目</w:t>
            </w:r>
            <w:r>
              <w:t>与《</w:t>
            </w:r>
            <w:r>
              <w:rPr>
                <w:rFonts w:hint="eastAsia"/>
              </w:rPr>
              <w:t>江西省</w:t>
            </w:r>
            <w:r>
              <w:t>长江经济带</w:t>
            </w:r>
            <w:r>
              <w:rPr>
                <w:rFonts w:hint="eastAsia"/>
              </w:rPr>
              <w:t>发展</w:t>
            </w:r>
            <w:r>
              <w:t>负面清单</w:t>
            </w:r>
            <w:r>
              <w:rPr>
                <w:rFonts w:hint="eastAsia"/>
              </w:rPr>
              <w:t>实施细则</w:t>
            </w:r>
            <w:r>
              <w:t>（试行）》（赣长江办〔2022〕7号）符合性分析</w:t>
            </w:r>
            <w:r>
              <w:rPr>
                <w:rFonts w:hint="eastAsia"/>
              </w:rPr>
              <w:t>具体</w:t>
            </w:r>
            <w:r>
              <w:t>情况见表</w:t>
            </w:r>
            <w:r>
              <w:rPr>
                <w:rFonts w:hint="eastAsia"/>
                <w:lang w:val="en-US" w:eastAsia="zh-CN"/>
              </w:rPr>
              <w:t>1-10</w:t>
            </w:r>
            <w:r>
              <w:t>。</w:t>
            </w:r>
          </w:p>
          <w:p w14:paraId="0B0776C6">
            <w:pPr>
              <w:pStyle w:val="62"/>
              <w:bidi w:val="0"/>
              <w:jc w:val="left"/>
            </w:pPr>
            <w:r>
              <w:rPr>
                <w:rFonts w:hint="default"/>
                <w:lang w:val="en-US" w:eastAsia="zh-CN"/>
              </w:rPr>
              <w:t>表1-</w:t>
            </w:r>
            <w:r>
              <w:rPr>
                <w:rFonts w:hint="eastAsia"/>
                <w:lang w:val="en-US" w:eastAsia="zh-CN"/>
              </w:rPr>
              <w:t>10</w:t>
            </w:r>
            <w:r>
              <w:rPr>
                <w:rFonts w:hint="default"/>
                <w:lang w:val="en-US" w:eastAsia="zh-CN"/>
              </w:rPr>
              <w:t xml:space="preserve"> </w:t>
            </w:r>
            <w:r>
              <w:rPr>
                <w:rFonts w:hint="eastAsia"/>
              </w:rPr>
              <w:t>与《江西省长江经济带发展负面清单实施细则（试行）》的符合性分析</w:t>
            </w:r>
          </w:p>
          <w:tbl>
            <w:tblPr>
              <w:tblStyle w:val="41"/>
              <w:tblW w:w="4997"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73"/>
              <w:gridCol w:w="4224"/>
              <w:gridCol w:w="1329"/>
              <w:gridCol w:w="897"/>
            </w:tblGrid>
            <w:tr w14:paraId="51D38AC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08" w:type="pct"/>
                  <w:tcBorders>
                    <w:tl2br w:val="nil"/>
                    <w:tr2bl w:val="nil"/>
                  </w:tcBorders>
                  <w:vAlign w:val="center"/>
                </w:tcPr>
                <w:p w14:paraId="379D372E">
                  <w:pPr>
                    <w:pStyle w:val="56"/>
                    <w:bidi w:val="0"/>
                    <w:rPr>
                      <w:color w:val="auto"/>
                    </w:rPr>
                  </w:pPr>
                  <w:r>
                    <w:t>序号</w:t>
                  </w:r>
                </w:p>
              </w:tc>
              <w:tc>
                <w:tcPr>
                  <w:tcW w:w="3006" w:type="pct"/>
                  <w:tcBorders>
                    <w:tl2br w:val="nil"/>
                    <w:tr2bl w:val="nil"/>
                  </w:tcBorders>
                  <w:vAlign w:val="center"/>
                </w:tcPr>
                <w:p w14:paraId="311F1F9F">
                  <w:pPr>
                    <w:pStyle w:val="56"/>
                    <w:bidi w:val="0"/>
                    <w:rPr>
                      <w:color w:val="auto"/>
                    </w:rPr>
                  </w:pPr>
                  <w:r>
                    <w:t>要求</w:t>
                  </w:r>
                </w:p>
              </w:tc>
              <w:tc>
                <w:tcPr>
                  <w:tcW w:w="946" w:type="pct"/>
                  <w:tcBorders>
                    <w:tl2br w:val="nil"/>
                    <w:tr2bl w:val="nil"/>
                  </w:tcBorders>
                  <w:vAlign w:val="center"/>
                </w:tcPr>
                <w:p w14:paraId="365E6080">
                  <w:pPr>
                    <w:pStyle w:val="56"/>
                    <w:bidi w:val="0"/>
                    <w:rPr>
                      <w:color w:val="auto"/>
                    </w:rPr>
                  </w:pPr>
                  <w:r>
                    <w:t>本项目情况</w:t>
                  </w:r>
                </w:p>
              </w:tc>
              <w:tc>
                <w:tcPr>
                  <w:tcW w:w="639" w:type="pct"/>
                  <w:tcBorders>
                    <w:tl2br w:val="nil"/>
                    <w:tr2bl w:val="nil"/>
                  </w:tcBorders>
                  <w:vAlign w:val="center"/>
                </w:tcPr>
                <w:p w14:paraId="278F3EDF">
                  <w:pPr>
                    <w:pStyle w:val="56"/>
                    <w:bidi w:val="0"/>
                    <w:rPr>
                      <w:color w:val="auto"/>
                    </w:rPr>
                  </w:pPr>
                  <w:r>
                    <w:t>符合性</w:t>
                  </w:r>
                </w:p>
              </w:tc>
            </w:tr>
            <w:tr w14:paraId="1EE0ADD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08" w:type="pct"/>
                  <w:tcBorders>
                    <w:tl2br w:val="nil"/>
                    <w:tr2bl w:val="nil"/>
                  </w:tcBorders>
                  <w:vAlign w:val="center"/>
                </w:tcPr>
                <w:p w14:paraId="40A6ADB9">
                  <w:pPr>
                    <w:pStyle w:val="56"/>
                    <w:bidi w:val="0"/>
                    <w:rPr>
                      <w:color w:val="auto"/>
                    </w:rPr>
                  </w:pPr>
                  <w:r>
                    <w:t>1</w:t>
                  </w:r>
                </w:p>
              </w:tc>
              <w:tc>
                <w:tcPr>
                  <w:tcW w:w="3006" w:type="pct"/>
                  <w:tcBorders>
                    <w:tl2br w:val="nil"/>
                    <w:tr2bl w:val="nil"/>
                  </w:tcBorders>
                  <w:vAlign w:val="center"/>
                </w:tcPr>
                <w:p w14:paraId="5EEF2276">
                  <w:pPr>
                    <w:pStyle w:val="56"/>
                    <w:bidi w:val="0"/>
                    <w:jc w:val="left"/>
                    <w:rPr>
                      <w:color w:val="auto"/>
                    </w:rPr>
                  </w:pPr>
                  <w:r>
                    <w:rPr>
                      <w:rFonts w:hint="eastAsia"/>
                    </w:rPr>
                    <w:t>禁止建设不符合国家和省级港口布局规划以及港口总体规划的码头项目。禁止建设不符合《长江干线过江通道布局规划》的过长江通道项目。</w:t>
                  </w:r>
                </w:p>
              </w:tc>
              <w:tc>
                <w:tcPr>
                  <w:tcW w:w="946" w:type="pct"/>
                  <w:tcBorders>
                    <w:tl2br w:val="nil"/>
                    <w:tr2bl w:val="nil"/>
                  </w:tcBorders>
                  <w:vAlign w:val="center"/>
                </w:tcPr>
                <w:p w14:paraId="2844D9EA">
                  <w:pPr>
                    <w:pStyle w:val="56"/>
                    <w:bidi w:val="0"/>
                    <w:rPr>
                      <w:color w:val="auto"/>
                    </w:rPr>
                  </w:pPr>
                  <w:r>
                    <w:rPr>
                      <w:rFonts w:hint="eastAsia"/>
                    </w:rPr>
                    <w:t>不涉及</w:t>
                  </w:r>
                </w:p>
              </w:tc>
              <w:tc>
                <w:tcPr>
                  <w:tcW w:w="639" w:type="pct"/>
                  <w:tcBorders>
                    <w:tl2br w:val="nil"/>
                    <w:tr2bl w:val="nil"/>
                  </w:tcBorders>
                  <w:vAlign w:val="center"/>
                </w:tcPr>
                <w:p w14:paraId="54404FF2">
                  <w:pPr>
                    <w:pStyle w:val="56"/>
                    <w:bidi w:val="0"/>
                    <w:rPr>
                      <w:color w:val="auto"/>
                    </w:rPr>
                  </w:pPr>
                  <w:r>
                    <w:t>符合</w:t>
                  </w:r>
                </w:p>
              </w:tc>
            </w:tr>
            <w:tr w14:paraId="3630947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08" w:type="pct"/>
                  <w:tcBorders>
                    <w:tl2br w:val="nil"/>
                    <w:tr2bl w:val="nil"/>
                  </w:tcBorders>
                  <w:vAlign w:val="center"/>
                </w:tcPr>
                <w:p w14:paraId="6208496B">
                  <w:pPr>
                    <w:pStyle w:val="56"/>
                    <w:bidi w:val="0"/>
                    <w:rPr>
                      <w:color w:val="auto"/>
                    </w:rPr>
                  </w:pPr>
                  <w:r>
                    <w:t>2</w:t>
                  </w:r>
                </w:p>
              </w:tc>
              <w:tc>
                <w:tcPr>
                  <w:tcW w:w="3006" w:type="pct"/>
                  <w:tcBorders>
                    <w:tl2br w:val="nil"/>
                    <w:tr2bl w:val="nil"/>
                  </w:tcBorders>
                  <w:vAlign w:val="center"/>
                </w:tcPr>
                <w:p w14:paraId="7C867F4E">
                  <w:pPr>
                    <w:pStyle w:val="56"/>
                    <w:bidi w:val="0"/>
                    <w:jc w:val="left"/>
                    <w:rPr>
                      <w:color w:val="auto"/>
                    </w:rPr>
                  </w:pPr>
                  <w:r>
                    <w:rPr>
                      <w:rFonts w:hint="eastAsia"/>
                    </w:rPr>
                    <w:t>禁止在自然保护区核心区、缓冲区的岸线和河段范围内投资建设旅游和生产经营项目。</w:t>
                  </w:r>
                </w:p>
              </w:tc>
              <w:tc>
                <w:tcPr>
                  <w:tcW w:w="946" w:type="pct"/>
                  <w:tcBorders>
                    <w:tl2br w:val="nil"/>
                    <w:tr2bl w:val="nil"/>
                  </w:tcBorders>
                  <w:vAlign w:val="center"/>
                </w:tcPr>
                <w:p w14:paraId="058A9722">
                  <w:pPr>
                    <w:pStyle w:val="56"/>
                    <w:bidi w:val="0"/>
                    <w:rPr>
                      <w:color w:val="auto"/>
                    </w:rPr>
                  </w:pPr>
                  <w:r>
                    <w:t>不涉及</w:t>
                  </w:r>
                </w:p>
              </w:tc>
              <w:tc>
                <w:tcPr>
                  <w:tcW w:w="639" w:type="pct"/>
                  <w:tcBorders>
                    <w:tl2br w:val="nil"/>
                    <w:tr2bl w:val="nil"/>
                  </w:tcBorders>
                  <w:vAlign w:val="center"/>
                </w:tcPr>
                <w:p w14:paraId="7C970FEE">
                  <w:pPr>
                    <w:pStyle w:val="56"/>
                    <w:bidi w:val="0"/>
                    <w:rPr>
                      <w:color w:val="auto"/>
                    </w:rPr>
                  </w:pPr>
                  <w:r>
                    <w:t>符合</w:t>
                  </w:r>
                </w:p>
              </w:tc>
            </w:tr>
            <w:tr w14:paraId="4B22CC9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08" w:type="pct"/>
                  <w:tcBorders>
                    <w:tl2br w:val="nil"/>
                    <w:tr2bl w:val="nil"/>
                  </w:tcBorders>
                  <w:vAlign w:val="center"/>
                </w:tcPr>
                <w:p w14:paraId="4A8A0C55">
                  <w:pPr>
                    <w:pStyle w:val="56"/>
                    <w:bidi w:val="0"/>
                    <w:rPr>
                      <w:color w:val="auto"/>
                    </w:rPr>
                  </w:pPr>
                  <w:r>
                    <w:t>3</w:t>
                  </w:r>
                </w:p>
              </w:tc>
              <w:tc>
                <w:tcPr>
                  <w:tcW w:w="3006" w:type="pct"/>
                  <w:tcBorders>
                    <w:tl2br w:val="nil"/>
                    <w:tr2bl w:val="nil"/>
                  </w:tcBorders>
                  <w:vAlign w:val="top"/>
                </w:tcPr>
                <w:p w14:paraId="08B45878">
                  <w:pPr>
                    <w:pStyle w:val="56"/>
                    <w:bidi w:val="0"/>
                    <w:jc w:val="left"/>
                  </w:pPr>
                  <w:r>
                    <w:rPr>
                      <w:rFonts w:hint="eastAsia"/>
                    </w:rPr>
                    <w:t>禁止在风景名胜区核心景区的岸线和河段范围内开展以下行为：</w:t>
                  </w:r>
                </w:p>
                <w:p w14:paraId="232037D4">
                  <w:pPr>
                    <w:pStyle w:val="56"/>
                    <w:bidi w:val="0"/>
                    <w:jc w:val="left"/>
                  </w:pPr>
                  <w:r>
                    <w:rPr>
                      <w:rFonts w:hint="eastAsia"/>
                    </w:rPr>
                    <w:t>（一）开山、采石、开矿、开荒、修坟立碑等破坏景观、植被和地形地貌的活动。</w:t>
                  </w:r>
                </w:p>
                <w:p w14:paraId="3A71B6EC">
                  <w:pPr>
                    <w:pStyle w:val="56"/>
                    <w:bidi w:val="0"/>
                    <w:jc w:val="left"/>
                  </w:pPr>
                  <w:r>
                    <w:rPr>
                      <w:rFonts w:hint="eastAsia"/>
                    </w:rPr>
                    <w:t>（二）修建储存爆炸性、易燃性、放射性、毒害性、腐蚀性物品的设施。</w:t>
                  </w:r>
                </w:p>
                <w:p w14:paraId="2AC9BCAE">
                  <w:pPr>
                    <w:pStyle w:val="56"/>
                    <w:bidi w:val="0"/>
                    <w:jc w:val="left"/>
                    <w:rPr>
                      <w:color w:val="auto"/>
                    </w:rPr>
                  </w:pPr>
                  <w:r>
                    <w:rPr>
                      <w:rFonts w:hint="eastAsia"/>
                    </w:rPr>
                    <w:t>（三）违反风景名胜区规划，建设与风景名胜资源保护无关的设施。</w:t>
                  </w:r>
                </w:p>
              </w:tc>
              <w:tc>
                <w:tcPr>
                  <w:tcW w:w="946" w:type="pct"/>
                  <w:tcBorders>
                    <w:tl2br w:val="nil"/>
                    <w:tr2bl w:val="nil"/>
                  </w:tcBorders>
                  <w:vAlign w:val="center"/>
                </w:tcPr>
                <w:p w14:paraId="44EC087E">
                  <w:pPr>
                    <w:pStyle w:val="56"/>
                    <w:bidi w:val="0"/>
                    <w:rPr>
                      <w:color w:val="auto"/>
                    </w:rPr>
                  </w:pPr>
                  <w:r>
                    <w:t>不涉及</w:t>
                  </w:r>
                </w:p>
              </w:tc>
              <w:tc>
                <w:tcPr>
                  <w:tcW w:w="639" w:type="pct"/>
                  <w:tcBorders>
                    <w:tl2br w:val="nil"/>
                    <w:tr2bl w:val="nil"/>
                  </w:tcBorders>
                  <w:vAlign w:val="center"/>
                </w:tcPr>
                <w:p w14:paraId="2DE994C4">
                  <w:pPr>
                    <w:pStyle w:val="56"/>
                    <w:bidi w:val="0"/>
                    <w:rPr>
                      <w:color w:val="auto"/>
                    </w:rPr>
                  </w:pPr>
                  <w:r>
                    <w:t>符合</w:t>
                  </w:r>
                </w:p>
              </w:tc>
            </w:tr>
            <w:tr w14:paraId="6839226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08" w:type="pct"/>
                  <w:tcBorders>
                    <w:tl2br w:val="nil"/>
                    <w:tr2bl w:val="nil"/>
                  </w:tcBorders>
                  <w:vAlign w:val="center"/>
                </w:tcPr>
                <w:p w14:paraId="75987426">
                  <w:pPr>
                    <w:pStyle w:val="56"/>
                    <w:bidi w:val="0"/>
                    <w:rPr>
                      <w:color w:val="auto"/>
                    </w:rPr>
                  </w:pPr>
                  <w:r>
                    <w:t>4</w:t>
                  </w:r>
                </w:p>
              </w:tc>
              <w:tc>
                <w:tcPr>
                  <w:tcW w:w="3006" w:type="pct"/>
                  <w:tcBorders>
                    <w:tl2br w:val="nil"/>
                    <w:tr2bl w:val="nil"/>
                  </w:tcBorders>
                  <w:vAlign w:val="top"/>
                </w:tcPr>
                <w:p w14:paraId="4502F96D">
                  <w:pPr>
                    <w:pStyle w:val="56"/>
                    <w:bidi w:val="0"/>
                    <w:jc w:val="left"/>
                  </w:pPr>
                  <w:r>
                    <w:rPr>
                      <w:rFonts w:hint="eastAsia"/>
                    </w:rPr>
                    <w:t>禁止在饮用水水源一级保护区的岸线和河段范围内开展下列行为：</w:t>
                  </w:r>
                </w:p>
                <w:p w14:paraId="237A8956">
                  <w:pPr>
                    <w:pStyle w:val="56"/>
                    <w:bidi w:val="0"/>
                    <w:jc w:val="left"/>
                  </w:pPr>
                  <w:r>
                    <w:rPr>
                      <w:rFonts w:hint="eastAsia"/>
                    </w:rPr>
                    <w:t>（一）新建、改建、扩建与供水设施和保护水源无关的建设项目；已建成的与供水设施和保护水源无关的建设项目，由县级以上人民政府责令拆除或者关闭。</w:t>
                  </w:r>
                </w:p>
                <w:p w14:paraId="326F399C">
                  <w:pPr>
                    <w:pStyle w:val="56"/>
                    <w:bidi w:val="0"/>
                    <w:jc w:val="left"/>
                    <w:rPr>
                      <w:color w:val="auto"/>
                    </w:rPr>
                  </w:pPr>
                  <w:r>
                    <w:rPr>
                      <w:rFonts w:hint="eastAsia"/>
                    </w:rPr>
                    <w:t>（二）禁止在饮用水水源</w:t>
                  </w:r>
                  <w:r>
                    <w:rPr>
                      <w:rFonts w:hint="eastAsia"/>
                      <w:lang w:eastAsia="zh-CN"/>
                    </w:rPr>
                    <w:t>-一</w:t>
                  </w:r>
                  <w:r>
                    <w:rPr>
                      <w:rFonts w:hint="eastAsia"/>
                    </w:rPr>
                    <w:t>级保护区内从事网箱养殖、旅游、游泳、垂钓或者其他可能污染饮用水水体的活动。</w:t>
                  </w:r>
                </w:p>
              </w:tc>
              <w:tc>
                <w:tcPr>
                  <w:tcW w:w="946" w:type="pct"/>
                  <w:vMerge w:val="restart"/>
                  <w:tcBorders>
                    <w:tl2br w:val="nil"/>
                    <w:tr2bl w:val="nil"/>
                  </w:tcBorders>
                  <w:vAlign w:val="center"/>
                </w:tcPr>
                <w:p w14:paraId="547EAB13">
                  <w:pPr>
                    <w:pStyle w:val="56"/>
                    <w:bidi w:val="0"/>
                    <w:jc w:val="left"/>
                    <w:rPr>
                      <w:color w:val="auto"/>
                    </w:rPr>
                  </w:pPr>
                  <w:r>
                    <w:t>本项目</w:t>
                  </w:r>
                  <w:r>
                    <w:rPr>
                      <w:rFonts w:hint="eastAsia"/>
                    </w:rPr>
                    <w:t>不涉及</w:t>
                  </w:r>
                </w:p>
              </w:tc>
              <w:tc>
                <w:tcPr>
                  <w:tcW w:w="639" w:type="pct"/>
                  <w:tcBorders>
                    <w:tl2br w:val="nil"/>
                    <w:tr2bl w:val="nil"/>
                  </w:tcBorders>
                  <w:vAlign w:val="center"/>
                </w:tcPr>
                <w:p w14:paraId="16EF4881">
                  <w:pPr>
                    <w:pStyle w:val="56"/>
                    <w:bidi w:val="0"/>
                    <w:rPr>
                      <w:color w:val="auto"/>
                    </w:rPr>
                  </w:pPr>
                  <w:r>
                    <w:t>符合</w:t>
                  </w:r>
                </w:p>
              </w:tc>
            </w:tr>
            <w:tr w14:paraId="76A9034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08" w:type="pct"/>
                  <w:tcBorders>
                    <w:tl2br w:val="nil"/>
                    <w:tr2bl w:val="nil"/>
                  </w:tcBorders>
                  <w:vAlign w:val="center"/>
                </w:tcPr>
                <w:p w14:paraId="65F59557">
                  <w:pPr>
                    <w:pStyle w:val="56"/>
                    <w:bidi w:val="0"/>
                    <w:rPr>
                      <w:color w:val="auto"/>
                    </w:rPr>
                  </w:pPr>
                  <w:r>
                    <w:t>5</w:t>
                  </w:r>
                </w:p>
              </w:tc>
              <w:tc>
                <w:tcPr>
                  <w:tcW w:w="3006" w:type="pct"/>
                  <w:tcBorders>
                    <w:tl2br w:val="nil"/>
                    <w:tr2bl w:val="nil"/>
                  </w:tcBorders>
                  <w:vAlign w:val="top"/>
                </w:tcPr>
                <w:p w14:paraId="2055D696">
                  <w:pPr>
                    <w:pStyle w:val="56"/>
                    <w:bidi w:val="0"/>
                    <w:jc w:val="left"/>
                  </w:pPr>
                  <w:r>
                    <w:t>禁止在饮用水水源二级保护区的岸线和河段范围内开展下列行为：</w:t>
                  </w:r>
                </w:p>
                <w:p w14:paraId="62EA0A1A">
                  <w:pPr>
                    <w:pStyle w:val="56"/>
                    <w:bidi w:val="0"/>
                    <w:jc w:val="left"/>
                  </w:pPr>
                  <w:r>
                    <w:rPr>
                      <w:rFonts w:hint="eastAsia"/>
                    </w:rPr>
                    <w:t>（一）新建、改建、扩建排放污染物的建设项目；已建成的排放污染物的建设项目，由县级以上人民政府责令拆除或者关闭。</w:t>
                  </w:r>
                </w:p>
                <w:p w14:paraId="61771F6B">
                  <w:pPr>
                    <w:pStyle w:val="56"/>
                    <w:bidi w:val="0"/>
                    <w:jc w:val="left"/>
                    <w:rPr>
                      <w:color w:val="auto"/>
                    </w:rPr>
                  </w:pPr>
                  <w:r>
                    <w:rPr>
                      <w:rFonts w:hint="eastAsia"/>
                    </w:rPr>
                    <w:t>（二）在饮用水水源二级保护区内从事网箱养殖、旅游等活动的，应当按照规定采取措施，防止污染饮用水水体。</w:t>
                  </w:r>
                </w:p>
              </w:tc>
              <w:tc>
                <w:tcPr>
                  <w:tcW w:w="946" w:type="pct"/>
                  <w:vMerge w:val="continue"/>
                  <w:tcBorders>
                    <w:tl2br w:val="nil"/>
                    <w:tr2bl w:val="nil"/>
                  </w:tcBorders>
                  <w:vAlign w:val="center"/>
                </w:tcPr>
                <w:p w14:paraId="66FF0F18">
                  <w:pPr>
                    <w:pStyle w:val="56"/>
                    <w:spacing w:line="240" w:lineRule="auto"/>
                    <w:jc w:val="center"/>
                    <w:rPr>
                      <w:color w:val="auto"/>
                    </w:rPr>
                  </w:pPr>
                </w:p>
              </w:tc>
              <w:tc>
                <w:tcPr>
                  <w:tcW w:w="639" w:type="pct"/>
                  <w:tcBorders>
                    <w:tl2br w:val="nil"/>
                    <w:tr2bl w:val="nil"/>
                  </w:tcBorders>
                  <w:vAlign w:val="center"/>
                </w:tcPr>
                <w:p w14:paraId="241FF21B">
                  <w:pPr>
                    <w:pStyle w:val="56"/>
                    <w:bidi w:val="0"/>
                    <w:rPr>
                      <w:color w:val="auto"/>
                    </w:rPr>
                  </w:pPr>
                  <w:r>
                    <w:t>符合</w:t>
                  </w:r>
                </w:p>
              </w:tc>
            </w:tr>
            <w:tr w14:paraId="0A63F45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08" w:type="pct"/>
                  <w:tcBorders>
                    <w:tl2br w:val="nil"/>
                    <w:tr2bl w:val="nil"/>
                  </w:tcBorders>
                  <w:vAlign w:val="center"/>
                </w:tcPr>
                <w:p w14:paraId="0EEE4D98">
                  <w:pPr>
                    <w:pStyle w:val="56"/>
                    <w:bidi w:val="0"/>
                    <w:rPr>
                      <w:color w:val="auto"/>
                    </w:rPr>
                  </w:pPr>
                  <w:r>
                    <w:t>6</w:t>
                  </w:r>
                </w:p>
              </w:tc>
              <w:tc>
                <w:tcPr>
                  <w:tcW w:w="3006" w:type="pct"/>
                  <w:tcBorders>
                    <w:tl2br w:val="nil"/>
                    <w:tr2bl w:val="nil"/>
                  </w:tcBorders>
                  <w:vAlign w:val="top"/>
                </w:tcPr>
                <w:p w14:paraId="28AED886">
                  <w:pPr>
                    <w:pStyle w:val="56"/>
                    <w:bidi w:val="0"/>
                    <w:jc w:val="left"/>
                    <w:rPr>
                      <w:color w:val="auto"/>
                    </w:rPr>
                  </w:pPr>
                  <w:r>
                    <w:rPr>
                      <w:rFonts w:hint="eastAsia"/>
                    </w:rPr>
                    <w:t>禁止在水产种质资源保护区的岸线和河段范围内新建围湖（河）造田（地）等投资建设项目。单位和个人在水产种质资源保护区内从事水生生物资源调查、科学研究、教学实习、参观游览、影视拍摄等活动，应当遵守有关法律法规和保护区管理制度，不得损害水产种质资源及其生存环境。</w:t>
                  </w:r>
                </w:p>
              </w:tc>
              <w:tc>
                <w:tcPr>
                  <w:tcW w:w="946" w:type="pct"/>
                  <w:tcBorders>
                    <w:tl2br w:val="nil"/>
                    <w:tr2bl w:val="nil"/>
                  </w:tcBorders>
                  <w:vAlign w:val="center"/>
                </w:tcPr>
                <w:p w14:paraId="6C2888E5">
                  <w:pPr>
                    <w:pStyle w:val="56"/>
                    <w:bidi w:val="0"/>
                    <w:jc w:val="left"/>
                    <w:rPr>
                      <w:color w:val="auto"/>
                    </w:rPr>
                  </w:pPr>
                  <w:r>
                    <w:t>本项目不涉</w:t>
                  </w:r>
                  <w:r>
                    <w:rPr>
                      <w:rFonts w:hint="eastAsia"/>
                    </w:rPr>
                    <w:t>及</w:t>
                  </w:r>
                </w:p>
              </w:tc>
              <w:tc>
                <w:tcPr>
                  <w:tcW w:w="639" w:type="pct"/>
                  <w:tcBorders>
                    <w:tl2br w:val="nil"/>
                    <w:tr2bl w:val="nil"/>
                  </w:tcBorders>
                  <w:vAlign w:val="center"/>
                </w:tcPr>
                <w:p w14:paraId="476E8809">
                  <w:pPr>
                    <w:pStyle w:val="56"/>
                    <w:bidi w:val="0"/>
                    <w:rPr>
                      <w:color w:val="auto"/>
                    </w:rPr>
                  </w:pPr>
                  <w:r>
                    <w:t>符合</w:t>
                  </w:r>
                </w:p>
              </w:tc>
            </w:tr>
            <w:tr w14:paraId="073E2A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08" w:type="pct"/>
                  <w:tcBorders>
                    <w:tl2br w:val="nil"/>
                    <w:tr2bl w:val="nil"/>
                  </w:tcBorders>
                  <w:vAlign w:val="center"/>
                </w:tcPr>
                <w:p w14:paraId="0DE313D8">
                  <w:pPr>
                    <w:pStyle w:val="56"/>
                    <w:bidi w:val="0"/>
                    <w:rPr>
                      <w:color w:val="auto"/>
                    </w:rPr>
                  </w:pPr>
                  <w:r>
                    <w:t>7</w:t>
                  </w:r>
                </w:p>
              </w:tc>
              <w:tc>
                <w:tcPr>
                  <w:tcW w:w="3006" w:type="pct"/>
                  <w:tcBorders>
                    <w:tl2br w:val="nil"/>
                    <w:tr2bl w:val="nil"/>
                  </w:tcBorders>
                  <w:vAlign w:val="center"/>
                </w:tcPr>
                <w:p w14:paraId="124E1C39">
                  <w:pPr>
                    <w:pStyle w:val="56"/>
                    <w:bidi w:val="0"/>
                    <w:jc w:val="left"/>
                    <w:rPr>
                      <w:rFonts w:hint="eastAsia" w:ascii="Times New Roman" w:hAnsi="Times New Roman" w:eastAsia="宋体" w:cs="Times New Roman"/>
                      <w:color w:val="auto"/>
                    </w:rPr>
                  </w:pPr>
                  <w:r>
                    <w:rPr>
                      <w:rFonts w:hint="eastAsia"/>
                    </w:rPr>
                    <w:t>除国家规定的外，禁止在国家湿地公园的岸线和河段范围内挖沙、采矿以及任何不符合主体功能定位的投资建设项目。</w:t>
                  </w:r>
                </w:p>
              </w:tc>
              <w:tc>
                <w:tcPr>
                  <w:tcW w:w="946" w:type="pct"/>
                  <w:tcBorders>
                    <w:tl2br w:val="nil"/>
                    <w:tr2bl w:val="nil"/>
                  </w:tcBorders>
                  <w:vAlign w:val="center"/>
                </w:tcPr>
                <w:p w14:paraId="533CBD09">
                  <w:pPr>
                    <w:pStyle w:val="56"/>
                    <w:bidi w:val="0"/>
                    <w:jc w:val="left"/>
                    <w:rPr>
                      <w:color w:val="auto"/>
                    </w:rPr>
                  </w:pPr>
                  <w:r>
                    <w:t>本项目不涉及</w:t>
                  </w:r>
                </w:p>
              </w:tc>
              <w:tc>
                <w:tcPr>
                  <w:tcW w:w="639" w:type="pct"/>
                  <w:tcBorders>
                    <w:tl2br w:val="nil"/>
                    <w:tr2bl w:val="nil"/>
                  </w:tcBorders>
                  <w:vAlign w:val="center"/>
                </w:tcPr>
                <w:p w14:paraId="4579988D">
                  <w:pPr>
                    <w:pStyle w:val="56"/>
                    <w:bidi w:val="0"/>
                    <w:rPr>
                      <w:color w:val="auto"/>
                    </w:rPr>
                  </w:pPr>
                  <w:r>
                    <w:t>符合</w:t>
                  </w:r>
                </w:p>
              </w:tc>
            </w:tr>
            <w:tr w14:paraId="6B23917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08" w:type="pct"/>
                  <w:tcBorders>
                    <w:tl2br w:val="nil"/>
                    <w:tr2bl w:val="nil"/>
                  </w:tcBorders>
                  <w:vAlign w:val="center"/>
                </w:tcPr>
                <w:p w14:paraId="36B32052">
                  <w:pPr>
                    <w:pStyle w:val="56"/>
                    <w:bidi w:val="0"/>
                    <w:rPr>
                      <w:color w:val="auto"/>
                    </w:rPr>
                  </w:pPr>
                  <w:r>
                    <w:t>8</w:t>
                  </w:r>
                </w:p>
              </w:tc>
              <w:tc>
                <w:tcPr>
                  <w:tcW w:w="3006" w:type="pct"/>
                  <w:tcBorders>
                    <w:tl2br w:val="nil"/>
                    <w:tr2bl w:val="nil"/>
                  </w:tcBorders>
                  <w:vAlign w:val="center"/>
                </w:tcPr>
                <w:p w14:paraId="4A3D451B">
                  <w:pPr>
                    <w:pStyle w:val="56"/>
                    <w:bidi w:val="0"/>
                    <w:jc w:val="left"/>
                    <w:rPr>
                      <w:rFonts w:hint="eastAsia" w:ascii="Times New Roman" w:hAnsi="Times New Roman" w:eastAsia="宋体" w:cs="Times New Roman"/>
                      <w:color w:val="auto"/>
                    </w:rPr>
                  </w:pPr>
                  <w:r>
                    <w:rPr>
                      <w:rFonts w:hint="eastAsia"/>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w:t>
                  </w:r>
                </w:p>
              </w:tc>
              <w:tc>
                <w:tcPr>
                  <w:tcW w:w="946" w:type="pct"/>
                  <w:tcBorders>
                    <w:tl2br w:val="nil"/>
                    <w:tr2bl w:val="nil"/>
                  </w:tcBorders>
                  <w:vAlign w:val="center"/>
                </w:tcPr>
                <w:p w14:paraId="5B2868C9">
                  <w:pPr>
                    <w:pStyle w:val="56"/>
                    <w:bidi w:val="0"/>
                    <w:jc w:val="left"/>
                    <w:rPr>
                      <w:color w:val="auto"/>
                    </w:rPr>
                  </w:pPr>
                  <w:r>
                    <w:t>本项目</w:t>
                  </w:r>
                  <w:r>
                    <w:rPr>
                      <w:rFonts w:hint="eastAsia"/>
                    </w:rPr>
                    <w:t>不涉及</w:t>
                  </w:r>
                </w:p>
              </w:tc>
              <w:tc>
                <w:tcPr>
                  <w:tcW w:w="639" w:type="pct"/>
                  <w:tcBorders>
                    <w:tl2br w:val="nil"/>
                    <w:tr2bl w:val="nil"/>
                  </w:tcBorders>
                  <w:vAlign w:val="center"/>
                </w:tcPr>
                <w:p w14:paraId="1A6BA986">
                  <w:pPr>
                    <w:pStyle w:val="56"/>
                    <w:bidi w:val="0"/>
                    <w:rPr>
                      <w:color w:val="auto"/>
                    </w:rPr>
                  </w:pPr>
                  <w:r>
                    <w:t>符合</w:t>
                  </w:r>
                </w:p>
              </w:tc>
            </w:tr>
            <w:tr w14:paraId="668217B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08" w:type="pct"/>
                  <w:tcBorders>
                    <w:tl2br w:val="nil"/>
                    <w:tr2bl w:val="nil"/>
                  </w:tcBorders>
                  <w:vAlign w:val="center"/>
                </w:tcPr>
                <w:p w14:paraId="54C12C67">
                  <w:pPr>
                    <w:pStyle w:val="56"/>
                    <w:bidi w:val="0"/>
                    <w:rPr>
                      <w:color w:val="auto"/>
                    </w:rPr>
                  </w:pPr>
                  <w:r>
                    <w:t>9</w:t>
                  </w:r>
                </w:p>
              </w:tc>
              <w:tc>
                <w:tcPr>
                  <w:tcW w:w="3006" w:type="pct"/>
                  <w:tcBorders>
                    <w:tl2br w:val="nil"/>
                    <w:tr2bl w:val="nil"/>
                  </w:tcBorders>
                  <w:vAlign w:val="center"/>
                </w:tcPr>
                <w:p w14:paraId="45F31637">
                  <w:pPr>
                    <w:pStyle w:val="56"/>
                    <w:bidi w:val="0"/>
                    <w:jc w:val="left"/>
                    <w:rPr>
                      <w:rFonts w:hint="eastAsia" w:ascii="Times New Roman" w:hAnsi="Times New Roman" w:eastAsia="宋体" w:cs="Times New Roman"/>
                      <w:color w:val="auto"/>
                    </w:rPr>
                  </w:pPr>
                  <w:r>
                    <w:rPr>
                      <w:rFonts w:hint="eastAsia"/>
                    </w:rPr>
                    <w:t>禁止在《全国重要江河湖泊水功能区划》划定的河段及湖泊保护区、保留区内投资建设不利于水资源及自然生态保护的项目。</w:t>
                  </w:r>
                </w:p>
              </w:tc>
              <w:tc>
                <w:tcPr>
                  <w:tcW w:w="946" w:type="pct"/>
                  <w:tcBorders>
                    <w:tl2br w:val="nil"/>
                    <w:tr2bl w:val="nil"/>
                  </w:tcBorders>
                  <w:vAlign w:val="center"/>
                </w:tcPr>
                <w:p w14:paraId="207B7CA9">
                  <w:pPr>
                    <w:pStyle w:val="56"/>
                    <w:bidi w:val="0"/>
                    <w:rPr>
                      <w:color w:val="auto"/>
                    </w:rPr>
                  </w:pPr>
                  <w:r>
                    <w:t>本项目不</w:t>
                  </w:r>
                  <w:r>
                    <w:rPr>
                      <w:rFonts w:hint="eastAsia"/>
                    </w:rPr>
                    <w:t>涉及</w:t>
                  </w:r>
                </w:p>
              </w:tc>
              <w:tc>
                <w:tcPr>
                  <w:tcW w:w="639" w:type="pct"/>
                  <w:tcBorders>
                    <w:tl2br w:val="nil"/>
                    <w:tr2bl w:val="nil"/>
                  </w:tcBorders>
                  <w:vAlign w:val="center"/>
                </w:tcPr>
                <w:p w14:paraId="2C826552">
                  <w:pPr>
                    <w:pStyle w:val="56"/>
                    <w:bidi w:val="0"/>
                    <w:rPr>
                      <w:color w:val="auto"/>
                    </w:rPr>
                  </w:pPr>
                  <w:r>
                    <w:t>符合</w:t>
                  </w:r>
                </w:p>
              </w:tc>
            </w:tr>
            <w:tr w14:paraId="69ACC79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1" w:hRule="atLeast"/>
                <w:jc w:val="center"/>
              </w:trPr>
              <w:tc>
                <w:tcPr>
                  <w:tcW w:w="408" w:type="pct"/>
                  <w:tcBorders>
                    <w:tl2br w:val="nil"/>
                    <w:tr2bl w:val="nil"/>
                  </w:tcBorders>
                  <w:vAlign w:val="center"/>
                </w:tcPr>
                <w:p w14:paraId="5AB92FBC">
                  <w:pPr>
                    <w:pStyle w:val="56"/>
                    <w:bidi w:val="0"/>
                    <w:rPr>
                      <w:color w:val="auto"/>
                    </w:rPr>
                  </w:pPr>
                  <w:r>
                    <w:t>10</w:t>
                  </w:r>
                </w:p>
              </w:tc>
              <w:tc>
                <w:tcPr>
                  <w:tcW w:w="3006" w:type="pct"/>
                  <w:tcBorders>
                    <w:tl2br w:val="nil"/>
                    <w:tr2bl w:val="nil"/>
                  </w:tcBorders>
                  <w:vAlign w:val="center"/>
                </w:tcPr>
                <w:p w14:paraId="2AF703DA">
                  <w:pPr>
                    <w:pStyle w:val="56"/>
                    <w:bidi w:val="0"/>
                    <w:jc w:val="left"/>
                    <w:rPr>
                      <w:rFonts w:hint="eastAsia" w:ascii="Times New Roman" w:hAnsi="Times New Roman" w:eastAsia="宋体" w:cs="Times New Roman"/>
                      <w:color w:val="auto"/>
                    </w:rPr>
                  </w:pPr>
                  <w:r>
                    <w:rPr>
                      <w:rFonts w:hint="eastAsia"/>
                    </w:rPr>
                    <w:t>禁止未经许可在长江干支流及湖泊新设、改设或扩大排污口。</w:t>
                  </w:r>
                </w:p>
              </w:tc>
              <w:tc>
                <w:tcPr>
                  <w:tcW w:w="946" w:type="pct"/>
                  <w:tcBorders>
                    <w:tl2br w:val="nil"/>
                    <w:tr2bl w:val="nil"/>
                  </w:tcBorders>
                  <w:vAlign w:val="center"/>
                </w:tcPr>
                <w:p w14:paraId="58A64BC4">
                  <w:pPr>
                    <w:pStyle w:val="56"/>
                    <w:bidi w:val="0"/>
                    <w:jc w:val="left"/>
                    <w:rPr>
                      <w:color w:val="auto"/>
                    </w:rPr>
                  </w:pPr>
                  <w:r>
                    <w:rPr>
                      <w:rFonts w:hint="eastAsia"/>
                    </w:rPr>
                    <w:t>本项目不涉及</w:t>
                  </w:r>
                </w:p>
              </w:tc>
              <w:tc>
                <w:tcPr>
                  <w:tcW w:w="639" w:type="pct"/>
                  <w:tcBorders>
                    <w:tl2br w:val="nil"/>
                    <w:tr2bl w:val="nil"/>
                  </w:tcBorders>
                  <w:vAlign w:val="center"/>
                </w:tcPr>
                <w:p w14:paraId="3EF31C57">
                  <w:pPr>
                    <w:pStyle w:val="56"/>
                    <w:bidi w:val="0"/>
                    <w:rPr>
                      <w:color w:val="auto"/>
                    </w:rPr>
                  </w:pPr>
                  <w:r>
                    <w:rPr>
                      <w:rFonts w:hint="eastAsia"/>
                    </w:rPr>
                    <w:t>符合</w:t>
                  </w:r>
                </w:p>
              </w:tc>
            </w:tr>
            <w:tr w14:paraId="44E944F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08" w:type="pct"/>
                  <w:tcBorders>
                    <w:tl2br w:val="nil"/>
                    <w:tr2bl w:val="nil"/>
                  </w:tcBorders>
                  <w:vAlign w:val="center"/>
                </w:tcPr>
                <w:p w14:paraId="5EC1DE3E">
                  <w:pPr>
                    <w:pStyle w:val="56"/>
                    <w:bidi w:val="0"/>
                    <w:rPr>
                      <w:color w:val="auto"/>
                    </w:rPr>
                  </w:pPr>
                  <w:r>
                    <w:t>11</w:t>
                  </w:r>
                </w:p>
              </w:tc>
              <w:tc>
                <w:tcPr>
                  <w:tcW w:w="3006" w:type="pct"/>
                  <w:tcBorders>
                    <w:tl2br w:val="nil"/>
                    <w:tr2bl w:val="nil"/>
                  </w:tcBorders>
                  <w:vAlign w:val="center"/>
                </w:tcPr>
                <w:p w14:paraId="7DCDF6F5">
                  <w:pPr>
                    <w:pStyle w:val="56"/>
                    <w:bidi w:val="0"/>
                    <w:jc w:val="left"/>
                    <w:rPr>
                      <w:rFonts w:hint="eastAsia" w:ascii="Times New Roman" w:hAnsi="Times New Roman" w:eastAsia="宋体" w:cs="Times New Roman"/>
                      <w:color w:val="auto"/>
                    </w:rPr>
                  </w:pPr>
                  <w:r>
                    <w:rPr>
                      <w:rFonts w:hint="eastAsia"/>
                    </w:rPr>
                    <w:t>禁止在长江干流江西段、鄱阳湖和《率先全面禁捕的长江流域水生生物保护区名录》中的水生生物保护区开展生产性捕捞。</w:t>
                  </w:r>
                </w:p>
              </w:tc>
              <w:tc>
                <w:tcPr>
                  <w:tcW w:w="946" w:type="pct"/>
                  <w:tcBorders>
                    <w:tl2br w:val="nil"/>
                    <w:tr2bl w:val="nil"/>
                  </w:tcBorders>
                  <w:vAlign w:val="center"/>
                </w:tcPr>
                <w:p w14:paraId="5638D1B3">
                  <w:pPr>
                    <w:pStyle w:val="56"/>
                    <w:bidi w:val="0"/>
                    <w:jc w:val="left"/>
                    <w:rPr>
                      <w:color w:val="auto"/>
                    </w:rPr>
                  </w:pPr>
                  <w:r>
                    <w:t>本项目不涉及</w:t>
                  </w:r>
                </w:p>
              </w:tc>
              <w:tc>
                <w:tcPr>
                  <w:tcW w:w="639" w:type="pct"/>
                  <w:tcBorders>
                    <w:tl2br w:val="nil"/>
                    <w:tr2bl w:val="nil"/>
                  </w:tcBorders>
                  <w:vAlign w:val="center"/>
                </w:tcPr>
                <w:p w14:paraId="7C70F9B3">
                  <w:pPr>
                    <w:pStyle w:val="56"/>
                    <w:bidi w:val="0"/>
                    <w:rPr>
                      <w:color w:val="auto"/>
                    </w:rPr>
                  </w:pPr>
                  <w:r>
                    <w:t>符合</w:t>
                  </w:r>
                </w:p>
              </w:tc>
            </w:tr>
            <w:tr w14:paraId="0C794E8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08" w:type="pct"/>
                  <w:tcBorders>
                    <w:tl2br w:val="nil"/>
                    <w:tr2bl w:val="nil"/>
                  </w:tcBorders>
                  <w:vAlign w:val="center"/>
                </w:tcPr>
                <w:p w14:paraId="2E084854">
                  <w:pPr>
                    <w:pStyle w:val="56"/>
                    <w:bidi w:val="0"/>
                    <w:rPr>
                      <w:color w:val="auto"/>
                    </w:rPr>
                  </w:pPr>
                  <w:r>
                    <w:t>12</w:t>
                  </w:r>
                </w:p>
              </w:tc>
              <w:tc>
                <w:tcPr>
                  <w:tcW w:w="3006" w:type="pct"/>
                  <w:tcBorders>
                    <w:tl2br w:val="nil"/>
                    <w:tr2bl w:val="nil"/>
                  </w:tcBorders>
                  <w:vAlign w:val="center"/>
                </w:tcPr>
                <w:p w14:paraId="23243324">
                  <w:pPr>
                    <w:pStyle w:val="56"/>
                    <w:bidi w:val="0"/>
                    <w:jc w:val="left"/>
                    <w:rPr>
                      <w:rFonts w:hint="eastAsia" w:ascii="Times New Roman" w:hAnsi="Times New Roman" w:eastAsia="宋体" w:cs="Times New Roman"/>
                      <w:color w:val="auto"/>
                    </w:rPr>
                  </w:pPr>
                  <w:r>
                    <w:rPr>
                      <w:rFonts w:hint="eastAsia"/>
                    </w:rPr>
                    <w:t>禁止在长江干支流、重要湖泊岸线一公里范围内新建、扩建化工园区和化工项目。</w:t>
                  </w:r>
                </w:p>
              </w:tc>
              <w:tc>
                <w:tcPr>
                  <w:tcW w:w="946" w:type="pct"/>
                  <w:tcBorders>
                    <w:tl2br w:val="nil"/>
                    <w:tr2bl w:val="nil"/>
                  </w:tcBorders>
                  <w:vAlign w:val="center"/>
                </w:tcPr>
                <w:p w14:paraId="55DFDD7A">
                  <w:pPr>
                    <w:pStyle w:val="56"/>
                    <w:bidi w:val="0"/>
                    <w:jc w:val="left"/>
                    <w:rPr>
                      <w:color w:val="auto"/>
                    </w:rPr>
                  </w:pPr>
                  <w:r>
                    <w:rPr>
                      <w:rFonts w:hint="eastAsia"/>
                    </w:rPr>
                    <w:t>本项目不涉及</w:t>
                  </w:r>
                </w:p>
              </w:tc>
              <w:tc>
                <w:tcPr>
                  <w:tcW w:w="639" w:type="pct"/>
                  <w:tcBorders>
                    <w:tl2br w:val="nil"/>
                    <w:tr2bl w:val="nil"/>
                  </w:tcBorders>
                  <w:vAlign w:val="center"/>
                </w:tcPr>
                <w:p w14:paraId="24907E64">
                  <w:pPr>
                    <w:pStyle w:val="56"/>
                    <w:bidi w:val="0"/>
                    <w:rPr>
                      <w:color w:val="auto"/>
                    </w:rPr>
                  </w:pPr>
                  <w:r>
                    <w:t>符合</w:t>
                  </w:r>
                </w:p>
              </w:tc>
            </w:tr>
            <w:tr w14:paraId="745D5BB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08" w:type="pct"/>
                  <w:tcBorders>
                    <w:tl2br w:val="nil"/>
                    <w:tr2bl w:val="nil"/>
                  </w:tcBorders>
                  <w:vAlign w:val="center"/>
                </w:tcPr>
                <w:p w14:paraId="637534E5">
                  <w:pPr>
                    <w:pStyle w:val="56"/>
                    <w:bidi w:val="0"/>
                    <w:rPr>
                      <w:color w:val="auto"/>
                    </w:rPr>
                  </w:pPr>
                  <w:r>
                    <w:t>13</w:t>
                  </w:r>
                </w:p>
              </w:tc>
              <w:tc>
                <w:tcPr>
                  <w:tcW w:w="3006" w:type="pct"/>
                  <w:tcBorders>
                    <w:tl2br w:val="nil"/>
                    <w:tr2bl w:val="nil"/>
                  </w:tcBorders>
                  <w:vAlign w:val="center"/>
                </w:tcPr>
                <w:p w14:paraId="2F2DEEE2">
                  <w:pPr>
                    <w:pStyle w:val="56"/>
                    <w:bidi w:val="0"/>
                    <w:jc w:val="left"/>
                    <w:rPr>
                      <w:rFonts w:hint="eastAsia" w:ascii="Times New Roman" w:hAnsi="Times New Roman" w:eastAsia="宋体" w:cs="Times New Roman"/>
                      <w:color w:val="auto"/>
                    </w:rPr>
                  </w:pPr>
                  <w:r>
                    <w:rPr>
                      <w:rFonts w:hint="eastAsia"/>
                    </w:rPr>
                    <w:t>禁止在合规园区外新建、扩建钢铁、石化、化工、焦化、建材、有色、制浆造纸等高污染项目。</w:t>
                  </w:r>
                </w:p>
              </w:tc>
              <w:tc>
                <w:tcPr>
                  <w:tcW w:w="946" w:type="pct"/>
                  <w:tcBorders>
                    <w:tl2br w:val="nil"/>
                    <w:tr2bl w:val="nil"/>
                  </w:tcBorders>
                  <w:vAlign w:val="center"/>
                </w:tcPr>
                <w:p w14:paraId="6E91C399">
                  <w:pPr>
                    <w:pStyle w:val="56"/>
                    <w:bidi w:val="0"/>
                    <w:jc w:val="left"/>
                    <w:rPr>
                      <w:color w:val="auto"/>
                    </w:rPr>
                  </w:pPr>
                  <w:r>
                    <w:rPr>
                      <w:rFonts w:hint="eastAsia"/>
                    </w:rPr>
                    <w:t>本项目不涉及</w:t>
                  </w:r>
                </w:p>
              </w:tc>
              <w:tc>
                <w:tcPr>
                  <w:tcW w:w="639" w:type="pct"/>
                  <w:tcBorders>
                    <w:tl2br w:val="nil"/>
                    <w:tr2bl w:val="nil"/>
                  </w:tcBorders>
                  <w:vAlign w:val="center"/>
                </w:tcPr>
                <w:p w14:paraId="74A61859">
                  <w:pPr>
                    <w:pStyle w:val="56"/>
                    <w:bidi w:val="0"/>
                    <w:rPr>
                      <w:color w:val="auto"/>
                    </w:rPr>
                  </w:pPr>
                  <w:r>
                    <w:rPr>
                      <w:rFonts w:hint="eastAsia"/>
                    </w:rPr>
                    <w:t>符合</w:t>
                  </w:r>
                </w:p>
              </w:tc>
            </w:tr>
            <w:tr w14:paraId="7DF8CEA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08" w:type="pct"/>
                  <w:tcBorders>
                    <w:tl2br w:val="nil"/>
                    <w:tr2bl w:val="nil"/>
                  </w:tcBorders>
                  <w:vAlign w:val="center"/>
                </w:tcPr>
                <w:p w14:paraId="02A2150D">
                  <w:pPr>
                    <w:pStyle w:val="56"/>
                    <w:bidi w:val="0"/>
                    <w:rPr>
                      <w:color w:val="auto"/>
                    </w:rPr>
                  </w:pPr>
                  <w:r>
                    <w:t>14</w:t>
                  </w:r>
                </w:p>
              </w:tc>
              <w:tc>
                <w:tcPr>
                  <w:tcW w:w="3006" w:type="pct"/>
                  <w:tcBorders>
                    <w:tl2br w:val="nil"/>
                    <w:tr2bl w:val="nil"/>
                  </w:tcBorders>
                  <w:vAlign w:val="center"/>
                </w:tcPr>
                <w:p w14:paraId="64D13DF1">
                  <w:pPr>
                    <w:pStyle w:val="56"/>
                    <w:bidi w:val="0"/>
                    <w:jc w:val="left"/>
                    <w:rPr>
                      <w:rFonts w:hint="eastAsia" w:ascii="Times New Roman" w:hAnsi="Times New Roman" w:eastAsia="宋体" w:cs="Times New Roman"/>
                      <w:color w:val="auto"/>
                    </w:rPr>
                  </w:pPr>
                  <w:r>
                    <w:rPr>
                      <w:rFonts w:hint="eastAsia"/>
                    </w:rPr>
                    <w:t>禁止新建、扩建不符合国家石化、现代煤化工等产业布局规划的项目。</w:t>
                  </w:r>
                </w:p>
              </w:tc>
              <w:tc>
                <w:tcPr>
                  <w:tcW w:w="946" w:type="pct"/>
                  <w:tcBorders>
                    <w:tl2br w:val="nil"/>
                    <w:tr2bl w:val="nil"/>
                  </w:tcBorders>
                  <w:vAlign w:val="center"/>
                </w:tcPr>
                <w:p w14:paraId="5521082E">
                  <w:pPr>
                    <w:pStyle w:val="56"/>
                    <w:bidi w:val="0"/>
                    <w:jc w:val="left"/>
                    <w:rPr>
                      <w:color w:val="auto"/>
                    </w:rPr>
                  </w:pPr>
                  <w:r>
                    <w:rPr>
                      <w:rFonts w:hint="eastAsia"/>
                    </w:rPr>
                    <w:t>本项目不涉及</w:t>
                  </w:r>
                </w:p>
              </w:tc>
              <w:tc>
                <w:tcPr>
                  <w:tcW w:w="639" w:type="pct"/>
                  <w:tcBorders>
                    <w:tl2br w:val="nil"/>
                    <w:tr2bl w:val="nil"/>
                  </w:tcBorders>
                  <w:vAlign w:val="center"/>
                </w:tcPr>
                <w:p w14:paraId="1412522D">
                  <w:pPr>
                    <w:pStyle w:val="56"/>
                    <w:bidi w:val="0"/>
                    <w:rPr>
                      <w:color w:val="auto"/>
                    </w:rPr>
                  </w:pPr>
                  <w:r>
                    <w:t>符合</w:t>
                  </w:r>
                </w:p>
              </w:tc>
            </w:tr>
            <w:tr w14:paraId="7EAF282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08" w:type="pct"/>
                  <w:tcBorders>
                    <w:tl2br w:val="nil"/>
                    <w:tr2bl w:val="nil"/>
                  </w:tcBorders>
                  <w:vAlign w:val="center"/>
                </w:tcPr>
                <w:p w14:paraId="629112ED">
                  <w:pPr>
                    <w:pStyle w:val="56"/>
                    <w:bidi w:val="0"/>
                    <w:rPr>
                      <w:color w:val="auto"/>
                    </w:rPr>
                  </w:pPr>
                  <w:r>
                    <w:t>15</w:t>
                  </w:r>
                </w:p>
              </w:tc>
              <w:tc>
                <w:tcPr>
                  <w:tcW w:w="3006" w:type="pct"/>
                  <w:tcBorders>
                    <w:tl2br w:val="nil"/>
                    <w:tr2bl w:val="nil"/>
                  </w:tcBorders>
                  <w:vAlign w:val="center"/>
                </w:tcPr>
                <w:p w14:paraId="07C5C3A6">
                  <w:pPr>
                    <w:pStyle w:val="56"/>
                    <w:bidi w:val="0"/>
                    <w:jc w:val="left"/>
                    <w:rPr>
                      <w:rFonts w:hint="eastAsia" w:ascii="Times New Roman" w:hAnsi="Times New Roman" w:eastAsia="宋体" w:cs="Times New Roman"/>
                      <w:color w:val="auto"/>
                    </w:rPr>
                  </w:pPr>
                  <w:r>
                    <w:rPr>
                      <w:rFonts w:hint="eastAsia"/>
                    </w:rPr>
                    <w:t>禁止新建、扩建法律法规和相关政策明令禁止的落后产能项目，严格执行《产业结构调整指导目录》中淘汰类和限制类有关规定，禁止开展投资建设属于淘汰类的项目及其相关活动，禁止开展投资新建﹑扩建属于限制类的项目及其相关活动。对于属于限制类的现有生产能力，允许企业在一定期限内采取措施改造升级，严禁以改造为名扩大产能。</w:t>
                  </w:r>
                </w:p>
              </w:tc>
              <w:tc>
                <w:tcPr>
                  <w:tcW w:w="946" w:type="pct"/>
                  <w:tcBorders>
                    <w:tl2br w:val="nil"/>
                    <w:tr2bl w:val="nil"/>
                  </w:tcBorders>
                  <w:vAlign w:val="center"/>
                </w:tcPr>
                <w:p w14:paraId="0698A5BD">
                  <w:pPr>
                    <w:pStyle w:val="56"/>
                    <w:bidi w:val="0"/>
                    <w:jc w:val="left"/>
                    <w:rPr>
                      <w:color w:val="auto"/>
                    </w:rPr>
                  </w:pPr>
                  <w:r>
                    <w:t>本项目属于</w:t>
                  </w:r>
                  <w:r>
                    <w:rPr>
                      <w:rFonts w:hint="eastAsia"/>
                    </w:rPr>
                    <w:t>允许</w:t>
                  </w:r>
                  <w:r>
                    <w:t>类</w:t>
                  </w:r>
                </w:p>
              </w:tc>
              <w:tc>
                <w:tcPr>
                  <w:tcW w:w="639" w:type="pct"/>
                  <w:tcBorders>
                    <w:tl2br w:val="nil"/>
                    <w:tr2bl w:val="nil"/>
                  </w:tcBorders>
                  <w:vAlign w:val="center"/>
                </w:tcPr>
                <w:p w14:paraId="670DF6E4">
                  <w:pPr>
                    <w:pStyle w:val="56"/>
                    <w:bidi w:val="0"/>
                    <w:rPr>
                      <w:color w:val="auto"/>
                    </w:rPr>
                  </w:pPr>
                  <w:r>
                    <w:t>符合</w:t>
                  </w:r>
                </w:p>
              </w:tc>
            </w:tr>
            <w:tr w14:paraId="1795EDB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08" w:type="pct"/>
                  <w:tcBorders>
                    <w:tl2br w:val="nil"/>
                    <w:tr2bl w:val="nil"/>
                  </w:tcBorders>
                  <w:vAlign w:val="center"/>
                </w:tcPr>
                <w:p w14:paraId="54CDDB0E">
                  <w:pPr>
                    <w:pStyle w:val="56"/>
                    <w:bidi w:val="0"/>
                    <w:rPr>
                      <w:color w:val="auto"/>
                    </w:rPr>
                  </w:pPr>
                  <w:r>
                    <w:t>16</w:t>
                  </w:r>
                </w:p>
              </w:tc>
              <w:tc>
                <w:tcPr>
                  <w:tcW w:w="3006" w:type="pct"/>
                  <w:tcBorders>
                    <w:tl2br w:val="nil"/>
                    <w:tr2bl w:val="nil"/>
                  </w:tcBorders>
                  <w:vAlign w:val="center"/>
                </w:tcPr>
                <w:p w14:paraId="46D7026D">
                  <w:pPr>
                    <w:pStyle w:val="56"/>
                    <w:bidi w:val="0"/>
                    <w:jc w:val="left"/>
                    <w:rPr>
                      <w:rFonts w:hint="eastAsia" w:ascii="Times New Roman" w:hAnsi="Times New Roman" w:eastAsia="宋体" w:cs="Times New Roman"/>
                      <w:color w:val="auto"/>
                    </w:rPr>
                  </w:pPr>
                  <w:r>
                    <w:rPr>
                      <w:rFonts w:hint="eastAsia"/>
                    </w:rPr>
                    <w:t>禁止新建、扩建不符合国家产能置换要求的钢铁、电解铝、水泥熟料、平板玻璃、船舶等严重过剩产能行业的项目。严格执行《国务院关于化解产能严重过剩矛盾的指导意见》，各地各部门不得以任何名义、任何方式新增产能；对确有必要建设的，必须严格执行产能置换实施办法，实施减量或等量置换，依法依规办理有关手续。</w:t>
                  </w:r>
                </w:p>
              </w:tc>
              <w:tc>
                <w:tcPr>
                  <w:tcW w:w="946" w:type="pct"/>
                  <w:tcBorders>
                    <w:tl2br w:val="nil"/>
                    <w:tr2bl w:val="nil"/>
                  </w:tcBorders>
                  <w:vAlign w:val="center"/>
                </w:tcPr>
                <w:p w14:paraId="3C79E47D">
                  <w:pPr>
                    <w:pStyle w:val="56"/>
                    <w:bidi w:val="0"/>
                    <w:jc w:val="left"/>
                    <w:rPr>
                      <w:color w:val="auto"/>
                    </w:rPr>
                  </w:pPr>
                  <w:r>
                    <w:rPr>
                      <w:rFonts w:hint="eastAsia"/>
                    </w:rPr>
                    <w:t>本项目不涉及</w:t>
                  </w:r>
                </w:p>
              </w:tc>
              <w:tc>
                <w:tcPr>
                  <w:tcW w:w="639" w:type="pct"/>
                  <w:tcBorders>
                    <w:tl2br w:val="nil"/>
                    <w:tr2bl w:val="nil"/>
                  </w:tcBorders>
                  <w:vAlign w:val="center"/>
                </w:tcPr>
                <w:p w14:paraId="764E23FD">
                  <w:pPr>
                    <w:pStyle w:val="56"/>
                    <w:bidi w:val="0"/>
                    <w:rPr>
                      <w:color w:val="auto"/>
                    </w:rPr>
                  </w:pPr>
                  <w:r>
                    <w:rPr>
                      <w:rFonts w:hint="eastAsia"/>
                    </w:rPr>
                    <w:t>符合</w:t>
                  </w:r>
                </w:p>
              </w:tc>
            </w:tr>
            <w:tr w14:paraId="0294F85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08" w:type="pct"/>
                  <w:tcBorders>
                    <w:tl2br w:val="nil"/>
                    <w:tr2bl w:val="nil"/>
                  </w:tcBorders>
                  <w:vAlign w:val="center"/>
                </w:tcPr>
                <w:p w14:paraId="6F77A716">
                  <w:pPr>
                    <w:pStyle w:val="56"/>
                    <w:bidi w:val="0"/>
                    <w:rPr>
                      <w:color w:val="auto"/>
                    </w:rPr>
                  </w:pPr>
                  <w:r>
                    <w:t>17</w:t>
                  </w:r>
                </w:p>
              </w:tc>
              <w:tc>
                <w:tcPr>
                  <w:tcW w:w="3006" w:type="pct"/>
                  <w:tcBorders>
                    <w:tl2br w:val="nil"/>
                    <w:tr2bl w:val="nil"/>
                  </w:tcBorders>
                  <w:vAlign w:val="center"/>
                </w:tcPr>
                <w:p w14:paraId="30A80B91">
                  <w:pPr>
                    <w:pStyle w:val="56"/>
                    <w:bidi w:val="0"/>
                    <w:jc w:val="left"/>
                    <w:rPr>
                      <w:rFonts w:hint="eastAsia" w:ascii="Times New Roman" w:hAnsi="Times New Roman" w:eastAsia="宋体" w:cs="Times New Roman"/>
                      <w:color w:val="auto"/>
                    </w:rPr>
                  </w:pPr>
                  <w:r>
                    <w:rPr>
                      <w:rFonts w:hint="eastAsia"/>
                    </w:rPr>
                    <w:t>禁止新建、扩建不符合要求的高耗能高排放项目。严格执行《江西省人民政府办公厅关于严格高耗能高排放项目准入管理的实施意见》（赣府厅发</w:t>
                  </w:r>
                  <w:r>
                    <w:rPr>
                      <w:rFonts w:hint="eastAsia"/>
                      <w:lang w:eastAsia="zh-CN"/>
                    </w:rPr>
                    <w:t>〔2021〕33号）</w:t>
                  </w:r>
                  <w:r>
                    <w:rPr>
                      <w:rFonts w:hint="eastAsia"/>
                    </w:rPr>
                    <w:t>，加强项目审查论证，落实等量、减量替代要求，规范项目行政审批。</w:t>
                  </w:r>
                </w:p>
              </w:tc>
              <w:tc>
                <w:tcPr>
                  <w:tcW w:w="946" w:type="pct"/>
                  <w:tcBorders>
                    <w:tl2br w:val="nil"/>
                    <w:tr2bl w:val="nil"/>
                  </w:tcBorders>
                  <w:vAlign w:val="center"/>
                </w:tcPr>
                <w:p w14:paraId="7840D878">
                  <w:pPr>
                    <w:pStyle w:val="56"/>
                    <w:bidi w:val="0"/>
                    <w:jc w:val="left"/>
                    <w:rPr>
                      <w:color w:val="auto"/>
                    </w:rPr>
                  </w:pPr>
                  <w:r>
                    <w:rPr>
                      <w:rFonts w:hint="eastAsia"/>
                    </w:rPr>
                    <w:t>本项目不涉及</w:t>
                  </w:r>
                </w:p>
              </w:tc>
              <w:tc>
                <w:tcPr>
                  <w:tcW w:w="639" w:type="pct"/>
                  <w:tcBorders>
                    <w:tl2br w:val="nil"/>
                    <w:tr2bl w:val="nil"/>
                  </w:tcBorders>
                  <w:vAlign w:val="center"/>
                </w:tcPr>
                <w:p w14:paraId="1A890A02">
                  <w:pPr>
                    <w:pStyle w:val="56"/>
                    <w:bidi w:val="0"/>
                    <w:rPr>
                      <w:color w:val="auto"/>
                    </w:rPr>
                  </w:pPr>
                  <w:r>
                    <w:t>符合</w:t>
                  </w:r>
                </w:p>
              </w:tc>
            </w:tr>
          </w:tbl>
          <w:p w14:paraId="36760700">
            <w:pPr>
              <w:pStyle w:val="2"/>
              <w:ind w:firstLine="440" w:firstLineChars="200"/>
              <w:jc w:val="left"/>
              <w:rPr>
                <w:rFonts w:hint="eastAsia" w:eastAsia="宋体"/>
                <w:lang w:val="en-US" w:eastAsia="zh-CN"/>
              </w:rPr>
            </w:pPr>
            <w:r>
              <w:rPr>
                <w:rFonts w:ascii="Times New Roman" w:cs="Times New Roman"/>
                <w:color w:val="auto"/>
              </w:rPr>
              <w:t>综上分析，项目满足《江西省长江经济带发展负面清单实施细则（试行）》（赣长江办〔2022〕7号）的要求，项目建设可行。</w:t>
            </w:r>
          </w:p>
        </w:tc>
      </w:tr>
    </w:tbl>
    <w:p w14:paraId="569578D5">
      <w:pPr>
        <w:pStyle w:val="38"/>
        <w:spacing w:line="240" w:lineRule="auto"/>
        <w:ind w:firstLine="600"/>
        <w:jc w:val="center"/>
        <w:outlineLvl w:val="0"/>
        <w:rPr>
          <w:rFonts w:hint="eastAsia" w:ascii="黑体" w:hAnsi="黑体" w:eastAsia="黑体"/>
          <w:snapToGrid w:val="0"/>
          <w:sz w:val="30"/>
          <w:szCs w:val="30"/>
        </w:rPr>
        <w:sectPr>
          <w:footerReference r:id="rId9" w:type="default"/>
          <w:pgSz w:w="11907" w:h="16840"/>
          <w:pgMar w:top="1531" w:right="1531" w:bottom="1531" w:left="1531" w:header="851" w:footer="851" w:gutter="0"/>
          <w:pgBorders>
            <w:top w:val="none" w:sz="0" w:space="0"/>
            <w:left w:val="none" w:sz="0" w:space="0"/>
            <w:bottom w:val="none" w:sz="0" w:space="0"/>
            <w:right w:val="none" w:sz="0" w:space="0"/>
          </w:pgBorders>
          <w:cols w:space="720" w:num="1"/>
          <w:docGrid w:linePitch="312" w:charSpace="0"/>
        </w:sectPr>
      </w:pPr>
      <w:bookmarkStart w:id="9" w:name="_Toc24119"/>
    </w:p>
    <w:p w14:paraId="678F0EE2">
      <w:pPr>
        <w:pStyle w:val="38"/>
        <w:spacing w:line="240" w:lineRule="auto"/>
        <w:ind w:firstLine="600"/>
        <w:jc w:val="center"/>
        <w:outlineLvl w:val="0"/>
        <w:rPr>
          <w:rFonts w:ascii="黑体" w:hAnsi="黑体" w:eastAsia="黑体"/>
          <w:snapToGrid w:val="0"/>
          <w:sz w:val="30"/>
          <w:szCs w:val="30"/>
          <w:vertAlign w:val="baseline"/>
        </w:rPr>
      </w:pPr>
      <w:r>
        <w:rPr>
          <w:rFonts w:hint="eastAsia" w:ascii="黑体" w:hAnsi="黑体" w:eastAsia="黑体"/>
          <w:snapToGrid w:val="0"/>
          <w:sz w:val="30"/>
          <w:szCs w:val="30"/>
        </w:rPr>
        <w:t>二、建设项目工程分析</w:t>
      </w:r>
      <w:bookmarkEnd w:id="9"/>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8614"/>
      </w:tblGrid>
      <w:tr w14:paraId="01DBB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tcPr>
          <w:p w14:paraId="02037C20">
            <w:pPr>
              <w:pStyle w:val="38"/>
              <w:spacing w:line="240" w:lineRule="auto"/>
              <w:jc w:val="center"/>
              <w:outlineLvl w:val="0"/>
              <w:rPr>
                <w:rFonts w:ascii="黑体" w:hAnsi="黑体" w:eastAsia="黑体"/>
                <w:snapToGrid w:val="0"/>
                <w:sz w:val="30"/>
                <w:szCs w:val="30"/>
                <w:vertAlign w:val="baseline"/>
              </w:rPr>
            </w:pPr>
          </w:p>
        </w:tc>
        <w:tc>
          <w:tcPr>
            <w:tcW w:w="8614" w:type="dxa"/>
          </w:tcPr>
          <w:p w14:paraId="2924264C">
            <w:pPr>
              <w:ind w:firstLine="482"/>
              <w:rPr>
                <w:b/>
                <w:bCs/>
              </w:rPr>
            </w:pPr>
            <w:r>
              <w:rPr>
                <w:b/>
                <w:bCs/>
              </w:rPr>
              <w:t>1、项目由来</w:t>
            </w:r>
          </w:p>
          <w:p w14:paraId="0F6A9E9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auto"/>
                <w:sz w:val="24"/>
                <w:szCs w:val="24"/>
                <w:highlight w:val="yellow"/>
                <w:lang w:val="en-US"/>
              </w:rPr>
            </w:pPr>
            <w:r>
              <w:rPr>
                <w:rFonts w:hint="default" w:ascii="Times New Roman" w:hAnsi="Times New Roman" w:eastAsia="宋体" w:cs="Times New Roman"/>
                <w:bCs/>
                <w:color w:val="auto"/>
                <w:sz w:val="24"/>
                <w:szCs w:val="24"/>
                <w:highlight w:val="none"/>
              </w:rPr>
              <w:t>由于</w:t>
            </w:r>
            <w:r>
              <w:rPr>
                <w:rFonts w:hint="eastAsia" w:ascii="Times New Roman" w:hAnsi="Times New Roman" w:eastAsia="宋体" w:cs="Times New Roman"/>
                <w:bCs/>
                <w:color w:val="auto"/>
                <w:sz w:val="24"/>
                <w:szCs w:val="24"/>
                <w:highlight w:val="none"/>
                <w:lang w:eastAsia="zh-CN"/>
              </w:rPr>
              <w:t>光伏发电</w:t>
            </w:r>
            <w:r>
              <w:rPr>
                <w:rFonts w:hint="default" w:ascii="Times New Roman" w:hAnsi="Times New Roman" w:eastAsia="宋体" w:cs="Times New Roman"/>
                <w:bCs/>
                <w:color w:val="auto"/>
                <w:sz w:val="24"/>
                <w:szCs w:val="24"/>
                <w:highlight w:val="none"/>
              </w:rPr>
              <w:t>市场发展，对</w:t>
            </w:r>
            <w:r>
              <w:rPr>
                <w:rFonts w:hint="eastAsia"/>
                <w:lang w:eastAsia="zh-CN"/>
              </w:rPr>
              <w:t>新型光伏发电折叠房屋、光伏预制装配式围墙、</w:t>
            </w:r>
            <w:r>
              <w:rPr>
                <w:rFonts w:hint="eastAsia"/>
                <w:lang w:val="en-US" w:eastAsia="zh-CN"/>
              </w:rPr>
              <w:t>ICF盖板、预制箱变基础、预制环网柜基础以及预制“小十件”</w:t>
            </w:r>
            <w:r>
              <w:rPr>
                <w:rFonts w:hint="default" w:ascii="Times New Roman" w:hAnsi="Times New Roman" w:eastAsia="宋体" w:cs="Times New Roman"/>
                <w:bCs/>
                <w:color w:val="auto"/>
                <w:sz w:val="24"/>
                <w:szCs w:val="24"/>
                <w:highlight w:val="none"/>
              </w:rPr>
              <w:t>需求越来越大，故本项目</w:t>
            </w:r>
            <w:r>
              <w:rPr>
                <w:rFonts w:hint="eastAsia" w:ascii="Times New Roman" w:hAnsi="Times New Roman" w:eastAsia="宋体" w:cs="Times New Roman"/>
                <w:bCs/>
                <w:color w:val="auto"/>
                <w:sz w:val="24"/>
                <w:szCs w:val="24"/>
                <w:highlight w:val="none"/>
                <w:lang w:eastAsia="zh-CN"/>
              </w:rPr>
              <w:t>购置</w:t>
            </w:r>
            <w:r>
              <w:rPr>
                <w:rFonts w:hint="eastAsia" w:ascii="Times New Roman" w:hAnsi="Times New Roman" w:cs="Times New Roman"/>
                <w:sz w:val="24"/>
              </w:rPr>
              <w:t>江西高安高新技术产业园区新世纪产业园</w:t>
            </w:r>
            <w:r>
              <w:rPr>
                <w:rFonts w:hint="eastAsia" w:cs="Times New Roman"/>
                <w:sz w:val="24"/>
                <w:lang w:eastAsia="zh-CN"/>
              </w:rPr>
              <w:t>祥符收费站组团现有土地进行建设</w:t>
            </w:r>
            <w:r>
              <w:rPr>
                <w:rFonts w:hint="default" w:ascii="Times New Roman" w:hAnsi="Times New Roman" w:eastAsia="宋体" w:cs="Times New Roman"/>
                <w:bCs/>
                <w:color w:val="auto"/>
                <w:sz w:val="24"/>
                <w:szCs w:val="24"/>
                <w:highlight w:val="none"/>
              </w:rPr>
              <w:t>，</w:t>
            </w:r>
            <w:r>
              <w:rPr>
                <w:rFonts w:hint="default" w:ascii="Times New Roman" w:hAnsi="Times New Roman" w:eastAsia="宋体" w:cs="Times New Roman"/>
                <w:bCs/>
                <w:color w:val="FF0000"/>
                <w:sz w:val="24"/>
                <w:szCs w:val="24"/>
                <w:highlight w:val="none"/>
              </w:rPr>
              <w:t>总</w:t>
            </w:r>
            <w:r>
              <w:rPr>
                <w:rFonts w:hint="eastAsia" w:cs="Times New Roman"/>
                <w:bCs/>
                <w:color w:val="FF0000"/>
                <w:sz w:val="24"/>
                <w:szCs w:val="24"/>
                <w:highlight w:val="none"/>
                <w:lang w:val="en-US" w:eastAsia="zh-CN"/>
              </w:rPr>
              <w:t>占地面积</w:t>
            </w:r>
            <w:r>
              <w:rPr>
                <w:rFonts w:hint="default" w:ascii="Times New Roman" w:hAnsi="Times New Roman" w:eastAsia="宋体" w:cs="Times New Roman"/>
                <w:bCs/>
                <w:color w:val="FF0000"/>
                <w:sz w:val="24"/>
                <w:szCs w:val="24"/>
                <w:highlight w:val="none"/>
              </w:rPr>
              <w:t>为</w:t>
            </w:r>
            <w:r>
              <w:rPr>
                <w:rFonts w:hint="eastAsia" w:cs="Times New Roman"/>
                <w:bCs/>
                <w:color w:val="FF0000"/>
                <w:sz w:val="24"/>
                <w:szCs w:val="24"/>
                <w:highlight w:val="none"/>
                <w:lang w:val="en-US" w:eastAsia="zh-CN"/>
              </w:rPr>
              <w:t>28707</w:t>
            </w:r>
            <w:r>
              <w:rPr>
                <w:rFonts w:hint="default" w:ascii="Times New Roman" w:hAnsi="Times New Roman" w:eastAsia="宋体" w:cs="Times New Roman"/>
                <w:bCs/>
                <w:color w:val="FF0000"/>
                <w:sz w:val="24"/>
                <w:szCs w:val="24"/>
                <w:highlight w:val="none"/>
              </w:rPr>
              <w:t>平方米，建设办公楼、生产车间及辅助设施，总建筑面积</w:t>
            </w:r>
            <w:r>
              <w:rPr>
                <w:rFonts w:hint="eastAsia" w:cs="Times New Roman"/>
                <w:bCs/>
                <w:color w:val="FF0000"/>
                <w:sz w:val="24"/>
                <w:szCs w:val="24"/>
                <w:highlight w:val="none"/>
                <w:lang w:val="en-US" w:eastAsia="zh-CN"/>
              </w:rPr>
              <w:t>31378.2</w:t>
            </w:r>
            <w:r>
              <w:rPr>
                <w:rFonts w:hint="default" w:ascii="Times New Roman" w:hAnsi="Times New Roman" w:eastAsia="宋体" w:cs="Times New Roman"/>
                <w:bCs/>
                <w:color w:val="FF0000"/>
                <w:sz w:val="24"/>
                <w:szCs w:val="24"/>
                <w:highlight w:val="none"/>
              </w:rPr>
              <w:t>平方米</w:t>
            </w:r>
            <w:r>
              <w:rPr>
                <w:rFonts w:hint="default" w:ascii="Times New Roman" w:hAnsi="Times New Roman" w:eastAsia="宋体" w:cs="Times New Roman"/>
                <w:bCs/>
                <w:color w:val="auto"/>
                <w:sz w:val="24"/>
                <w:szCs w:val="24"/>
                <w:highlight w:val="none"/>
              </w:rPr>
              <w:t>。项目全部建成后，年产</w:t>
            </w:r>
            <w:r>
              <w:rPr>
                <w:rFonts w:hint="eastAsia"/>
                <w:lang w:eastAsia="zh-CN"/>
              </w:rPr>
              <w:t>新型光伏发电折叠房屋</w:t>
            </w:r>
            <w:r>
              <w:rPr>
                <w:rFonts w:hint="eastAsia"/>
                <w:lang w:val="en-US" w:eastAsia="zh-CN"/>
              </w:rPr>
              <w:t>6400个</w:t>
            </w:r>
            <w:r>
              <w:rPr>
                <w:rFonts w:hint="eastAsia"/>
                <w:lang w:eastAsia="zh-CN"/>
              </w:rPr>
              <w:t>、光伏预制装配式围墙</w:t>
            </w:r>
            <w:r>
              <w:rPr>
                <w:rFonts w:hint="eastAsia"/>
                <w:lang w:val="en-US" w:eastAsia="zh-CN"/>
              </w:rPr>
              <w:t>41300米</w:t>
            </w:r>
            <w:r>
              <w:rPr>
                <w:rFonts w:hint="eastAsia"/>
                <w:lang w:eastAsia="zh-CN"/>
              </w:rPr>
              <w:t>、</w:t>
            </w:r>
            <w:r>
              <w:rPr>
                <w:rFonts w:hint="eastAsia"/>
                <w:lang w:val="en-US" w:eastAsia="zh-CN"/>
              </w:rPr>
              <w:t>ICF盖板33000块、预制箱变基础825套、预制环网柜基础620套以及预制“小十件”99000件</w:t>
            </w:r>
            <w:r>
              <w:rPr>
                <w:rFonts w:hint="default" w:ascii="Times New Roman" w:hAnsi="Times New Roman" w:eastAsia="宋体" w:cs="Times New Roman"/>
                <w:bCs/>
                <w:color w:val="auto"/>
                <w:sz w:val="24"/>
                <w:szCs w:val="24"/>
                <w:highlight w:val="none"/>
                <w:lang w:val="en-US" w:eastAsia="zh-CN"/>
              </w:rPr>
              <w:t>。</w:t>
            </w:r>
          </w:p>
          <w:p w14:paraId="6BBB3F4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根据《建设项目环境影响评价分类管理名录》（2021年版），项目属于二十七、非金属矿物制品业30-55石膏、水泥制品及类似制品制造302</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商品混凝土；砼结构构件制造；水泥制品制造”，应编制环境影响报告表。</w:t>
            </w:r>
            <w:r>
              <w:rPr>
                <w:rFonts w:hint="eastAsia" w:cs="Times New Roman"/>
                <w:color w:val="auto"/>
                <w:sz w:val="24"/>
                <w:szCs w:val="24"/>
                <w:highlight w:val="none"/>
                <w:lang w:eastAsia="zh-CN"/>
              </w:rPr>
              <w:t>江西中超建设工程有限公司高安分公司</w:t>
            </w:r>
            <w:r>
              <w:rPr>
                <w:rFonts w:hint="default" w:ascii="Times New Roman" w:hAnsi="Times New Roman" w:eastAsia="宋体" w:cs="Times New Roman"/>
                <w:color w:val="auto"/>
                <w:sz w:val="24"/>
                <w:szCs w:val="24"/>
                <w:highlight w:val="none"/>
              </w:rPr>
              <w:t>委托我公司承担该项目的环境影响报告表的编制工作，接受委托后，我单位立即开展了现场踏勘资料收集等工作，并按照《建设项目环境影响报告表编制技术指南（污染影响类（试行）》的规定编制完成了本项目环境影响报告表。</w:t>
            </w:r>
          </w:p>
          <w:p w14:paraId="2547EF84">
            <w:pPr>
              <w:ind w:firstLine="482"/>
              <w:rPr>
                <w:b/>
                <w:bCs/>
              </w:rPr>
            </w:pPr>
            <w:r>
              <w:rPr>
                <w:rFonts w:hint="eastAsia"/>
                <w:b/>
                <w:bCs/>
              </w:rPr>
              <w:t>2、</w:t>
            </w:r>
            <w:r>
              <w:rPr>
                <w:b/>
                <w:bCs/>
              </w:rPr>
              <w:t>工程建设内容</w:t>
            </w:r>
          </w:p>
          <w:p w14:paraId="05B6A58C">
            <w:pPr>
              <w:ind w:firstLine="480"/>
            </w:pPr>
            <w:r>
              <w:t>建设内容见表</w:t>
            </w:r>
            <w:r>
              <w:rPr>
                <w:rFonts w:hint="eastAsia"/>
              </w:rPr>
              <w:t>2-1</w:t>
            </w:r>
            <w:r>
              <w:t>。</w:t>
            </w:r>
          </w:p>
          <w:p w14:paraId="05B0A11D">
            <w:pPr>
              <w:pStyle w:val="59"/>
              <w:numPr>
                <w:ilvl w:val="0"/>
                <w:numId w:val="0"/>
              </w:numPr>
              <w:tabs>
                <w:tab w:val="left" w:pos="0"/>
              </w:tabs>
              <w:ind w:leftChars="0"/>
              <w:jc w:val="center"/>
              <w:rPr>
                <w:rFonts w:hint="eastAsia" w:eastAsia="宋体"/>
                <w:b/>
                <w:bCs/>
                <w:highlight w:val="none"/>
                <w:lang w:val="en-US" w:eastAsia="zh-CN"/>
              </w:rPr>
            </w:pPr>
            <w:r>
              <w:rPr>
                <w:rFonts w:hint="eastAsia"/>
                <w:b/>
                <w:bCs/>
                <w:highlight w:val="none"/>
                <w:lang w:val="en-US" w:eastAsia="zh-CN"/>
              </w:rPr>
              <w:t xml:space="preserve">表2-1 </w:t>
            </w:r>
            <w:r>
              <w:rPr>
                <w:b/>
                <w:bCs/>
                <w:highlight w:val="none"/>
              </w:rPr>
              <w:t>项目组成</w:t>
            </w:r>
            <w:r>
              <w:rPr>
                <w:rFonts w:hint="eastAsia"/>
                <w:b/>
                <w:bCs/>
                <w:highlight w:val="none"/>
              </w:rPr>
              <w:t>与主要建设内容</w:t>
            </w:r>
            <w:r>
              <w:rPr>
                <w:b/>
                <w:bCs/>
                <w:highlight w:val="none"/>
              </w:rPr>
              <w:t>一览表</w:t>
            </w:r>
          </w:p>
          <w:tbl>
            <w:tblPr>
              <w:tblStyle w:val="41"/>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67"/>
              <w:gridCol w:w="473"/>
              <w:gridCol w:w="1013"/>
              <w:gridCol w:w="5861"/>
              <w:gridCol w:w="474"/>
            </w:tblGrid>
            <w:tr w14:paraId="202BC3B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35" w:hRule="atLeast"/>
                <w:jc w:val="center"/>
              </w:trPr>
              <w:tc>
                <w:tcPr>
                  <w:tcW w:w="2053" w:type="dxa"/>
                  <w:gridSpan w:val="3"/>
                  <w:tcBorders>
                    <w:right w:val="single" w:color="auto" w:sz="4" w:space="0"/>
                  </w:tcBorders>
                  <w:noWrap w:val="0"/>
                  <w:vAlign w:val="center"/>
                </w:tcPr>
                <w:p w14:paraId="6EABF25C">
                  <w:pPr>
                    <w:pStyle w:val="56"/>
                    <w:bidi w:val="0"/>
                    <w:rPr>
                      <w:rFonts w:hint="default" w:ascii="Times New Roman" w:hAnsi="Times New Roman" w:eastAsia="宋体" w:cs="Times New Roman"/>
                      <w:szCs w:val="21"/>
                      <w:lang w:val="en-US" w:eastAsia="zh-CN"/>
                    </w:rPr>
                  </w:pPr>
                  <w:r>
                    <w:rPr>
                      <w:rFonts w:hint="default"/>
                      <w:lang w:val="en-US" w:eastAsia="zh-CN"/>
                    </w:rPr>
                    <w:t>工程组成</w:t>
                  </w:r>
                </w:p>
              </w:tc>
              <w:tc>
                <w:tcPr>
                  <w:tcW w:w="5861" w:type="dxa"/>
                  <w:tcBorders>
                    <w:left w:val="single" w:color="auto" w:sz="4" w:space="0"/>
                  </w:tcBorders>
                  <w:noWrap w:val="0"/>
                  <w:vAlign w:val="center"/>
                </w:tcPr>
                <w:p w14:paraId="30215DE5">
                  <w:pPr>
                    <w:pStyle w:val="56"/>
                    <w:bidi w:val="0"/>
                    <w:rPr>
                      <w:rFonts w:hint="default" w:ascii="Times New Roman" w:hAnsi="Times New Roman" w:eastAsia="宋体" w:cs="Times New Roman"/>
                      <w:szCs w:val="21"/>
                      <w:lang w:val="en-US" w:eastAsia="zh-CN"/>
                    </w:rPr>
                  </w:pPr>
                  <w:r>
                    <w:rPr>
                      <w:rFonts w:hint="default"/>
                      <w:lang w:val="en-US" w:eastAsia="zh-CN"/>
                    </w:rPr>
                    <w:t>建设内容</w:t>
                  </w:r>
                </w:p>
              </w:tc>
              <w:tc>
                <w:tcPr>
                  <w:tcW w:w="474" w:type="dxa"/>
                  <w:tcBorders>
                    <w:left w:val="single" w:color="auto" w:sz="4" w:space="0"/>
                  </w:tcBorders>
                  <w:noWrap w:val="0"/>
                  <w:vAlign w:val="center"/>
                </w:tcPr>
                <w:p w14:paraId="755D567D">
                  <w:pPr>
                    <w:pStyle w:val="56"/>
                    <w:bidi w:val="0"/>
                    <w:rPr>
                      <w:rFonts w:hint="default" w:ascii="Times New Roman" w:hAnsi="Times New Roman" w:eastAsia="宋体" w:cs="Times New Roman"/>
                      <w:szCs w:val="21"/>
                      <w:lang w:val="en-US" w:eastAsia="zh-CN"/>
                    </w:rPr>
                  </w:pPr>
                  <w:r>
                    <w:rPr>
                      <w:rFonts w:hint="default"/>
                      <w:lang w:val="en-US" w:eastAsia="zh-CN"/>
                    </w:rPr>
                    <w:t>备注</w:t>
                  </w:r>
                </w:p>
              </w:tc>
            </w:tr>
            <w:tr w14:paraId="63DCD52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567" w:type="dxa"/>
                  <w:vMerge w:val="restart"/>
                  <w:noWrap w:val="0"/>
                  <w:vAlign w:val="center"/>
                </w:tcPr>
                <w:p w14:paraId="57C7E267">
                  <w:pPr>
                    <w:pStyle w:val="56"/>
                    <w:bidi w:val="0"/>
                    <w:rPr>
                      <w:rFonts w:hint="default" w:ascii="Times New Roman" w:hAnsi="Times New Roman" w:eastAsia="宋体" w:cs="Times New Roman"/>
                      <w:szCs w:val="21"/>
                      <w:lang w:val="en-US" w:eastAsia="zh-CN"/>
                    </w:rPr>
                  </w:pPr>
                  <w:r>
                    <w:rPr>
                      <w:rFonts w:hint="default"/>
                      <w:lang w:val="en-US" w:eastAsia="zh-CN"/>
                    </w:rPr>
                    <w:t>主体工程</w:t>
                  </w:r>
                </w:p>
              </w:tc>
              <w:tc>
                <w:tcPr>
                  <w:tcW w:w="1486" w:type="dxa"/>
                  <w:gridSpan w:val="2"/>
                  <w:vMerge w:val="restart"/>
                  <w:tcBorders>
                    <w:right w:val="single" w:color="auto" w:sz="4" w:space="0"/>
                  </w:tcBorders>
                  <w:noWrap w:val="0"/>
                  <w:vAlign w:val="center"/>
                </w:tcPr>
                <w:p w14:paraId="2437DB46">
                  <w:pPr>
                    <w:pStyle w:val="56"/>
                    <w:bidi w:val="0"/>
                    <w:rPr>
                      <w:rFonts w:hint="eastAsia" w:ascii="Times New Roman" w:hAnsi="Times New Roman" w:eastAsia="宋体" w:cs="Times New Roman"/>
                      <w:szCs w:val="21"/>
                      <w:lang w:val="en-US" w:eastAsia="zh-CN"/>
                    </w:rPr>
                  </w:pPr>
                  <w:r>
                    <w:rPr>
                      <w:rFonts w:hint="eastAsia"/>
                      <w:lang w:val="en-US" w:eastAsia="zh-CN"/>
                    </w:rPr>
                    <w:t>1#生产车间</w:t>
                  </w:r>
                </w:p>
              </w:tc>
              <w:tc>
                <w:tcPr>
                  <w:tcW w:w="5861" w:type="dxa"/>
                  <w:tcBorders>
                    <w:left w:val="single" w:color="auto" w:sz="4" w:space="0"/>
                    <w:bottom w:val="single" w:color="auto" w:sz="4" w:space="0"/>
                  </w:tcBorders>
                  <w:noWrap w:val="0"/>
                  <w:vAlign w:val="center"/>
                </w:tcPr>
                <w:p w14:paraId="63C80309">
                  <w:pPr>
                    <w:pStyle w:val="56"/>
                    <w:bidi w:val="0"/>
                    <w:jc w:val="left"/>
                    <w:rPr>
                      <w:rFonts w:hint="default" w:ascii="Times New Roman" w:hAnsi="Times New Roman" w:eastAsia="宋体" w:cs="Times New Roman"/>
                      <w:color w:val="auto"/>
                      <w:szCs w:val="21"/>
                      <w:lang w:val="en-US" w:eastAsia="zh-CN"/>
                    </w:rPr>
                  </w:pPr>
                  <w:r>
                    <w:rPr>
                      <w:rFonts w:hint="eastAsia"/>
                      <w:lang w:val="en-US" w:eastAsia="zh-CN"/>
                    </w:rPr>
                    <w:t>1F钢结构厂房，占地</w:t>
                  </w:r>
                  <w:r>
                    <w:t>面积</w:t>
                  </w:r>
                  <w:r>
                    <w:rPr>
                      <w:rFonts w:hint="eastAsia"/>
                      <w:lang w:val="en-US" w:eastAsia="zh-CN"/>
                    </w:rPr>
                    <w:t>6882.96</w:t>
                  </w:r>
                  <w:r>
                    <w:t>m</w:t>
                  </w:r>
                  <w:r>
                    <w:rPr>
                      <w:vertAlign w:val="superscript"/>
                    </w:rPr>
                    <w:t>2</w:t>
                  </w:r>
                  <w:r>
                    <w:rPr>
                      <w:rFonts w:hint="eastAsia"/>
                      <w:lang w:eastAsia="zh-CN"/>
                    </w:rPr>
                    <w:t>（</w:t>
                  </w:r>
                  <w:r>
                    <w:rPr>
                      <w:rFonts w:hint="eastAsia"/>
                      <w:lang w:val="en-US" w:eastAsia="zh-CN"/>
                    </w:rPr>
                    <w:t>长142.8m*宽48.2m*高9.25m</w:t>
                  </w:r>
                  <w:r>
                    <w:rPr>
                      <w:rFonts w:hint="eastAsia"/>
                      <w:lang w:eastAsia="zh-CN"/>
                    </w:rPr>
                    <w:t>），</w:t>
                  </w:r>
                  <w:r>
                    <w:rPr>
                      <w:rFonts w:hint="eastAsia"/>
                      <w:color w:val="FF0000"/>
                      <w:lang w:val="en-US" w:eastAsia="zh-CN"/>
                    </w:rPr>
                    <w:t>建筑面积6882.96</w:t>
                  </w:r>
                  <w:r>
                    <w:rPr>
                      <w:color w:val="FF0000"/>
                    </w:rPr>
                    <w:t>m</w:t>
                  </w:r>
                  <w:r>
                    <w:rPr>
                      <w:color w:val="FF0000"/>
                      <w:vertAlign w:val="superscript"/>
                    </w:rPr>
                    <w:t>2</w:t>
                  </w:r>
                  <w:r>
                    <w:t>，</w:t>
                  </w:r>
                  <w:r>
                    <w:rPr>
                      <w:rFonts w:hint="eastAsia"/>
                      <w:lang w:val="en-US" w:eastAsia="zh-CN"/>
                    </w:rPr>
                    <w:t>分为砂石原料区、钢材原料区及焊接生产区，成品区。</w:t>
                  </w:r>
                </w:p>
              </w:tc>
              <w:tc>
                <w:tcPr>
                  <w:tcW w:w="474" w:type="dxa"/>
                  <w:vMerge w:val="restart"/>
                  <w:tcBorders>
                    <w:left w:val="single" w:color="auto" w:sz="4" w:space="0"/>
                  </w:tcBorders>
                  <w:noWrap w:val="0"/>
                  <w:vAlign w:val="center"/>
                </w:tcPr>
                <w:p w14:paraId="0CB1C855">
                  <w:pPr>
                    <w:pStyle w:val="56"/>
                    <w:bidi w:val="0"/>
                    <w:rPr>
                      <w:rFonts w:hint="default" w:ascii="Times New Roman" w:hAnsi="Times New Roman" w:eastAsia="宋体" w:cs="Times New Roman"/>
                      <w:szCs w:val="21"/>
                      <w:lang w:val="en-US" w:eastAsia="zh-CN"/>
                    </w:rPr>
                  </w:pPr>
                  <w:r>
                    <w:rPr>
                      <w:rFonts w:hint="eastAsia"/>
                      <w:lang w:val="en-US" w:eastAsia="zh-CN"/>
                    </w:rPr>
                    <w:t>新建</w:t>
                  </w:r>
                </w:p>
              </w:tc>
            </w:tr>
            <w:tr w14:paraId="5411361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567" w:type="dxa"/>
                  <w:vMerge w:val="continue"/>
                  <w:noWrap w:val="0"/>
                  <w:vAlign w:val="center"/>
                </w:tcPr>
                <w:p w14:paraId="5330C639">
                  <w:pPr>
                    <w:pStyle w:val="56"/>
                    <w:bidi w:val="0"/>
                    <w:spacing w:line="240" w:lineRule="auto"/>
                    <w:rPr>
                      <w:rFonts w:hint="default" w:ascii="Times New Roman" w:hAnsi="Times New Roman" w:eastAsia="宋体" w:cs="Times New Roman"/>
                      <w:sz w:val="21"/>
                      <w:szCs w:val="21"/>
                      <w:lang w:val="en-US" w:eastAsia="zh-CN"/>
                    </w:rPr>
                  </w:pPr>
                </w:p>
              </w:tc>
              <w:tc>
                <w:tcPr>
                  <w:tcW w:w="1486" w:type="dxa"/>
                  <w:gridSpan w:val="2"/>
                  <w:vMerge w:val="continue"/>
                  <w:tcBorders>
                    <w:right w:val="single" w:color="auto" w:sz="4" w:space="0"/>
                  </w:tcBorders>
                  <w:noWrap w:val="0"/>
                  <w:vAlign w:val="center"/>
                </w:tcPr>
                <w:p w14:paraId="15A4CA4C">
                  <w:pPr>
                    <w:pStyle w:val="56"/>
                    <w:bidi w:val="0"/>
                    <w:spacing w:line="240" w:lineRule="auto"/>
                    <w:rPr>
                      <w:rFonts w:hint="eastAsia" w:cs="Times New Roman"/>
                      <w:sz w:val="21"/>
                      <w:szCs w:val="21"/>
                      <w:lang w:val="en-US" w:eastAsia="zh-CN"/>
                    </w:rPr>
                  </w:pPr>
                </w:p>
              </w:tc>
              <w:tc>
                <w:tcPr>
                  <w:tcW w:w="5861" w:type="dxa"/>
                  <w:tcBorders>
                    <w:left w:val="single" w:color="auto" w:sz="4" w:space="0"/>
                    <w:bottom w:val="single" w:color="auto" w:sz="4" w:space="0"/>
                  </w:tcBorders>
                  <w:noWrap w:val="0"/>
                  <w:vAlign w:val="center"/>
                </w:tcPr>
                <w:p w14:paraId="12D1DF38">
                  <w:pPr>
                    <w:pStyle w:val="56"/>
                    <w:bidi w:val="0"/>
                    <w:jc w:val="left"/>
                    <w:rPr>
                      <w:rFonts w:hint="default" w:eastAsia="宋体" w:cs="Times New Roman"/>
                      <w:color w:val="auto"/>
                      <w:szCs w:val="21"/>
                      <w:lang w:val="en-US" w:eastAsia="zh-CN"/>
                    </w:rPr>
                  </w:pPr>
                  <w:r>
                    <w:rPr>
                      <w:rFonts w:hint="eastAsia"/>
                      <w:lang w:val="en-US" w:eastAsia="zh-CN"/>
                    </w:rPr>
                    <w:t>砂石原料区：位于厂房西部，占地2000</w:t>
                  </w:r>
                  <w:r>
                    <w:t>m</w:t>
                  </w:r>
                  <w:r>
                    <w:rPr>
                      <w:vertAlign w:val="superscript"/>
                    </w:rPr>
                    <w:t>2</w:t>
                  </w:r>
                  <w:r>
                    <w:rPr>
                      <w:rFonts w:hint="eastAsia"/>
                      <w:lang w:val="en-US" w:eastAsia="zh-CN"/>
                    </w:rPr>
                    <w:t>，作为机制砂、碎石原料存储区域。</w:t>
                  </w:r>
                </w:p>
              </w:tc>
              <w:tc>
                <w:tcPr>
                  <w:tcW w:w="474" w:type="dxa"/>
                  <w:vMerge w:val="continue"/>
                  <w:tcBorders>
                    <w:left w:val="single" w:color="auto" w:sz="4" w:space="0"/>
                  </w:tcBorders>
                  <w:noWrap w:val="0"/>
                  <w:vAlign w:val="center"/>
                </w:tcPr>
                <w:p w14:paraId="3B776724">
                  <w:pPr>
                    <w:pStyle w:val="56"/>
                    <w:bidi w:val="0"/>
                    <w:spacing w:line="240" w:lineRule="auto"/>
                    <w:rPr>
                      <w:rFonts w:hint="eastAsia" w:ascii="Times New Roman" w:hAnsi="Times New Roman" w:eastAsia="宋体" w:cs="Times New Roman"/>
                      <w:sz w:val="21"/>
                      <w:szCs w:val="21"/>
                      <w:lang w:val="en-US" w:eastAsia="zh-CN"/>
                    </w:rPr>
                  </w:pPr>
                </w:p>
              </w:tc>
            </w:tr>
            <w:tr w14:paraId="79122B4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567" w:type="dxa"/>
                  <w:vMerge w:val="continue"/>
                  <w:noWrap w:val="0"/>
                  <w:vAlign w:val="center"/>
                </w:tcPr>
                <w:p w14:paraId="6944E8C8">
                  <w:pPr>
                    <w:pStyle w:val="56"/>
                    <w:bidi w:val="0"/>
                    <w:spacing w:line="240" w:lineRule="auto"/>
                    <w:rPr>
                      <w:rFonts w:hint="default" w:ascii="Times New Roman" w:hAnsi="Times New Roman" w:eastAsia="宋体" w:cs="Times New Roman"/>
                      <w:sz w:val="21"/>
                      <w:szCs w:val="21"/>
                      <w:lang w:val="en-US" w:eastAsia="zh-CN"/>
                    </w:rPr>
                  </w:pPr>
                </w:p>
              </w:tc>
              <w:tc>
                <w:tcPr>
                  <w:tcW w:w="1486" w:type="dxa"/>
                  <w:gridSpan w:val="2"/>
                  <w:vMerge w:val="continue"/>
                  <w:tcBorders>
                    <w:right w:val="single" w:color="auto" w:sz="4" w:space="0"/>
                  </w:tcBorders>
                  <w:noWrap w:val="0"/>
                  <w:vAlign w:val="center"/>
                </w:tcPr>
                <w:p w14:paraId="163B4184">
                  <w:pPr>
                    <w:pStyle w:val="56"/>
                    <w:bidi w:val="0"/>
                    <w:spacing w:line="240" w:lineRule="auto"/>
                    <w:rPr>
                      <w:rFonts w:hint="eastAsia" w:cs="Times New Roman"/>
                      <w:sz w:val="21"/>
                      <w:szCs w:val="21"/>
                      <w:lang w:val="en-US" w:eastAsia="zh-CN"/>
                    </w:rPr>
                  </w:pPr>
                </w:p>
              </w:tc>
              <w:tc>
                <w:tcPr>
                  <w:tcW w:w="5861" w:type="dxa"/>
                  <w:tcBorders>
                    <w:left w:val="single" w:color="auto" w:sz="4" w:space="0"/>
                    <w:bottom w:val="single" w:color="auto" w:sz="4" w:space="0"/>
                  </w:tcBorders>
                  <w:noWrap w:val="0"/>
                  <w:vAlign w:val="center"/>
                </w:tcPr>
                <w:p w14:paraId="27F2CBB6">
                  <w:pPr>
                    <w:pStyle w:val="56"/>
                    <w:bidi w:val="0"/>
                    <w:jc w:val="left"/>
                    <w:rPr>
                      <w:rFonts w:hint="default" w:eastAsia="宋体" w:cs="Times New Roman"/>
                      <w:color w:val="auto"/>
                      <w:szCs w:val="21"/>
                      <w:lang w:val="en-US" w:eastAsia="zh-CN"/>
                    </w:rPr>
                  </w:pPr>
                  <w:r>
                    <w:rPr>
                      <w:rFonts w:hint="eastAsia"/>
                      <w:lang w:val="en-US" w:eastAsia="zh-CN"/>
                    </w:rPr>
                    <w:t>钢材原料区：位于原料区东侧，占地2000</w:t>
                  </w:r>
                  <w:r>
                    <w:t>m</w:t>
                  </w:r>
                  <w:r>
                    <w:rPr>
                      <w:vertAlign w:val="superscript"/>
                    </w:rPr>
                    <w:t>2</w:t>
                  </w:r>
                  <w:r>
                    <w:rPr>
                      <w:rFonts w:hint="eastAsia"/>
                      <w:lang w:eastAsia="zh-CN"/>
                    </w:rPr>
                    <w:t>，</w:t>
                  </w:r>
                  <w:r>
                    <w:rPr>
                      <w:rFonts w:hint="eastAsia"/>
                      <w:lang w:val="en-US" w:eastAsia="zh-CN"/>
                    </w:rPr>
                    <w:t>用于钢筋及钢板等其它原料存储区域。</w:t>
                  </w:r>
                </w:p>
              </w:tc>
              <w:tc>
                <w:tcPr>
                  <w:tcW w:w="474" w:type="dxa"/>
                  <w:vMerge w:val="continue"/>
                  <w:tcBorders>
                    <w:left w:val="single" w:color="auto" w:sz="4" w:space="0"/>
                  </w:tcBorders>
                  <w:noWrap w:val="0"/>
                  <w:vAlign w:val="center"/>
                </w:tcPr>
                <w:p w14:paraId="23632C2A">
                  <w:pPr>
                    <w:pStyle w:val="56"/>
                    <w:bidi w:val="0"/>
                    <w:spacing w:line="240" w:lineRule="auto"/>
                    <w:rPr>
                      <w:rFonts w:hint="eastAsia" w:ascii="Times New Roman" w:hAnsi="Times New Roman" w:eastAsia="宋体" w:cs="Times New Roman"/>
                      <w:sz w:val="21"/>
                      <w:szCs w:val="21"/>
                      <w:lang w:val="en-US" w:eastAsia="zh-CN"/>
                    </w:rPr>
                  </w:pPr>
                </w:p>
              </w:tc>
            </w:tr>
            <w:tr w14:paraId="3F59AB3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567" w:type="dxa"/>
                  <w:vMerge w:val="continue"/>
                  <w:noWrap w:val="0"/>
                  <w:vAlign w:val="center"/>
                </w:tcPr>
                <w:p w14:paraId="6A6D3483">
                  <w:pPr>
                    <w:pStyle w:val="56"/>
                    <w:bidi w:val="0"/>
                    <w:spacing w:line="240" w:lineRule="auto"/>
                    <w:rPr>
                      <w:rFonts w:hint="default" w:ascii="Times New Roman" w:hAnsi="Times New Roman" w:eastAsia="宋体" w:cs="Times New Roman"/>
                      <w:sz w:val="21"/>
                      <w:szCs w:val="21"/>
                      <w:lang w:val="en-US" w:eastAsia="zh-CN"/>
                    </w:rPr>
                  </w:pPr>
                </w:p>
              </w:tc>
              <w:tc>
                <w:tcPr>
                  <w:tcW w:w="1486" w:type="dxa"/>
                  <w:gridSpan w:val="2"/>
                  <w:vMerge w:val="continue"/>
                  <w:tcBorders>
                    <w:right w:val="single" w:color="auto" w:sz="4" w:space="0"/>
                  </w:tcBorders>
                  <w:noWrap w:val="0"/>
                  <w:vAlign w:val="center"/>
                </w:tcPr>
                <w:p w14:paraId="62384957">
                  <w:pPr>
                    <w:pStyle w:val="56"/>
                    <w:bidi w:val="0"/>
                    <w:spacing w:line="240" w:lineRule="auto"/>
                    <w:rPr>
                      <w:rFonts w:hint="eastAsia" w:cs="Times New Roman"/>
                      <w:sz w:val="21"/>
                      <w:szCs w:val="21"/>
                      <w:lang w:val="en-US" w:eastAsia="zh-CN"/>
                    </w:rPr>
                  </w:pPr>
                </w:p>
              </w:tc>
              <w:tc>
                <w:tcPr>
                  <w:tcW w:w="5861" w:type="dxa"/>
                  <w:tcBorders>
                    <w:left w:val="single" w:color="auto" w:sz="4" w:space="0"/>
                    <w:bottom w:val="single" w:color="auto" w:sz="4" w:space="0"/>
                  </w:tcBorders>
                  <w:noWrap w:val="0"/>
                  <w:vAlign w:val="center"/>
                </w:tcPr>
                <w:p w14:paraId="29530629">
                  <w:pPr>
                    <w:pStyle w:val="56"/>
                    <w:bidi w:val="0"/>
                    <w:jc w:val="left"/>
                    <w:rPr>
                      <w:rFonts w:hint="default" w:ascii="Times New Roman" w:hAnsi="Times New Roman" w:cs="Times New Roman"/>
                      <w:color w:val="auto"/>
                      <w:szCs w:val="21"/>
                      <w:lang w:val="en-US" w:eastAsia="zh-CN"/>
                    </w:rPr>
                  </w:pPr>
                  <w:r>
                    <w:rPr>
                      <w:rFonts w:hint="eastAsia"/>
                      <w:lang w:val="en-US" w:eastAsia="zh-CN"/>
                    </w:rPr>
                    <w:t>焊接生产区：位于钢材原料区东侧，占地2000</w:t>
                  </w:r>
                  <w:r>
                    <w:t>m</w:t>
                  </w:r>
                  <w:r>
                    <w:rPr>
                      <w:vertAlign w:val="superscript"/>
                    </w:rPr>
                    <w:t>2</w:t>
                  </w:r>
                  <w:r>
                    <w:rPr>
                      <w:rFonts w:hint="eastAsia"/>
                      <w:lang w:eastAsia="zh-CN"/>
                    </w:rPr>
                    <w:t>，</w:t>
                  </w:r>
                  <w:r>
                    <w:rPr>
                      <w:rFonts w:hint="eastAsia"/>
                      <w:lang w:val="en-US" w:eastAsia="zh-CN"/>
                    </w:rPr>
                    <w:t>用于</w:t>
                  </w:r>
                  <w:r>
                    <w:rPr>
                      <w:rFonts w:hint="eastAsia"/>
                      <w:lang w:eastAsia="zh-CN"/>
                    </w:rPr>
                    <w:t>新型光伏发电折叠房屋</w:t>
                  </w:r>
                  <w:r>
                    <w:rPr>
                      <w:rFonts w:hint="eastAsia"/>
                      <w:lang w:val="en-US" w:eastAsia="zh-CN"/>
                    </w:rPr>
                    <w:t>焊接生产。</w:t>
                  </w:r>
                </w:p>
              </w:tc>
              <w:tc>
                <w:tcPr>
                  <w:tcW w:w="474" w:type="dxa"/>
                  <w:vMerge w:val="continue"/>
                  <w:tcBorders>
                    <w:left w:val="single" w:color="auto" w:sz="4" w:space="0"/>
                  </w:tcBorders>
                  <w:noWrap w:val="0"/>
                  <w:vAlign w:val="center"/>
                </w:tcPr>
                <w:p w14:paraId="72CD8B6C">
                  <w:pPr>
                    <w:pStyle w:val="56"/>
                    <w:bidi w:val="0"/>
                    <w:spacing w:line="240" w:lineRule="auto"/>
                    <w:rPr>
                      <w:rFonts w:hint="eastAsia" w:ascii="Times New Roman" w:hAnsi="Times New Roman" w:eastAsia="宋体" w:cs="Times New Roman"/>
                      <w:sz w:val="21"/>
                      <w:szCs w:val="21"/>
                      <w:lang w:val="en-US" w:eastAsia="zh-CN"/>
                    </w:rPr>
                  </w:pPr>
                </w:p>
              </w:tc>
            </w:tr>
            <w:tr w14:paraId="330D242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567" w:type="dxa"/>
                  <w:vMerge w:val="continue"/>
                  <w:noWrap w:val="0"/>
                  <w:vAlign w:val="center"/>
                </w:tcPr>
                <w:p w14:paraId="451E57FF">
                  <w:pPr>
                    <w:pStyle w:val="56"/>
                    <w:bidi w:val="0"/>
                    <w:spacing w:line="240" w:lineRule="auto"/>
                    <w:rPr>
                      <w:rFonts w:hint="default" w:ascii="Times New Roman" w:hAnsi="Times New Roman" w:eastAsia="宋体" w:cs="Times New Roman"/>
                      <w:sz w:val="21"/>
                      <w:szCs w:val="21"/>
                      <w:lang w:val="en-US" w:eastAsia="zh-CN"/>
                    </w:rPr>
                  </w:pPr>
                </w:p>
              </w:tc>
              <w:tc>
                <w:tcPr>
                  <w:tcW w:w="1486" w:type="dxa"/>
                  <w:gridSpan w:val="2"/>
                  <w:vMerge w:val="continue"/>
                  <w:tcBorders>
                    <w:right w:val="single" w:color="auto" w:sz="4" w:space="0"/>
                  </w:tcBorders>
                  <w:noWrap w:val="0"/>
                  <w:vAlign w:val="center"/>
                </w:tcPr>
                <w:p w14:paraId="59572EFA">
                  <w:pPr>
                    <w:pStyle w:val="56"/>
                    <w:bidi w:val="0"/>
                    <w:spacing w:line="240" w:lineRule="auto"/>
                    <w:rPr>
                      <w:rFonts w:hint="eastAsia" w:cs="Times New Roman"/>
                      <w:sz w:val="21"/>
                      <w:szCs w:val="21"/>
                      <w:lang w:val="en-US" w:eastAsia="zh-CN"/>
                    </w:rPr>
                  </w:pPr>
                </w:p>
              </w:tc>
              <w:tc>
                <w:tcPr>
                  <w:tcW w:w="5861" w:type="dxa"/>
                  <w:tcBorders>
                    <w:left w:val="single" w:color="auto" w:sz="4" w:space="0"/>
                    <w:bottom w:val="single" w:color="auto" w:sz="4" w:space="0"/>
                  </w:tcBorders>
                  <w:noWrap w:val="0"/>
                  <w:vAlign w:val="center"/>
                </w:tcPr>
                <w:p w14:paraId="50D8BED0">
                  <w:pPr>
                    <w:pStyle w:val="56"/>
                    <w:bidi w:val="0"/>
                    <w:rPr>
                      <w:rFonts w:hint="default" w:ascii="Times New Roman" w:hAnsi="Times New Roman" w:cs="Times New Roman"/>
                      <w:color w:val="auto"/>
                      <w:szCs w:val="21"/>
                      <w:lang w:val="en-US" w:eastAsia="zh-CN"/>
                    </w:rPr>
                  </w:pPr>
                  <w:r>
                    <w:rPr>
                      <w:rFonts w:hint="eastAsia"/>
                      <w:lang w:val="en-US" w:eastAsia="zh-CN"/>
                    </w:rPr>
                    <w:t>成品区，位于焊接生产区东侧，占地882.96m</w:t>
                  </w:r>
                  <w:r>
                    <w:rPr>
                      <w:rFonts w:hint="eastAsia"/>
                      <w:vertAlign w:val="superscript"/>
                      <w:lang w:val="en-US" w:eastAsia="zh-CN"/>
                    </w:rPr>
                    <w:t>2</w:t>
                  </w:r>
                  <w:r>
                    <w:rPr>
                      <w:rFonts w:hint="eastAsia"/>
                      <w:lang w:val="en-US" w:eastAsia="zh-CN"/>
                    </w:rPr>
                    <w:t>，用于成品仓储。</w:t>
                  </w:r>
                </w:p>
              </w:tc>
              <w:tc>
                <w:tcPr>
                  <w:tcW w:w="474" w:type="dxa"/>
                  <w:vMerge w:val="continue"/>
                  <w:tcBorders>
                    <w:left w:val="single" w:color="auto" w:sz="4" w:space="0"/>
                    <w:bottom w:val="single" w:color="auto" w:sz="4" w:space="0"/>
                  </w:tcBorders>
                  <w:noWrap w:val="0"/>
                  <w:vAlign w:val="center"/>
                </w:tcPr>
                <w:p w14:paraId="0C173ABA">
                  <w:pPr>
                    <w:pStyle w:val="56"/>
                    <w:bidi w:val="0"/>
                    <w:spacing w:line="240" w:lineRule="auto"/>
                    <w:rPr>
                      <w:rFonts w:hint="eastAsia" w:ascii="Times New Roman" w:hAnsi="Times New Roman" w:eastAsia="宋体" w:cs="Times New Roman"/>
                      <w:sz w:val="21"/>
                      <w:szCs w:val="21"/>
                      <w:lang w:val="en-US" w:eastAsia="zh-CN"/>
                    </w:rPr>
                  </w:pPr>
                </w:p>
              </w:tc>
            </w:tr>
            <w:tr w14:paraId="0DDCCE0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86" w:hRule="atLeast"/>
                <w:jc w:val="center"/>
              </w:trPr>
              <w:tc>
                <w:tcPr>
                  <w:tcW w:w="567" w:type="dxa"/>
                  <w:vMerge w:val="continue"/>
                  <w:noWrap w:val="0"/>
                  <w:vAlign w:val="center"/>
                </w:tcPr>
                <w:p w14:paraId="184683AE">
                  <w:pPr>
                    <w:pStyle w:val="56"/>
                    <w:bidi w:val="0"/>
                    <w:spacing w:line="240" w:lineRule="auto"/>
                    <w:rPr>
                      <w:rFonts w:hint="default" w:ascii="Times New Roman" w:hAnsi="Times New Roman" w:eastAsia="宋体" w:cs="Times New Roman"/>
                      <w:sz w:val="21"/>
                      <w:szCs w:val="21"/>
                      <w:lang w:val="en-US" w:eastAsia="zh-CN"/>
                    </w:rPr>
                  </w:pPr>
                </w:p>
              </w:tc>
              <w:tc>
                <w:tcPr>
                  <w:tcW w:w="1486" w:type="dxa"/>
                  <w:gridSpan w:val="2"/>
                  <w:vMerge w:val="restart"/>
                  <w:tcBorders>
                    <w:right w:val="single" w:color="auto" w:sz="4" w:space="0"/>
                  </w:tcBorders>
                  <w:noWrap w:val="0"/>
                  <w:vAlign w:val="center"/>
                </w:tcPr>
                <w:p w14:paraId="086E5548">
                  <w:pPr>
                    <w:pStyle w:val="56"/>
                    <w:bidi w:val="0"/>
                    <w:rPr>
                      <w:rFonts w:hint="default" w:ascii="Times New Roman" w:hAnsi="Times New Roman" w:eastAsia="宋体" w:cs="Times New Roman"/>
                      <w:szCs w:val="21"/>
                      <w:lang w:val="en-US" w:eastAsia="zh-CN"/>
                    </w:rPr>
                  </w:pPr>
                  <w:r>
                    <w:rPr>
                      <w:rFonts w:hint="eastAsia"/>
                      <w:lang w:val="en-US" w:eastAsia="zh-CN"/>
                    </w:rPr>
                    <w:t>2#生产车间</w:t>
                  </w:r>
                </w:p>
              </w:tc>
              <w:tc>
                <w:tcPr>
                  <w:tcW w:w="5861" w:type="dxa"/>
                  <w:tcBorders>
                    <w:left w:val="single" w:color="auto" w:sz="4" w:space="0"/>
                    <w:bottom w:val="single" w:color="auto" w:sz="4" w:space="0"/>
                  </w:tcBorders>
                  <w:noWrap w:val="0"/>
                  <w:vAlign w:val="center"/>
                </w:tcPr>
                <w:p w14:paraId="47803E90">
                  <w:pPr>
                    <w:pStyle w:val="56"/>
                    <w:bidi w:val="0"/>
                    <w:jc w:val="left"/>
                    <w:rPr>
                      <w:rFonts w:hint="default" w:ascii="Times New Roman" w:hAnsi="Times New Roman" w:eastAsia="宋体" w:cs="Times New Roman"/>
                      <w:szCs w:val="21"/>
                      <w:lang w:val="en-US" w:eastAsia="zh-CN"/>
                    </w:rPr>
                  </w:pPr>
                  <w:r>
                    <w:rPr>
                      <w:rFonts w:hint="eastAsia"/>
                      <w:lang w:val="en-US" w:eastAsia="zh-CN"/>
                    </w:rPr>
                    <w:t>1F钢结构厂房，占地</w:t>
                  </w:r>
                  <w:r>
                    <w:t>面积</w:t>
                  </w:r>
                  <w:r>
                    <w:rPr>
                      <w:rFonts w:hint="eastAsia"/>
                      <w:lang w:val="en-US" w:eastAsia="zh-CN"/>
                    </w:rPr>
                    <w:t>7721.64</w:t>
                  </w:r>
                  <w:r>
                    <w:t>m</w:t>
                  </w:r>
                  <w:r>
                    <w:rPr>
                      <w:vertAlign w:val="superscript"/>
                    </w:rPr>
                    <w:t>2</w:t>
                  </w:r>
                  <w:r>
                    <w:rPr>
                      <w:rFonts w:hint="eastAsia"/>
                      <w:lang w:eastAsia="zh-CN"/>
                    </w:rPr>
                    <w:t>（</w:t>
                  </w:r>
                  <w:r>
                    <w:rPr>
                      <w:rFonts w:hint="eastAsia"/>
                      <w:lang w:val="en-US" w:eastAsia="zh-CN"/>
                    </w:rPr>
                    <w:t>长160.2m*宽48.2m*高9.25m</w:t>
                  </w:r>
                  <w:r>
                    <w:rPr>
                      <w:rFonts w:hint="eastAsia"/>
                      <w:lang w:eastAsia="zh-CN"/>
                    </w:rPr>
                    <w:t>）</w:t>
                  </w:r>
                  <w:r>
                    <w:rPr>
                      <w:rFonts w:hint="eastAsia"/>
                      <w:color w:val="FF0000"/>
                      <w:lang w:val="en-US" w:eastAsia="zh-CN"/>
                    </w:rPr>
                    <w:t>建筑面积7721.64</w:t>
                  </w:r>
                  <w:r>
                    <w:rPr>
                      <w:color w:val="FF0000"/>
                    </w:rPr>
                    <w:t>m</w:t>
                  </w:r>
                  <w:r>
                    <w:rPr>
                      <w:color w:val="FF0000"/>
                      <w:vertAlign w:val="superscript"/>
                    </w:rPr>
                    <w:t>2</w:t>
                  </w:r>
                  <w:r>
                    <w:rPr>
                      <w:rFonts w:hint="eastAsia"/>
                      <w:lang w:eastAsia="zh-CN"/>
                    </w:rPr>
                    <w:t>，</w:t>
                  </w:r>
                  <w:r>
                    <w:rPr>
                      <w:rFonts w:hint="eastAsia"/>
                      <w:lang w:val="en-US" w:eastAsia="zh-CN"/>
                    </w:rPr>
                    <w:t>分为混凝土加工区、浇筑养护区、钢筋、模具加工区。</w:t>
                  </w:r>
                </w:p>
              </w:tc>
              <w:tc>
                <w:tcPr>
                  <w:tcW w:w="474" w:type="dxa"/>
                  <w:vMerge w:val="restart"/>
                  <w:tcBorders>
                    <w:left w:val="single" w:color="auto" w:sz="4" w:space="0"/>
                  </w:tcBorders>
                  <w:noWrap w:val="0"/>
                  <w:vAlign w:val="center"/>
                </w:tcPr>
                <w:p w14:paraId="510F5DDF">
                  <w:pPr>
                    <w:pStyle w:val="56"/>
                    <w:bidi w:val="0"/>
                    <w:rPr>
                      <w:rFonts w:hint="default" w:ascii="Times New Roman" w:hAnsi="Times New Roman" w:eastAsia="宋体" w:cs="Times New Roman"/>
                      <w:szCs w:val="21"/>
                      <w:lang w:val="en-US" w:eastAsia="zh-CN"/>
                    </w:rPr>
                  </w:pPr>
                  <w:r>
                    <w:rPr>
                      <w:rFonts w:hint="eastAsia"/>
                      <w:lang w:val="en-US" w:eastAsia="zh-CN"/>
                    </w:rPr>
                    <w:t>新建</w:t>
                  </w:r>
                </w:p>
              </w:tc>
            </w:tr>
            <w:tr w14:paraId="2595FCE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86" w:hRule="atLeast"/>
                <w:jc w:val="center"/>
              </w:trPr>
              <w:tc>
                <w:tcPr>
                  <w:tcW w:w="567" w:type="dxa"/>
                  <w:vMerge w:val="continue"/>
                  <w:noWrap w:val="0"/>
                  <w:vAlign w:val="center"/>
                </w:tcPr>
                <w:p w14:paraId="6B57A3B8">
                  <w:pPr>
                    <w:pStyle w:val="56"/>
                    <w:bidi w:val="0"/>
                    <w:spacing w:line="240" w:lineRule="auto"/>
                    <w:rPr>
                      <w:rFonts w:hint="default" w:ascii="Times New Roman" w:hAnsi="Times New Roman" w:eastAsia="宋体" w:cs="Times New Roman"/>
                      <w:sz w:val="21"/>
                      <w:szCs w:val="21"/>
                      <w:lang w:val="en-US" w:eastAsia="zh-CN"/>
                    </w:rPr>
                  </w:pPr>
                </w:p>
              </w:tc>
              <w:tc>
                <w:tcPr>
                  <w:tcW w:w="1486" w:type="dxa"/>
                  <w:gridSpan w:val="2"/>
                  <w:vMerge w:val="continue"/>
                  <w:tcBorders>
                    <w:right w:val="single" w:color="auto" w:sz="4" w:space="0"/>
                  </w:tcBorders>
                  <w:noWrap w:val="0"/>
                  <w:vAlign w:val="center"/>
                </w:tcPr>
                <w:p w14:paraId="3266274B">
                  <w:pPr>
                    <w:pStyle w:val="56"/>
                    <w:bidi w:val="0"/>
                    <w:spacing w:line="240" w:lineRule="auto"/>
                    <w:rPr>
                      <w:rFonts w:hint="eastAsia" w:cs="Times New Roman"/>
                      <w:sz w:val="21"/>
                      <w:szCs w:val="21"/>
                      <w:lang w:val="en-US" w:eastAsia="zh-CN"/>
                    </w:rPr>
                  </w:pPr>
                </w:p>
              </w:tc>
              <w:tc>
                <w:tcPr>
                  <w:tcW w:w="5861" w:type="dxa"/>
                  <w:tcBorders>
                    <w:left w:val="single" w:color="auto" w:sz="4" w:space="0"/>
                    <w:bottom w:val="single" w:color="auto" w:sz="4" w:space="0"/>
                  </w:tcBorders>
                  <w:noWrap w:val="0"/>
                  <w:vAlign w:val="center"/>
                </w:tcPr>
                <w:p w14:paraId="2A4DF463">
                  <w:pPr>
                    <w:pStyle w:val="56"/>
                    <w:bidi w:val="0"/>
                    <w:jc w:val="left"/>
                    <w:rPr>
                      <w:rFonts w:hint="default" w:cs="Times New Roman"/>
                      <w:color w:val="auto"/>
                      <w:szCs w:val="21"/>
                      <w:lang w:val="en-US" w:eastAsia="zh-CN"/>
                    </w:rPr>
                  </w:pPr>
                  <w:r>
                    <w:rPr>
                      <w:rFonts w:hint="eastAsia"/>
                      <w:lang w:val="en-US" w:eastAsia="zh-CN"/>
                    </w:rPr>
                    <w:t>混凝土加工区，位于车间西部，占地面积2000m</w:t>
                  </w:r>
                  <w:r>
                    <w:rPr>
                      <w:rFonts w:hint="eastAsia"/>
                      <w:vertAlign w:val="superscript"/>
                      <w:lang w:val="en-US" w:eastAsia="zh-CN"/>
                    </w:rPr>
                    <w:t>2</w:t>
                  </w:r>
                  <w:r>
                    <w:rPr>
                      <w:rFonts w:hint="eastAsia"/>
                      <w:lang w:val="en-US" w:eastAsia="zh-CN"/>
                    </w:rPr>
                    <w:t>，用于混凝土制备及水泥原料、混凝土成品储存。</w:t>
                  </w:r>
                </w:p>
              </w:tc>
              <w:tc>
                <w:tcPr>
                  <w:tcW w:w="474" w:type="dxa"/>
                  <w:vMerge w:val="continue"/>
                  <w:tcBorders>
                    <w:left w:val="single" w:color="auto" w:sz="4" w:space="0"/>
                  </w:tcBorders>
                  <w:noWrap w:val="0"/>
                  <w:vAlign w:val="center"/>
                </w:tcPr>
                <w:p w14:paraId="6562616F">
                  <w:pPr>
                    <w:pStyle w:val="56"/>
                    <w:bidi w:val="0"/>
                    <w:spacing w:line="240" w:lineRule="auto"/>
                    <w:rPr>
                      <w:rFonts w:hint="eastAsia" w:ascii="Times New Roman" w:hAnsi="Times New Roman" w:eastAsia="宋体" w:cs="Times New Roman"/>
                      <w:sz w:val="21"/>
                      <w:szCs w:val="21"/>
                      <w:lang w:val="en-US" w:eastAsia="zh-CN"/>
                    </w:rPr>
                  </w:pPr>
                </w:p>
              </w:tc>
            </w:tr>
            <w:tr w14:paraId="10287FF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86" w:hRule="atLeast"/>
                <w:jc w:val="center"/>
              </w:trPr>
              <w:tc>
                <w:tcPr>
                  <w:tcW w:w="567" w:type="dxa"/>
                  <w:vMerge w:val="continue"/>
                  <w:noWrap w:val="0"/>
                  <w:vAlign w:val="center"/>
                </w:tcPr>
                <w:p w14:paraId="3FE07DC9">
                  <w:pPr>
                    <w:pStyle w:val="56"/>
                    <w:bidi w:val="0"/>
                    <w:spacing w:line="240" w:lineRule="auto"/>
                    <w:rPr>
                      <w:rFonts w:hint="default" w:ascii="Times New Roman" w:hAnsi="Times New Roman" w:eastAsia="宋体" w:cs="Times New Roman"/>
                      <w:sz w:val="21"/>
                      <w:szCs w:val="21"/>
                      <w:lang w:val="en-US" w:eastAsia="zh-CN"/>
                    </w:rPr>
                  </w:pPr>
                </w:p>
              </w:tc>
              <w:tc>
                <w:tcPr>
                  <w:tcW w:w="1486" w:type="dxa"/>
                  <w:gridSpan w:val="2"/>
                  <w:vMerge w:val="continue"/>
                  <w:tcBorders>
                    <w:right w:val="single" w:color="auto" w:sz="4" w:space="0"/>
                  </w:tcBorders>
                  <w:noWrap w:val="0"/>
                  <w:vAlign w:val="center"/>
                </w:tcPr>
                <w:p w14:paraId="641F23D4">
                  <w:pPr>
                    <w:pStyle w:val="56"/>
                    <w:bidi w:val="0"/>
                    <w:spacing w:line="240" w:lineRule="auto"/>
                    <w:rPr>
                      <w:rFonts w:hint="eastAsia" w:cs="Times New Roman"/>
                      <w:sz w:val="21"/>
                      <w:szCs w:val="21"/>
                      <w:lang w:val="en-US" w:eastAsia="zh-CN"/>
                    </w:rPr>
                  </w:pPr>
                </w:p>
              </w:tc>
              <w:tc>
                <w:tcPr>
                  <w:tcW w:w="5861" w:type="dxa"/>
                  <w:tcBorders>
                    <w:left w:val="single" w:color="auto" w:sz="4" w:space="0"/>
                    <w:bottom w:val="single" w:color="auto" w:sz="4" w:space="0"/>
                  </w:tcBorders>
                  <w:noWrap w:val="0"/>
                  <w:vAlign w:val="center"/>
                </w:tcPr>
                <w:p w14:paraId="37A0ECF8">
                  <w:pPr>
                    <w:pStyle w:val="56"/>
                    <w:bidi w:val="0"/>
                    <w:jc w:val="left"/>
                    <w:rPr>
                      <w:rFonts w:hint="default" w:cs="Times New Roman"/>
                      <w:color w:val="auto"/>
                      <w:szCs w:val="21"/>
                      <w:lang w:val="en-US" w:eastAsia="zh-CN"/>
                    </w:rPr>
                  </w:pPr>
                  <w:r>
                    <w:rPr>
                      <w:rFonts w:hint="eastAsia"/>
                      <w:lang w:val="en-US" w:eastAsia="zh-CN"/>
                    </w:rPr>
                    <w:t>浇筑养护区，位于混凝土加工区东侧，占地5000m</w:t>
                  </w:r>
                  <w:r>
                    <w:rPr>
                      <w:rFonts w:hint="eastAsia"/>
                      <w:vertAlign w:val="superscript"/>
                      <w:lang w:val="en-US" w:eastAsia="zh-CN"/>
                    </w:rPr>
                    <w:t>2</w:t>
                  </w:r>
                  <w:r>
                    <w:rPr>
                      <w:rFonts w:hint="eastAsia"/>
                      <w:lang w:val="en-US" w:eastAsia="zh-CN"/>
                    </w:rPr>
                    <w:t>，用于混凝土浇筑及养护、产品储存。</w:t>
                  </w:r>
                </w:p>
              </w:tc>
              <w:tc>
                <w:tcPr>
                  <w:tcW w:w="474" w:type="dxa"/>
                  <w:vMerge w:val="continue"/>
                  <w:tcBorders>
                    <w:left w:val="single" w:color="auto" w:sz="4" w:space="0"/>
                  </w:tcBorders>
                  <w:noWrap w:val="0"/>
                  <w:vAlign w:val="center"/>
                </w:tcPr>
                <w:p w14:paraId="79F88D41">
                  <w:pPr>
                    <w:pStyle w:val="56"/>
                    <w:bidi w:val="0"/>
                    <w:spacing w:line="240" w:lineRule="auto"/>
                    <w:rPr>
                      <w:rFonts w:hint="eastAsia" w:ascii="Times New Roman" w:hAnsi="Times New Roman" w:eastAsia="宋体" w:cs="Times New Roman"/>
                      <w:sz w:val="21"/>
                      <w:szCs w:val="21"/>
                      <w:lang w:val="en-US" w:eastAsia="zh-CN"/>
                    </w:rPr>
                  </w:pPr>
                </w:p>
              </w:tc>
            </w:tr>
            <w:tr w14:paraId="0AEC9E9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86" w:hRule="atLeast"/>
                <w:jc w:val="center"/>
              </w:trPr>
              <w:tc>
                <w:tcPr>
                  <w:tcW w:w="567" w:type="dxa"/>
                  <w:vMerge w:val="continue"/>
                  <w:noWrap w:val="0"/>
                  <w:vAlign w:val="center"/>
                </w:tcPr>
                <w:p w14:paraId="7604DA56">
                  <w:pPr>
                    <w:pStyle w:val="56"/>
                    <w:bidi w:val="0"/>
                    <w:spacing w:line="240" w:lineRule="auto"/>
                    <w:rPr>
                      <w:rFonts w:hint="default" w:ascii="Times New Roman" w:hAnsi="Times New Roman" w:eastAsia="宋体" w:cs="Times New Roman"/>
                      <w:sz w:val="21"/>
                      <w:szCs w:val="21"/>
                      <w:lang w:val="en-US" w:eastAsia="zh-CN"/>
                    </w:rPr>
                  </w:pPr>
                </w:p>
              </w:tc>
              <w:tc>
                <w:tcPr>
                  <w:tcW w:w="1486" w:type="dxa"/>
                  <w:gridSpan w:val="2"/>
                  <w:vMerge w:val="continue"/>
                  <w:tcBorders>
                    <w:right w:val="single" w:color="auto" w:sz="4" w:space="0"/>
                  </w:tcBorders>
                  <w:noWrap w:val="0"/>
                  <w:vAlign w:val="center"/>
                </w:tcPr>
                <w:p w14:paraId="1B161FC3">
                  <w:pPr>
                    <w:pStyle w:val="56"/>
                    <w:bidi w:val="0"/>
                    <w:spacing w:line="240" w:lineRule="auto"/>
                    <w:rPr>
                      <w:rFonts w:hint="eastAsia" w:cs="Times New Roman"/>
                      <w:sz w:val="21"/>
                      <w:szCs w:val="21"/>
                      <w:lang w:val="en-US" w:eastAsia="zh-CN"/>
                    </w:rPr>
                  </w:pPr>
                </w:p>
              </w:tc>
              <w:tc>
                <w:tcPr>
                  <w:tcW w:w="5861" w:type="dxa"/>
                  <w:tcBorders>
                    <w:left w:val="single" w:color="auto" w:sz="4" w:space="0"/>
                    <w:bottom w:val="single" w:color="auto" w:sz="4" w:space="0"/>
                  </w:tcBorders>
                  <w:noWrap w:val="0"/>
                  <w:vAlign w:val="center"/>
                </w:tcPr>
                <w:p w14:paraId="2759C269">
                  <w:pPr>
                    <w:pStyle w:val="56"/>
                    <w:bidi w:val="0"/>
                    <w:jc w:val="left"/>
                    <w:rPr>
                      <w:rFonts w:hint="default" w:cs="Times New Roman"/>
                      <w:color w:val="auto"/>
                      <w:szCs w:val="21"/>
                      <w:lang w:val="en-US" w:eastAsia="zh-CN"/>
                    </w:rPr>
                  </w:pPr>
                  <w:r>
                    <w:rPr>
                      <w:rFonts w:hint="eastAsia"/>
                      <w:lang w:val="en-US" w:eastAsia="zh-CN"/>
                    </w:rPr>
                    <w:t>钢筋、模具加工区，位于混凝土加工区东侧，占地面积721.64m</w:t>
                  </w:r>
                  <w:r>
                    <w:rPr>
                      <w:rFonts w:hint="eastAsia"/>
                      <w:vertAlign w:val="superscript"/>
                      <w:lang w:val="en-US" w:eastAsia="zh-CN"/>
                    </w:rPr>
                    <w:t>2</w:t>
                  </w:r>
                  <w:r>
                    <w:rPr>
                      <w:rFonts w:hint="eastAsia"/>
                      <w:lang w:val="en-US" w:eastAsia="zh-CN"/>
                    </w:rPr>
                    <w:t>，用于</w:t>
                  </w:r>
                  <w:r>
                    <w:rPr>
                      <w:rFonts w:hint="eastAsia"/>
                      <w:color w:val="FF0000"/>
                      <w:lang w:val="en-US" w:eastAsia="zh-CN"/>
                    </w:rPr>
                    <w:t>钢筋加工及模具组装</w:t>
                  </w:r>
                  <w:r>
                    <w:rPr>
                      <w:rFonts w:hint="eastAsia"/>
                      <w:lang w:val="en-US" w:eastAsia="zh-CN"/>
                    </w:rPr>
                    <w:t>。</w:t>
                  </w:r>
                </w:p>
              </w:tc>
              <w:tc>
                <w:tcPr>
                  <w:tcW w:w="474" w:type="dxa"/>
                  <w:vMerge w:val="continue"/>
                  <w:tcBorders>
                    <w:left w:val="single" w:color="auto" w:sz="4" w:space="0"/>
                    <w:bottom w:val="single" w:color="auto" w:sz="4" w:space="0"/>
                  </w:tcBorders>
                  <w:noWrap w:val="0"/>
                  <w:vAlign w:val="center"/>
                </w:tcPr>
                <w:p w14:paraId="6C32D1BB">
                  <w:pPr>
                    <w:pStyle w:val="56"/>
                    <w:bidi w:val="0"/>
                    <w:spacing w:line="240" w:lineRule="auto"/>
                    <w:rPr>
                      <w:rFonts w:hint="eastAsia" w:ascii="Times New Roman" w:hAnsi="Times New Roman" w:eastAsia="宋体" w:cs="Times New Roman"/>
                      <w:sz w:val="21"/>
                      <w:szCs w:val="21"/>
                      <w:lang w:val="en-US" w:eastAsia="zh-CN"/>
                    </w:rPr>
                  </w:pPr>
                </w:p>
              </w:tc>
            </w:tr>
            <w:tr w14:paraId="0964301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567" w:type="dxa"/>
                  <w:noWrap w:val="0"/>
                  <w:vAlign w:val="center"/>
                </w:tcPr>
                <w:p w14:paraId="7CE4E5A6">
                  <w:pPr>
                    <w:pStyle w:val="56"/>
                    <w:bidi w:val="0"/>
                    <w:rPr>
                      <w:rFonts w:hint="default" w:ascii="Times New Roman" w:hAnsi="Times New Roman" w:eastAsia="宋体" w:cs="Times New Roman"/>
                      <w:szCs w:val="21"/>
                      <w:lang w:val="en-US" w:eastAsia="zh-CN"/>
                    </w:rPr>
                  </w:pPr>
                  <w:r>
                    <w:rPr>
                      <w:rFonts w:hint="eastAsia"/>
                      <w:lang w:val="en-US" w:eastAsia="zh-CN"/>
                    </w:rPr>
                    <w:t>辅助工程</w:t>
                  </w:r>
                </w:p>
              </w:tc>
              <w:tc>
                <w:tcPr>
                  <w:tcW w:w="1486" w:type="dxa"/>
                  <w:gridSpan w:val="2"/>
                  <w:tcBorders>
                    <w:bottom w:val="single" w:color="auto" w:sz="4" w:space="0"/>
                    <w:right w:val="single" w:color="auto" w:sz="4" w:space="0"/>
                  </w:tcBorders>
                  <w:noWrap w:val="0"/>
                  <w:vAlign w:val="center"/>
                </w:tcPr>
                <w:p w14:paraId="721FC83C">
                  <w:pPr>
                    <w:pStyle w:val="56"/>
                    <w:bidi w:val="0"/>
                    <w:rPr>
                      <w:rFonts w:hint="default" w:ascii="Times New Roman" w:hAnsi="Times New Roman" w:eastAsia="宋体" w:cs="Times New Roman"/>
                      <w:szCs w:val="21"/>
                      <w:lang w:val="en-US" w:eastAsia="zh-CN"/>
                    </w:rPr>
                  </w:pPr>
                  <w:r>
                    <w:rPr>
                      <w:rFonts w:hint="eastAsia"/>
                      <w:lang w:val="en-US" w:eastAsia="zh-CN"/>
                    </w:rPr>
                    <w:t>综合楼</w:t>
                  </w:r>
                </w:p>
              </w:tc>
              <w:tc>
                <w:tcPr>
                  <w:tcW w:w="5861" w:type="dxa"/>
                  <w:tcBorders>
                    <w:left w:val="single" w:color="auto" w:sz="4" w:space="0"/>
                  </w:tcBorders>
                  <w:noWrap w:val="0"/>
                  <w:vAlign w:val="center"/>
                </w:tcPr>
                <w:p w14:paraId="4273AB02">
                  <w:pPr>
                    <w:pStyle w:val="56"/>
                    <w:bidi w:val="0"/>
                    <w:jc w:val="left"/>
                    <w:rPr>
                      <w:rFonts w:hint="default" w:ascii="Times New Roman" w:hAnsi="Times New Roman" w:eastAsia="宋体" w:cs="Times New Roman"/>
                      <w:szCs w:val="21"/>
                      <w:lang w:val="en-US" w:eastAsia="zh-CN"/>
                    </w:rPr>
                  </w:pPr>
                  <w:r>
                    <w:rPr>
                      <w:rFonts w:hint="eastAsia"/>
                      <w:lang w:val="en-US" w:eastAsia="zh-CN"/>
                    </w:rPr>
                    <w:t>3F砖混厂房，占地</w:t>
                  </w:r>
                  <w:r>
                    <w:t>面积</w:t>
                  </w:r>
                  <w:r>
                    <w:rPr>
                      <w:rFonts w:hint="eastAsia"/>
                      <w:lang w:val="en-US" w:eastAsia="zh-CN"/>
                    </w:rPr>
                    <w:t>2169</w:t>
                  </w:r>
                  <w:r>
                    <w:t>m</w:t>
                  </w:r>
                  <w:r>
                    <w:rPr>
                      <w:vertAlign w:val="superscript"/>
                    </w:rPr>
                    <w:t>2</w:t>
                  </w:r>
                  <w:r>
                    <w:rPr>
                      <w:rFonts w:hint="eastAsia"/>
                      <w:lang w:eastAsia="zh-CN"/>
                    </w:rPr>
                    <w:t>（</w:t>
                  </w:r>
                  <w:r>
                    <w:rPr>
                      <w:rFonts w:hint="eastAsia"/>
                      <w:lang w:val="en-US" w:eastAsia="zh-CN"/>
                    </w:rPr>
                    <w:t>长48.2m*宽16.6m*高9.25m</w:t>
                  </w:r>
                  <w:r>
                    <w:rPr>
                      <w:rFonts w:hint="eastAsia"/>
                      <w:lang w:eastAsia="zh-CN"/>
                    </w:rPr>
                    <w:t>），</w:t>
                  </w:r>
                  <w:r>
                    <w:rPr>
                      <w:rFonts w:hint="eastAsia"/>
                      <w:color w:val="FF0000"/>
                      <w:lang w:val="en-US" w:eastAsia="zh-CN"/>
                    </w:rPr>
                    <w:t>建筑面积6507</w:t>
                  </w:r>
                  <w:r>
                    <w:rPr>
                      <w:color w:val="FF0000"/>
                    </w:rPr>
                    <w:t>m</w:t>
                  </w:r>
                  <w:r>
                    <w:rPr>
                      <w:color w:val="FF0000"/>
                      <w:vertAlign w:val="superscript"/>
                    </w:rPr>
                    <w:t>2</w:t>
                  </w:r>
                  <w:r>
                    <w:rPr>
                      <w:rFonts w:hint="eastAsia"/>
                      <w:vertAlign w:val="baseline"/>
                      <w:lang w:eastAsia="zh-CN"/>
                    </w:rPr>
                    <w:t>，</w:t>
                  </w:r>
                  <w:r>
                    <w:rPr>
                      <w:rFonts w:hint="eastAsia"/>
                      <w:lang w:val="en-US" w:eastAsia="zh-CN"/>
                    </w:rPr>
                    <w:t>用于办公生活使用。</w:t>
                  </w:r>
                </w:p>
              </w:tc>
              <w:tc>
                <w:tcPr>
                  <w:tcW w:w="474" w:type="dxa"/>
                  <w:tcBorders>
                    <w:left w:val="single" w:color="auto" w:sz="4" w:space="0"/>
                  </w:tcBorders>
                  <w:noWrap w:val="0"/>
                  <w:vAlign w:val="center"/>
                </w:tcPr>
                <w:p w14:paraId="67C1F332">
                  <w:pPr>
                    <w:pStyle w:val="56"/>
                    <w:bidi w:val="0"/>
                    <w:rPr>
                      <w:rFonts w:hint="default" w:ascii="Times New Roman" w:hAnsi="Times New Roman" w:eastAsia="宋体" w:cs="Times New Roman"/>
                      <w:szCs w:val="21"/>
                      <w:lang w:val="en-US" w:eastAsia="zh-CN"/>
                    </w:rPr>
                  </w:pPr>
                  <w:r>
                    <w:rPr>
                      <w:rFonts w:hint="eastAsia"/>
                      <w:lang w:val="en-US" w:eastAsia="zh-CN"/>
                    </w:rPr>
                    <w:t>新建</w:t>
                  </w:r>
                </w:p>
              </w:tc>
            </w:tr>
            <w:tr w14:paraId="2C1F983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567" w:type="dxa"/>
                  <w:vMerge w:val="restart"/>
                  <w:noWrap w:val="0"/>
                  <w:vAlign w:val="center"/>
                </w:tcPr>
                <w:p w14:paraId="0845B37E">
                  <w:pPr>
                    <w:pStyle w:val="56"/>
                    <w:bidi w:val="0"/>
                    <w:rPr>
                      <w:rFonts w:hint="default" w:ascii="Times New Roman" w:hAnsi="Times New Roman" w:eastAsia="宋体" w:cs="Times New Roman"/>
                      <w:szCs w:val="21"/>
                      <w:lang w:val="en-US" w:eastAsia="zh-CN"/>
                    </w:rPr>
                  </w:pPr>
                  <w:r>
                    <w:rPr>
                      <w:rFonts w:hint="eastAsia"/>
                      <w:lang w:val="en-US" w:eastAsia="zh-CN"/>
                    </w:rPr>
                    <w:t>公用工程</w:t>
                  </w:r>
                </w:p>
              </w:tc>
              <w:tc>
                <w:tcPr>
                  <w:tcW w:w="1486" w:type="dxa"/>
                  <w:gridSpan w:val="2"/>
                  <w:tcBorders>
                    <w:right w:val="single" w:color="auto" w:sz="4" w:space="0"/>
                  </w:tcBorders>
                  <w:noWrap w:val="0"/>
                  <w:vAlign w:val="center"/>
                </w:tcPr>
                <w:p w14:paraId="7F5612E5">
                  <w:pPr>
                    <w:pStyle w:val="56"/>
                    <w:bidi w:val="0"/>
                    <w:rPr>
                      <w:rFonts w:hint="eastAsia" w:ascii="Times New Roman" w:hAnsi="Times New Roman" w:eastAsia="宋体" w:cs="Times New Roman"/>
                      <w:szCs w:val="21"/>
                      <w:lang w:val="en-US" w:eastAsia="zh-CN"/>
                    </w:rPr>
                  </w:pPr>
                  <w:r>
                    <w:rPr>
                      <w:rFonts w:hint="eastAsia"/>
                      <w:lang w:val="en-US" w:eastAsia="zh-CN"/>
                    </w:rPr>
                    <w:t>给水</w:t>
                  </w:r>
                </w:p>
              </w:tc>
              <w:tc>
                <w:tcPr>
                  <w:tcW w:w="5861" w:type="dxa"/>
                  <w:tcBorders>
                    <w:left w:val="single" w:color="auto" w:sz="4" w:space="0"/>
                  </w:tcBorders>
                  <w:noWrap w:val="0"/>
                  <w:vAlign w:val="center"/>
                </w:tcPr>
                <w:p w14:paraId="607BA7A2">
                  <w:pPr>
                    <w:pStyle w:val="56"/>
                    <w:bidi w:val="0"/>
                    <w:jc w:val="left"/>
                    <w:rPr>
                      <w:rFonts w:hint="eastAsia" w:ascii="Times New Roman" w:hAnsi="Times New Roman" w:eastAsia="宋体" w:cs="Times New Roman"/>
                      <w:szCs w:val="21"/>
                      <w:lang w:val="en-US" w:eastAsia="zh-CN"/>
                    </w:rPr>
                  </w:pPr>
                  <w:r>
                    <w:rPr>
                      <w:rFonts w:hint="eastAsia"/>
                      <w:lang w:val="en-US" w:eastAsia="zh-CN"/>
                    </w:rPr>
                    <w:t>项目生产用水、办公用水均由园区自来水公司供应，能满足生产、生活用水量需求。</w:t>
                  </w:r>
                </w:p>
              </w:tc>
              <w:tc>
                <w:tcPr>
                  <w:tcW w:w="474" w:type="dxa"/>
                  <w:tcBorders>
                    <w:left w:val="single" w:color="auto" w:sz="4" w:space="0"/>
                  </w:tcBorders>
                  <w:noWrap w:val="0"/>
                  <w:vAlign w:val="center"/>
                </w:tcPr>
                <w:p w14:paraId="4BBA1AB9">
                  <w:pPr>
                    <w:pStyle w:val="56"/>
                    <w:bidi w:val="0"/>
                    <w:rPr>
                      <w:rFonts w:hint="eastAsia" w:ascii="Times New Roman" w:hAnsi="Times New Roman" w:eastAsia="宋体" w:cs="Times New Roman"/>
                      <w:szCs w:val="21"/>
                      <w:lang w:val="en-US" w:eastAsia="zh-CN"/>
                    </w:rPr>
                  </w:pPr>
                  <w:r>
                    <w:rPr>
                      <w:rFonts w:hint="eastAsia"/>
                      <w:lang w:val="en-US" w:eastAsia="zh-CN"/>
                    </w:rPr>
                    <w:t>新建</w:t>
                  </w:r>
                </w:p>
              </w:tc>
            </w:tr>
            <w:tr w14:paraId="516E2DF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567" w:type="dxa"/>
                  <w:vMerge w:val="continue"/>
                  <w:noWrap w:val="0"/>
                  <w:vAlign w:val="center"/>
                </w:tcPr>
                <w:p w14:paraId="3140F315">
                  <w:pPr>
                    <w:pStyle w:val="56"/>
                    <w:bidi w:val="0"/>
                    <w:spacing w:line="240" w:lineRule="auto"/>
                    <w:rPr>
                      <w:rFonts w:hint="eastAsia" w:ascii="Times New Roman" w:hAnsi="Times New Roman" w:eastAsia="宋体" w:cs="Times New Roman"/>
                      <w:sz w:val="21"/>
                      <w:szCs w:val="21"/>
                      <w:lang w:val="en-US" w:eastAsia="zh-CN"/>
                    </w:rPr>
                  </w:pPr>
                </w:p>
              </w:tc>
              <w:tc>
                <w:tcPr>
                  <w:tcW w:w="1486" w:type="dxa"/>
                  <w:gridSpan w:val="2"/>
                  <w:tcBorders>
                    <w:right w:val="single" w:color="auto" w:sz="4" w:space="0"/>
                  </w:tcBorders>
                  <w:noWrap w:val="0"/>
                  <w:vAlign w:val="center"/>
                </w:tcPr>
                <w:p w14:paraId="070719A9">
                  <w:pPr>
                    <w:pStyle w:val="56"/>
                    <w:bidi w:val="0"/>
                    <w:rPr>
                      <w:rFonts w:hint="eastAsia" w:ascii="Times New Roman" w:hAnsi="Times New Roman" w:eastAsia="宋体" w:cs="Times New Roman"/>
                      <w:szCs w:val="21"/>
                      <w:lang w:val="en-US" w:eastAsia="zh-CN"/>
                    </w:rPr>
                  </w:pPr>
                  <w:r>
                    <w:rPr>
                      <w:rFonts w:hint="eastAsia"/>
                      <w:lang w:val="en-US" w:eastAsia="zh-CN"/>
                    </w:rPr>
                    <w:t>供电</w:t>
                  </w:r>
                </w:p>
              </w:tc>
              <w:tc>
                <w:tcPr>
                  <w:tcW w:w="5861" w:type="dxa"/>
                  <w:tcBorders>
                    <w:left w:val="single" w:color="auto" w:sz="4" w:space="0"/>
                  </w:tcBorders>
                  <w:noWrap w:val="0"/>
                  <w:vAlign w:val="center"/>
                </w:tcPr>
                <w:p w14:paraId="309F5A2E">
                  <w:pPr>
                    <w:pStyle w:val="56"/>
                    <w:bidi w:val="0"/>
                    <w:rPr>
                      <w:rFonts w:hint="eastAsia" w:ascii="Times New Roman" w:hAnsi="Times New Roman" w:eastAsia="宋体" w:cs="Times New Roman"/>
                      <w:szCs w:val="21"/>
                      <w:lang w:val="en-US" w:eastAsia="zh-CN"/>
                    </w:rPr>
                  </w:pPr>
                  <w:r>
                    <w:rPr>
                      <w:rFonts w:hint="eastAsia"/>
                      <w:lang w:val="en-US" w:eastAsia="zh-CN"/>
                    </w:rPr>
                    <w:t>由园区市政电网供给</w:t>
                  </w:r>
                </w:p>
              </w:tc>
              <w:tc>
                <w:tcPr>
                  <w:tcW w:w="474" w:type="dxa"/>
                  <w:tcBorders>
                    <w:left w:val="single" w:color="auto" w:sz="4" w:space="0"/>
                  </w:tcBorders>
                  <w:noWrap w:val="0"/>
                  <w:vAlign w:val="center"/>
                </w:tcPr>
                <w:p w14:paraId="5671C992">
                  <w:pPr>
                    <w:pStyle w:val="56"/>
                    <w:bidi w:val="0"/>
                    <w:rPr>
                      <w:rFonts w:hint="eastAsia" w:ascii="Times New Roman" w:hAnsi="Times New Roman" w:eastAsia="宋体" w:cs="Times New Roman"/>
                      <w:szCs w:val="21"/>
                      <w:lang w:val="en-US" w:eastAsia="zh-CN"/>
                    </w:rPr>
                  </w:pPr>
                  <w:r>
                    <w:rPr>
                      <w:rFonts w:hint="eastAsia"/>
                      <w:lang w:val="en-US" w:eastAsia="zh-CN"/>
                    </w:rPr>
                    <w:t>新建</w:t>
                  </w:r>
                </w:p>
              </w:tc>
            </w:tr>
            <w:tr w14:paraId="0A7FD58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567" w:type="dxa"/>
                  <w:vMerge w:val="restart"/>
                  <w:tcBorders>
                    <w:top w:val="single" w:color="auto" w:sz="4" w:space="0"/>
                  </w:tcBorders>
                  <w:noWrap w:val="0"/>
                  <w:vAlign w:val="center"/>
                </w:tcPr>
                <w:p w14:paraId="5DC8F019">
                  <w:pPr>
                    <w:pStyle w:val="56"/>
                    <w:bidi w:val="0"/>
                    <w:rPr>
                      <w:rFonts w:hint="default" w:ascii="Times New Roman" w:hAnsi="Times New Roman" w:eastAsia="宋体" w:cs="Times New Roman"/>
                      <w:szCs w:val="21"/>
                      <w:lang w:val="en-US" w:eastAsia="zh-CN"/>
                    </w:rPr>
                  </w:pPr>
                  <w:r>
                    <w:rPr>
                      <w:rFonts w:hint="default"/>
                      <w:lang w:val="en-US" w:eastAsia="zh-CN"/>
                    </w:rPr>
                    <w:t>环保工程</w:t>
                  </w:r>
                </w:p>
              </w:tc>
              <w:tc>
                <w:tcPr>
                  <w:tcW w:w="473" w:type="dxa"/>
                  <w:vMerge w:val="restart"/>
                  <w:tcBorders>
                    <w:top w:val="single" w:color="auto" w:sz="4" w:space="0"/>
                  </w:tcBorders>
                  <w:noWrap w:val="0"/>
                  <w:vAlign w:val="center"/>
                </w:tcPr>
                <w:p w14:paraId="18F3D9AD">
                  <w:pPr>
                    <w:pStyle w:val="56"/>
                    <w:bidi w:val="0"/>
                    <w:rPr>
                      <w:rFonts w:hint="default" w:ascii="Times New Roman" w:hAnsi="Times New Roman" w:eastAsia="宋体" w:cs="Times New Roman"/>
                      <w:szCs w:val="21"/>
                      <w:lang w:val="en-US" w:eastAsia="zh-CN"/>
                    </w:rPr>
                  </w:pPr>
                  <w:r>
                    <w:rPr>
                      <w:rFonts w:hint="default"/>
                      <w:lang w:val="en-US" w:eastAsia="zh-CN"/>
                    </w:rPr>
                    <w:t>废气</w:t>
                  </w:r>
                </w:p>
              </w:tc>
              <w:tc>
                <w:tcPr>
                  <w:tcW w:w="1013" w:type="dxa"/>
                  <w:tcBorders>
                    <w:top w:val="single" w:color="auto" w:sz="4" w:space="0"/>
                    <w:bottom w:val="single" w:color="auto" w:sz="4" w:space="0"/>
                    <w:right w:val="single" w:color="auto" w:sz="4" w:space="0"/>
                  </w:tcBorders>
                  <w:noWrap w:val="0"/>
                  <w:vAlign w:val="top"/>
                </w:tcPr>
                <w:p w14:paraId="6B71B2E2">
                  <w:pPr>
                    <w:pStyle w:val="56"/>
                    <w:bidi w:val="0"/>
                    <w:rPr>
                      <w:rFonts w:hint="default" w:ascii="Times New Roman" w:hAnsi="Times New Roman" w:eastAsia="宋体" w:cs="Times New Roman"/>
                      <w:szCs w:val="21"/>
                      <w:lang w:val="en-US" w:eastAsia="zh-CN"/>
                    </w:rPr>
                  </w:pPr>
                  <w:r>
                    <w:rPr>
                      <w:rFonts w:hint="eastAsia"/>
                      <w:lang w:val="en-US" w:eastAsia="zh-CN"/>
                    </w:rPr>
                    <w:t>汽车运输扬尘</w:t>
                  </w:r>
                </w:p>
              </w:tc>
              <w:tc>
                <w:tcPr>
                  <w:tcW w:w="5861" w:type="dxa"/>
                  <w:tcBorders>
                    <w:top w:val="single" w:color="auto" w:sz="4" w:space="0"/>
                    <w:left w:val="single" w:color="auto" w:sz="4" w:space="0"/>
                    <w:bottom w:val="single" w:color="auto" w:sz="4" w:space="0"/>
                  </w:tcBorders>
                  <w:noWrap w:val="0"/>
                  <w:vAlign w:val="center"/>
                </w:tcPr>
                <w:p w14:paraId="68BA13F9">
                  <w:pPr>
                    <w:pStyle w:val="56"/>
                    <w:bidi w:val="0"/>
                    <w:jc w:val="left"/>
                    <w:rPr>
                      <w:rFonts w:hint="default" w:ascii="Times New Roman" w:hAnsi="Times New Roman" w:eastAsia="宋体" w:cs="Times New Roman"/>
                      <w:szCs w:val="21"/>
                      <w:lang w:val="en-US" w:eastAsia="zh-CN"/>
                    </w:rPr>
                  </w:pPr>
                  <w:r>
                    <w:rPr>
                      <w:rFonts w:hint="eastAsia"/>
                      <w:lang w:val="en-US" w:eastAsia="zh-CN"/>
                    </w:rPr>
                    <w:t>在厂区大门</w:t>
                  </w:r>
                  <w:r>
                    <w:rPr>
                      <w:rFonts w:hint="default"/>
                      <w:lang w:val="en-US" w:eastAsia="zh-CN"/>
                    </w:rPr>
                    <w:t>设置1座20m</w:t>
                  </w:r>
                  <w:r>
                    <w:rPr>
                      <w:rFonts w:hint="default"/>
                      <w:vertAlign w:val="superscript"/>
                      <w:lang w:val="en-US" w:eastAsia="zh-CN"/>
                    </w:rPr>
                    <w:t>3</w:t>
                  </w:r>
                  <w:r>
                    <w:rPr>
                      <w:rFonts w:hint="default"/>
                      <w:lang w:val="en-US" w:eastAsia="zh-CN"/>
                    </w:rPr>
                    <w:t>车辆冲洗沉淀池，车辆冲洗废水经沉淀后</w:t>
                  </w:r>
                  <w:r>
                    <w:rPr>
                      <w:rFonts w:hint="eastAsia"/>
                      <w:lang w:val="en-US" w:eastAsia="zh-CN"/>
                    </w:rPr>
                    <w:t>循环使用</w:t>
                  </w:r>
                  <w:r>
                    <w:rPr>
                      <w:rFonts w:hint="default"/>
                      <w:lang w:val="en-US" w:eastAsia="zh-CN"/>
                    </w:rPr>
                    <w:t>不外排</w:t>
                  </w:r>
                  <w:r>
                    <w:rPr>
                      <w:rFonts w:hint="eastAsia"/>
                      <w:lang w:val="en-US" w:eastAsia="zh-CN"/>
                    </w:rPr>
                    <w:t>。</w:t>
                  </w:r>
                </w:p>
              </w:tc>
              <w:tc>
                <w:tcPr>
                  <w:tcW w:w="474" w:type="dxa"/>
                  <w:tcBorders>
                    <w:top w:val="single" w:color="auto" w:sz="4" w:space="0"/>
                    <w:left w:val="single" w:color="auto" w:sz="4" w:space="0"/>
                    <w:bottom w:val="single" w:color="auto" w:sz="4" w:space="0"/>
                  </w:tcBorders>
                  <w:noWrap w:val="0"/>
                  <w:vAlign w:val="center"/>
                </w:tcPr>
                <w:p w14:paraId="38C67BD3">
                  <w:pPr>
                    <w:pStyle w:val="56"/>
                    <w:bidi w:val="0"/>
                    <w:rPr>
                      <w:rFonts w:hint="default" w:ascii="Times New Roman" w:hAnsi="Times New Roman" w:eastAsia="宋体" w:cs="Times New Roman"/>
                      <w:szCs w:val="21"/>
                      <w:lang w:val="en-US" w:eastAsia="zh-CN"/>
                    </w:rPr>
                  </w:pPr>
                  <w:r>
                    <w:rPr>
                      <w:rFonts w:hint="eastAsia"/>
                      <w:lang w:val="en-US" w:eastAsia="zh-CN"/>
                    </w:rPr>
                    <w:t>新建</w:t>
                  </w:r>
                </w:p>
              </w:tc>
            </w:tr>
            <w:tr w14:paraId="6B9202C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567" w:type="dxa"/>
                  <w:vMerge w:val="continue"/>
                  <w:tcBorders>
                    <w:top w:val="single" w:color="auto" w:sz="4" w:space="0"/>
                  </w:tcBorders>
                  <w:noWrap w:val="0"/>
                  <w:vAlign w:val="center"/>
                </w:tcPr>
                <w:p w14:paraId="19EB724A">
                  <w:pPr>
                    <w:pStyle w:val="56"/>
                    <w:bidi w:val="0"/>
                    <w:spacing w:line="240" w:lineRule="auto"/>
                    <w:rPr>
                      <w:rFonts w:hint="default" w:ascii="Times New Roman" w:hAnsi="Times New Roman" w:eastAsia="宋体" w:cs="Times New Roman"/>
                      <w:sz w:val="21"/>
                      <w:szCs w:val="21"/>
                      <w:lang w:val="en-US" w:eastAsia="zh-CN"/>
                    </w:rPr>
                  </w:pPr>
                </w:p>
              </w:tc>
              <w:tc>
                <w:tcPr>
                  <w:tcW w:w="473" w:type="dxa"/>
                  <w:vMerge w:val="continue"/>
                  <w:noWrap w:val="0"/>
                  <w:vAlign w:val="center"/>
                </w:tcPr>
                <w:p w14:paraId="14D3E033">
                  <w:pPr>
                    <w:pStyle w:val="56"/>
                    <w:bidi w:val="0"/>
                    <w:spacing w:line="240" w:lineRule="auto"/>
                    <w:rPr>
                      <w:rFonts w:hint="default" w:ascii="Times New Roman" w:hAnsi="Times New Roman" w:eastAsia="宋体" w:cs="Times New Roman"/>
                      <w:sz w:val="21"/>
                      <w:szCs w:val="21"/>
                      <w:lang w:val="en-US" w:eastAsia="zh-CN"/>
                    </w:rPr>
                  </w:pPr>
                </w:p>
              </w:tc>
              <w:tc>
                <w:tcPr>
                  <w:tcW w:w="1013" w:type="dxa"/>
                  <w:tcBorders>
                    <w:top w:val="single" w:color="auto" w:sz="4" w:space="0"/>
                    <w:bottom w:val="single" w:color="auto" w:sz="4" w:space="0"/>
                    <w:right w:val="single" w:color="auto" w:sz="4" w:space="0"/>
                  </w:tcBorders>
                  <w:noWrap w:val="0"/>
                  <w:vAlign w:val="center"/>
                </w:tcPr>
                <w:p w14:paraId="325C0D53">
                  <w:pPr>
                    <w:pStyle w:val="56"/>
                    <w:bidi w:val="0"/>
                    <w:jc w:val="left"/>
                    <w:rPr>
                      <w:rFonts w:hint="default" w:ascii="Times New Roman" w:hAnsi="Times New Roman" w:eastAsia="宋体" w:cs="Times New Roman"/>
                      <w:szCs w:val="21"/>
                      <w:lang w:val="en-US" w:eastAsia="zh-CN"/>
                    </w:rPr>
                  </w:pPr>
                  <w:r>
                    <w:rPr>
                      <w:rFonts w:hint="eastAsia"/>
                      <w:lang w:val="en-US" w:eastAsia="zh-CN"/>
                    </w:rPr>
                    <w:t>卸料、风蚀、投料粉尘</w:t>
                  </w:r>
                </w:p>
              </w:tc>
              <w:tc>
                <w:tcPr>
                  <w:tcW w:w="5861" w:type="dxa"/>
                  <w:tcBorders>
                    <w:top w:val="single" w:color="auto" w:sz="4" w:space="0"/>
                    <w:left w:val="single" w:color="auto" w:sz="4" w:space="0"/>
                    <w:bottom w:val="single" w:color="auto" w:sz="4" w:space="0"/>
                  </w:tcBorders>
                  <w:noWrap w:val="0"/>
                  <w:vAlign w:val="center"/>
                </w:tcPr>
                <w:p w14:paraId="56A8E9A0">
                  <w:pPr>
                    <w:pStyle w:val="56"/>
                    <w:bidi w:val="0"/>
                    <w:rPr>
                      <w:rFonts w:hint="default" w:ascii="Times New Roman" w:hAnsi="Times New Roman" w:eastAsia="宋体" w:cs="Times New Roman"/>
                      <w:szCs w:val="21"/>
                      <w:lang w:val="en-US" w:eastAsia="zh-CN"/>
                    </w:rPr>
                  </w:pPr>
                  <w:r>
                    <w:rPr>
                      <w:rFonts w:hint="eastAsia"/>
                      <w:lang w:val="en-US" w:eastAsia="zh-CN"/>
                    </w:rPr>
                    <w:t>车间密闭，洒水降尘。</w:t>
                  </w:r>
                </w:p>
              </w:tc>
              <w:tc>
                <w:tcPr>
                  <w:tcW w:w="474" w:type="dxa"/>
                  <w:tcBorders>
                    <w:top w:val="single" w:color="auto" w:sz="4" w:space="0"/>
                    <w:left w:val="single" w:color="auto" w:sz="4" w:space="0"/>
                    <w:bottom w:val="single" w:color="auto" w:sz="4" w:space="0"/>
                  </w:tcBorders>
                  <w:noWrap w:val="0"/>
                  <w:vAlign w:val="center"/>
                </w:tcPr>
                <w:p w14:paraId="6E95848C">
                  <w:pPr>
                    <w:pStyle w:val="56"/>
                    <w:bidi w:val="0"/>
                    <w:rPr>
                      <w:rFonts w:hint="default" w:ascii="Times New Roman" w:hAnsi="Times New Roman" w:eastAsia="宋体" w:cs="Times New Roman"/>
                      <w:szCs w:val="21"/>
                      <w:lang w:val="en-US" w:eastAsia="zh-CN"/>
                    </w:rPr>
                  </w:pPr>
                  <w:r>
                    <w:rPr>
                      <w:rFonts w:hint="eastAsia"/>
                      <w:lang w:val="en-US" w:eastAsia="zh-CN"/>
                    </w:rPr>
                    <w:t>新建</w:t>
                  </w:r>
                </w:p>
              </w:tc>
            </w:tr>
            <w:tr w14:paraId="4014141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567" w:type="dxa"/>
                  <w:vMerge w:val="continue"/>
                  <w:tcBorders>
                    <w:top w:val="single" w:color="auto" w:sz="4" w:space="0"/>
                  </w:tcBorders>
                  <w:noWrap w:val="0"/>
                  <w:vAlign w:val="center"/>
                </w:tcPr>
                <w:p w14:paraId="706E588C">
                  <w:pPr>
                    <w:pStyle w:val="56"/>
                    <w:bidi w:val="0"/>
                    <w:spacing w:line="240" w:lineRule="auto"/>
                    <w:rPr>
                      <w:rFonts w:hint="default" w:ascii="Times New Roman" w:hAnsi="Times New Roman" w:eastAsia="宋体" w:cs="Times New Roman"/>
                      <w:sz w:val="21"/>
                      <w:szCs w:val="21"/>
                      <w:lang w:val="en-US" w:eastAsia="zh-CN"/>
                    </w:rPr>
                  </w:pPr>
                </w:p>
              </w:tc>
              <w:tc>
                <w:tcPr>
                  <w:tcW w:w="473" w:type="dxa"/>
                  <w:vMerge w:val="continue"/>
                  <w:noWrap w:val="0"/>
                  <w:vAlign w:val="center"/>
                </w:tcPr>
                <w:p w14:paraId="47DB7E07">
                  <w:pPr>
                    <w:pStyle w:val="56"/>
                    <w:bidi w:val="0"/>
                    <w:spacing w:line="240" w:lineRule="auto"/>
                    <w:rPr>
                      <w:rFonts w:hint="default" w:ascii="Times New Roman" w:hAnsi="Times New Roman" w:eastAsia="宋体" w:cs="Times New Roman"/>
                      <w:sz w:val="21"/>
                      <w:szCs w:val="21"/>
                      <w:lang w:val="en-US" w:eastAsia="zh-CN"/>
                    </w:rPr>
                  </w:pPr>
                </w:p>
              </w:tc>
              <w:tc>
                <w:tcPr>
                  <w:tcW w:w="1013" w:type="dxa"/>
                  <w:tcBorders>
                    <w:top w:val="single" w:color="auto" w:sz="4" w:space="0"/>
                    <w:bottom w:val="single" w:color="auto" w:sz="4" w:space="0"/>
                    <w:right w:val="single" w:color="auto" w:sz="4" w:space="0"/>
                  </w:tcBorders>
                  <w:noWrap w:val="0"/>
                  <w:vAlign w:val="center"/>
                </w:tcPr>
                <w:p w14:paraId="289675A9">
                  <w:pPr>
                    <w:pStyle w:val="56"/>
                    <w:bidi w:val="0"/>
                    <w:jc w:val="left"/>
                    <w:rPr>
                      <w:rFonts w:hint="default" w:ascii="Times New Roman" w:hAnsi="Times New Roman" w:eastAsia="宋体" w:cs="Times New Roman"/>
                      <w:szCs w:val="21"/>
                      <w:lang w:val="en-US" w:eastAsia="zh-CN"/>
                    </w:rPr>
                  </w:pPr>
                  <w:r>
                    <w:rPr>
                      <w:rFonts w:hint="eastAsia"/>
                      <w:lang w:val="en-US" w:eastAsia="zh-CN"/>
                    </w:rPr>
                    <w:t>搅拌，废气</w:t>
                  </w:r>
                </w:p>
              </w:tc>
              <w:tc>
                <w:tcPr>
                  <w:tcW w:w="5861" w:type="dxa"/>
                  <w:tcBorders>
                    <w:top w:val="single" w:color="auto" w:sz="4" w:space="0"/>
                    <w:left w:val="single" w:color="auto" w:sz="4" w:space="0"/>
                    <w:bottom w:val="single" w:color="auto" w:sz="4" w:space="0"/>
                  </w:tcBorders>
                  <w:noWrap w:val="0"/>
                  <w:vAlign w:val="center"/>
                </w:tcPr>
                <w:p w14:paraId="5216FD49">
                  <w:pPr>
                    <w:pStyle w:val="56"/>
                    <w:bidi w:val="0"/>
                    <w:jc w:val="left"/>
                    <w:rPr>
                      <w:rFonts w:hint="default" w:ascii="Times New Roman" w:hAnsi="Times New Roman" w:eastAsia="宋体" w:cs="Times New Roman"/>
                      <w:szCs w:val="21"/>
                      <w:lang w:val="en-US" w:eastAsia="zh-CN"/>
                    </w:rPr>
                  </w:pPr>
                  <w:r>
                    <w:rPr>
                      <w:rFonts w:hint="eastAsia"/>
                      <w:lang w:val="en-US" w:eastAsia="zh-CN"/>
                    </w:rPr>
                    <w:t>搅拌机处设置布袋除尘器对废气收集后经15m高排气筒有组织排放</w:t>
                  </w:r>
                </w:p>
              </w:tc>
              <w:tc>
                <w:tcPr>
                  <w:tcW w:w="474" w:type="dxa"/>
                  <w:tcBorders>
                    <w:top w:val="single" w:color="auto" w:sz="4" w:space="0"/>
                    <w:left w:val="single" w:color="auto" w:sz="4" w:space="0"/>
                    <w:bottom w:val="single" w:color="auto" w:sz="4" w:space="0"/>
                  </w:tcBorders>
                  <w:noWrap w:val="0"/>
                  <w:vAlign w:val="center"/>
                </w:tcPr>
                <w:p w14:paraId="267DB1DB">
                  <w:pPr>
                    <w:pStyle w:val="56"/>
                    <w:bidi w:val="0"/>
                    <w:rPr>
                      <w:rFonts w:hint="default" w:ascii="Times New Roman" w:hAnsi="Times New Roman" w:eastAsia="宋体" w:cs="Times New Roman"/>
                      <w:szCs w:val="21"/>
                      <w:lang w:val="en-US" w:eastAsia="zh-CN"/>
                    </w:rPr>
                  </w:pPr>
                  <w:r>
                    <w:rPr>
                      <w:rFonts w:hint="eastAsia"/>
                      <w:lang w:val="en-US" w:eastAsia="zh-CN"/>
                    </w:rPr>
                    <w:t>新建</w:t>
                  </w:r>
                </w:p>
              </w:tc>
            </w:tr>
            <w:tr w14:paraId="511C03D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567" w:type="dxa"/>
                  <w:vMerge w:val="continue"/>
                  <w:tcBorders>
                    <w:top w:val="single" w:color="auto" w:sz="4" w:space="0"/>
                  </w:tcBorders>
                  <w:noWrap w:val="0"/>
                  <w:vAlign w:val="center"/>
                </w:tcPr>
                <w:p w14:paraId="3FE11520">
                  <w:pPr>
                    <w:pStyle w:val="56"/>
                    <w:bidi w:val="0"/>
                    <w:spacing w:line="240" w:lineRule="auto"/>
                    <w:rPr>
                      <w:rFonts w:hint="default" w:ascii="Times New Roman" w:hAnsi="Times New Roman" w:eastAsia="宋体" w:cs="Times New Roman"/>
                      <w:sz w:val="21"/>
                      <w:szCs w:val="21"/>
                      <w:lang w:val="en-US" w:eastAsia="zh-CN"/>
                    </w:rPr>
                  </w:pPr>
                </w:p>
              </w:tc>
              <w:tc>
                <w:tcPr>
                  <w:tcW w:w="473" w:type="dxa"/>
                  <w:vMerge w:val="continue"/>
                  <w:noWrap w:val="0"/>
                  <w:vAlign w:val="center"/>
                </w:tcPr>
                <w:p w14:paraId="1198E530">
                  <w:pPr>
                    <w:pStyle w:val="56"/>
                    <w:bidi w:val="0"/>
                    <w:spacing w:line="240" w:lineRule="auto"/>
                    <w:rPr>
                      <w:rFonts w:hint="default" w:ascii="Times New Roman" w:hAnsi="Times New Roman" w:eastAsia="宋体" w:cs="Times New Roman"/>
                      <w:sz w:val="21"/>
                      <w:szCs w:val="21"/>
                      <w:lang w:val="en-US" w:eastAsia="zh-CN"/>
                    </w:rPr>
                  </w:pPr>
                </w:p>
              </w:tc>
              <w:tc>
                <w:tcPr>
                  <w:tcW w:w="1013" w:type="dxa"/>
                  <w:tcBorders>
                    <w:top w:val="single" w:color="auto" w:sz="4" w:space="0"/>
                    <w:bottom w:val="single" w:color="auto" w:sz="4" w:space="0"/>
                    <w:right w:val="single" w:color="auto" w:sz="4" w:space="0"/>
                  </w:tcBorders>
                  <w:noWrap w:val="0"/>
                  <w:vAlign w:val="top"/>
                </w:tcPr>
                <w:p w14:paraId="5BBC647F">
                  <w:pPr>
                    <w:pStyle w:val="56"/>
                    <w:bidi w:val="0"/>
                    <w:jc w:val="left"/>
                    <w:rPr>
                      <w:rFonts w:hint="eastAsia" w:cs="Times New Roman"/>
                      <w:szCs w:val="21"/>
                      <w:lang w:val="en-US" w:eastAsia="zh-CN"/>
                    </w:rPr>
                  </w:pPr>
                  <w:r>
                    <w:rPr>
                      <w:rFonts w:hint="eastAsia"/>
                      <w:lang w:val="en-US" w:eastAsia="zh-CN"/>
                    </w:rPr>
                    <w:t>焊接烟尘</w:t>
                  </w:r>
                </w:p>
              </w:tc>
              <w:tc>
                <w:tcPr>
                  <w:tcW w:w="5861" w:type="dxa"/>
                  <w:tcBorders>
                    <w:top w:val="single" w:color="auto" w:sz="4" w:space="0"/>
                    <w:left w:val="single" w:color="auto" w:sz="4" w:space="0"/>
                    <w:bottom w:val="single" w:color="auto" w:sz="4" w:space="0"/>
                  </w:tcBorders>
                  <w:noWrap w:val="0"/>
                  <w:vAlign w:val="center"/>
                </w:tcPr>
                <w:p w14:paraId="46B99A6C">
                  <w:pPr>
                    <w:pStyle w:val="56"/>
                    <w:bidi w:val="0"/>
                    <w:rPr>
                      <w:rFonts w:hint="eastAsia" w:cs="Times New Roman"/>
                      <w:szCs w:val="21"/>
                      <w:lang w:val="en-US" w:eastAsia="zh-CN"/>
                    </w:rPr>
                  </w:pPr>
                  <w:r>
                    <w:rPr>
                      <w:rFonts w:hint="eastAsia"/>
                      <w:lang w:val="en-US" w:eastAsia="zh-CN"/>
                    </w:rPr>
                    <w:t>焊接烟尘经移动式焊接烟尘净化器处理后呈无组织排放</w:t>
                  </w:r>
                </w:p>
              </w:tc>
              <w:tc>
                <w:tcPr>
                  <w:tcW w:w="474" w:type="dxa"/>
                  <w:tcBorders>
                    <w:top w:val="single" w:color="auto" w:sz="4" w:space="0"/>
                    <w:left w:val="single" w:color="auto" w:sz="4" w:space="0"/>
                    <w:bottom w:val="single" w:color="auto" w:sz="4" w:space="0"/>
                  </w:tcBorders>
                  <w:noWrap w:val="0"/>
                  <w:vAlign w:val="center"/>
                </w:tcPr>
                <w:p w14:paraId="75BE59AF">
                  <w:pPr>
                    <w:pStyle w:val="56"/>
                    <w:bidi w:val="0"/>
                    <w:rPr>
                      <w:rFonts w:hint="eastAsia" w:ascii="Times New Roman" w:hAnsi="Times New Roman" w:eastAsia="宋体" w:cs="Times New Roman"/>
                      <w:szCs w:val="21"/>
                      <w:lang w:val="en-US" w:eastAsia="zh-CN"/>
                    </w:rPr>
                  </w:pPr>
                  <w:r>
                    <w:rPr>
                      <w:rFonts w:hint="eastAsia"/>
                      <w:lang w:val="en-US" w:eastAsia="zh-CN"/>
                    </w:rPr>
                    <w:t>新建</w:t>
                  </w:r>
                </w:p>
              </w:tc>
            </w:tr>
            <w:tr w14:paraId="40B58DF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65" w:hRule="atLeast"/>
                <w:jc w:val="center"/>
              </w:trPr>
              <w:tc>
                <w:tcPr>
                  <w:tcW w:w="567" w:type="dxa"/>
                  <w:vMerge w:val="continue"/>
                  <w:noWrap w:val="0"/>
                  <w:vAlign w:val="center"/>
                </w:tcPr>
                <w:p w14:paraId="1784071A">
                  <w:pPr>
                    <w:pStyle w:val="56"/>
                    <w:bidi w:val="0"/>
                    <w:spacing w:line="240" w:lineRule="auto"/>
                    <w:rPr>
                      <w:rFonts w:hint="default" w:ascii="Times New Roman" w:hAnsi="Times New Roman" w:eastAsia="宋体" w:cs="Times New Roman"/>
                      <w:sz w:val="21"/>
                      <w:szCs w:val="21"/>
                      <w:lang w:val="en-US" w:eastAsia="zh-CN"/>
                    </w:rPr>
                  </w:pPr>
                </w:p>
              </w:tc>
              <w:tc>
                <w:tcPr>
                  <w:tcW w:w="473" w:type="dxa"/>
                  <w:vMerge w:val="restart"/>
                  <w:tcBorders>
                    <w:right w:val="single" w:color="auto" w:sz="4" w:space="0"/>
                  </w:tcBorders>
                  <w:noWrap w:val="0"/>
                  <w:vAlign w:val="center"/>
                </w:tcPr>
                <w:p w14:paraId="41CF4E6D">
                  <w:pPr>
                    <w:pStyle w:val="56"/>
                    <w:bidi w:val="0"/>
                    <w:rPr>
                      <w:rFonts w:hint="default" w:ascii="Times New Roman" w:hAnsi="Times New Roman" w:eastAsia="宋体" w:cs="Times New Roman"/>
                      <w:szCs w:val="21"/>
                      <w:lang w:val="en-US" w:eastAsia="zh-CN"/>
                    </w:rPr>
                  </w:pPr>
                  <w:r>
                    <w:rPr>
                      <w:rFonts w:hint="default"/>
                      <w:lang w:val="en-US" w:eastAsia="zh-CN"/>
                    </w:rPr>
                    <w:t>废水</w:t>
                  </w:r>
                </w:p>
              </w:tc>
              <w:tc>
                <w:tcPr>
                  <w:tcW w:w="1013" w:type="dxa"/>
                  <w:tcBorders>
                    <w:left w:val="single" w:color="auto" w:sz="4" w:space="0"/>
                    <w:right w:val="single" w:color="auto" w:sz="4" w:space="0"/>
                  </w:tcBorders>
                  <w:noWrap w:val="0"/>
                  <w:vAlign w:val="center"/>
                </w:tcPr>
                <w:p w14:paraId="0EC42955">
                  <w:pPr>
                    <w:pStyle w:val="56"/>
                    <w:bidi w:val="0"/>
                    <w:rPr>
                      <w:rFonts w:hint="default" w:ascii="Times New Roman" w:hAnsi="Times New Roman" w:eastAsia="宋体" w:cs="Times New Roman"/>
                      <w:szCs w:val="21"/>
                      <w:lang w:val="en-US" w:eastAsia="zh-CN"/>
                    </w:rPr>
                  </w:pPr>
                  <w:r>
                    <w:rPr>
                      <w:rFonts w:hint="default"/>
                      <w:lang w:val="en-US" w:eastAsia="zh-CN"/>
                    </w:rPr>
                    <w:t>生产废水</w:t>
                  </w:r>
                </w:p>
              </w:tc>
              <w:tc>
                <w:tcPr>
                  <w:tcW w:w="5861" w:type="dxa"/>
                  <w:tcBorders>
                    <w:left w:val="single" w:color="auto" w:sz="4" w:space="0"/>
                  </w:tcBorders>
                  <w:noWrap w:val="0"/>
                  <w:vAlign w:val="center"/>
                </w:tcPr>
                <w:p w14:paraId="11B724B5">
                  <w:pPr>
                    <w:pStyle w:val="56"/>
                    <w:bidi w:val="0"/>
                    <w:jc w:val="left"/>
                    <w:rPr>
                      <w:rFonts w:hint="default" w:ascii="Times New Roman" w:hAnsi="Times New Roman" w:eastAsia="宋体" w:cs="Times New Roman"/>
                      <w:szCs w:val="21"/>
                      <w:lang w:val="en-US" w:eastAsia="zh-CN"/>
                    </w:rPr>
                  </w:pPr>
                  <w:r>
                    <w:rPr>
                      <w:rFonts w:hint="eastAsia"/>
                    </w:rPr>
                    <w:t>本项目混凝土搅拌用水全部进入产品，产品养护用水全部蒸发损耗，无废水外排；设备冲洗废水经沉淀处理后，回用作搅拌用水；</w:t>
                  </w:r>
                  <w:r>
                    <w:rPr>
                      <w:rFonts w:hint="eastAsia"/>
                      <w:lang w:val="en-US" w:eastAsia="zh-CN"/>
                    </w:rPr>
                    <w:t>车辆</w:t>
                  </w:r>
                  <w:r>
                    <w:rPr>
                      <w:rFonts w:hint="default"/>
                    </w:rPr>
                    <w:t>冲洗废水</w:t>
                  </w:r>
                  <w:r>
                    <w:rPr>
                      <w:rFonts w:hint="eastAsia"/>
                      <w:lang w:val="en-US" w:eastAsia="zh-CN"/>
                    </w:rPr>
                    <w:t>循环使用不外排、喷淋降尘用水蒸发损耗不外排，初期雨水经沉淀池沉淀后用于喷淋降尘。</w:t>
                  </w:r>
                </w:p>
              </w:tc>
              <w:tc>
                <w:tcPr>
                  <w:tcW w:w="474" w:type="dxa"/>
                  <w:tcBorders>
                    <w:left w:val="single" w:color="auto" w:sz="4" w:space="0"/>
                  </w:tcBorders>
                  <w:noWrap w:val="0"/>
                  <w:vAlign w:val="center"/>
                </w:tcPr>
                <w:p w14:paraId="1ECB4F10">
                  <w:pPr>
                    <w:pStyle w:val="56"/>
                    <w:bidi w:val="0"/>
                    <w:rPr>
                      <w:rFonts w:hint="default" w:ascii="Times New Roman" w:hAnsi="Times New Roman" w:eastAsia="宋体" w:cs="Times New Roman"/>
                      <w:szCs w:val="21"/>
                      <w:lang w:val="en-US" w:eastAsia="zh-CN"/>
                    </w:rPr>
                  </w:pPr>
                  <w:r>
                    <w:rPr>
                      <w:rFonts w:hint="eastAsia"/>
                      <w:lang w:val="en-US" w:eastAsia="zh-CN"/>
                    </w:rPr>
                    <w:t>新建</w:t>
                  </w:r>
                </w:p>
              </w:tc>
            </w:tr>
            <w:tr w14:paraId="75BC55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65" w:hRule="atLeast"/>
                <w:jc w:val="center"/>
              </w:trPr>
              <w:tc>
                <w:tcPr>
                  <w:tcW w:w="567" w:type="dxa"/>
                  <w:vMerge w:val="continue"/>
                  <w:noWrap w:val="0"/>
                  <w:vAlign w:val="center"/>
                </w:tcPr>
                <w:p w14:paraId="7814AA23">
                  <w:pPr>
                    <w:pStyle w:val="56"/>
                    <w:bidi w:val="0"/>
                    <w:spacing w:line="240" w:lineRule="auto"/>
                    <w:rPr>
                      <w:rFonts w:hint="default" w:ascii="Times New Roman" w:hAnsi="Times New Roman" w:eastAsia="宋体" w:cs="Times New Roman"/>
                      <w:sz w:val="21"/>
                      <w:szCs w:val="21"/>
                      <w:lang w:val="en-US" w:eastAsia="zh-CN"/>
                    </w:rPr>
                  </w:pPr>
                </w:p>
              </w:tc>
              <w:tc>
                <w:tcPr>
                  <w:tcW w:w="473" w:type="dxa"/>
                  <w:vMerge w:val="continue"/>
                  <w:tcBorders>
                    <w:right w:val="single" w:color="auto" w:sz="4" w:space="0"/>
                  </w:tcBorders>
                  <w:noWrap w:val="0"/>
                  <w:vAlign w:val="center"/>
                </w:tcPr>
                <w:p w14:paraId="1B46413E">
                  <w:pPr>
                    <w:pStyle w:val="56"/>
                    <w:bidi w:val="0"/>
                    <w:spacing w:line="240" w:lineRule="auto"/>
                    <w:rPr>
                      <w:rFonts w:hint="default" w:ascii="Times New Roman" w:hAnsi="Times New Roman" w:eastAsia="宋体" w:cs="Times New Roman"/>
                      <w:sz w:val="21"/>
                      <w:szCs w:val="21"/>
                      <w:lang w:val="en-US" w:eastAsia="zh-CN"/>
                    </w:rPr>
                  </w:pPr>
                </w:p>
              </w:tc>
              <w:tc>
                <w:tcPr>
                  <w:tcW w:w="1013" w:type="dxa"/>
                  <w:tcBorders>
                    <w:left w:val="single" w:color="auto" w:sz="4" w:space="0"/>
                    <w:right w:val="single" w:color="auto" w:sz="4" w:space="0"/>
                  </w:tcBorders>
                  <w:noWrap w:val="0"/>
                  <w:vAlign w:val="center"/>
                </w:tcPr>
                <w:p w14:paraId="196FD61F">
                  <w:pPr>
                    <w:pStyle w:val="56"/>
                    <w:bidi w:val="0"/>
                    <w:rPr>
                      <w:rFonts w:hint="default" w:ascii="Times New Roman" w:hAnsi="Times New Roman" w:eastAsia="宋体" w:cs="Times New Roman"/>
                      <w:szCs w:val="21"/>
                      <w:lang w:val="en-US" w:eastAsia="zh-CN"/>
                    </w:rPr>
                  </w:pPr>
                  <w:r>
                    <w:rPr>
                      <w:rFonts w:hint="default"/>
                      <w:lang w:val="en-US" w:eastAsia="zh-CN"/>
                    </w:rPr>
                    <w:t>生活污水</w:t>
                  </w:r>
                </w:p>
              </w:tc>
              <w:tc>
                <w:tcPr>
                  <w:tcW w:w="5861" w:type="dxa"/>
                  <w:tcBorders>
                    <w:left w:val="single" w:color="auto" w:sz="4" w:space="0"/>
                  </w:tcBorders>
                  <w:noWrap w:val="0"/>
                  <w:vAlign w:val="center"/>
                </w:tcPr>
                <w:p w14:paraId="1806321C">
                  <w:pPr>
                    <w:pStyle w:val="56"/>
                    <w:bidi w:val="0"/>
                    <w:jc w:val="left"/>
                    <w:rPr>
                      <w:rFonts w:hint="default" w:ascii="Times New Roman" w:hAnsi="Times New Roman" w:eastAsia="宋体" w:cs="Times New Roman"/>
                      <w:szCs w:val="21"/>
                      <w:lang w:val="en-US" w:eastAsia="zh-CN"/>
                    </w:rPr>
                  </w:pPr>
                  <w:r>
                    <w:rPr>
                      <w:rFonts w:hint="eastAsia"/>
                      <w:lang w:val="en-US" w:eastAsia="zh-CN"/>
                    </w:rPr>
                    <w:t>员工生活污水经化粪池预处理后排入高安市工业园污水处理厂进行深度处理，处理达标后排入锦江。</w:t>
                  </w:r>
                </w:p>
              </w:tc>
              <w:tc>
                <w:tcPr>
                  <w:tcW w:w="474" w:type="dxa"/>
                  <w:tcBorders>
                    <w:left w:val="single" w:color="auto" w:sz="4" w:space="0"/>
                  </w:tcBorders>
                  <w:noWrap w:val="0"/>
                  <w:vAlign w:val="center"/>
                </w:tcPr>
                <w:p w14:paraId="4A9A77F8">
                  <w:pPr>
                    <w:pStyle w:val="56"/>
                    <w:bidi w:val="0"/>
                    <w:rPr>
                      <w:rFonts w:hint="eastAsia" w:ascii="Times New Roman" w:hAnsi="Times New Roman" w:eastAsia="宋体" w:cs="Times New Roman"/>
                      <w:szCs w:val="21"/>
                      <w:lang w:val="en-US" w:eastAsia="zh-CN"/>
                    </w:rPr>
                  </w:pPr>
                  <w:r>
                    <w:rPr>
                      <w:rFonts w:hint="eastAsia"/>
                      <w:lang w:val="en-US" w:eastAsia="zh-CN"/>
                    </w:rPr>
                    <w:t>新建</w:t>
                  </w:r>
                </w:p>
              </w:tc>
            </w:tr>
            <w:tr w14:paraId="513A49F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65" w:hRule="atLeast"/>
                <w:jc w:val="center"/>
              </w:trPr>
              <w:tc>
                <w:tcPr>
                  <w:tcW w:w="567" w:type="dxa"/>
                  <w:vMerge w:val="continue"/>
                  <w:noWrap w:val="0"/>
                  <w:vAlign w:val="center"/>
                </w:tcPr>
                <w:p w14:paraId="29FC75D0">
                  <w:pPr>
                    <w:pStyle w:val="56"/>
                    <w:bidi w:val="0"/>
                    <w:spacing w:line="240" w:lineRule="auto"/>
                    <w:rPr>
                      <w:rFonts w:hint="default" w:ascii="Times New Roman" w:hAnsi="Times New Roman" w:eastAsia="宋体" w:cs="Times New Roman"/>
                      <w:sz w:val="21"/>
                      <w:szCs w:val="21"/>
                      <w:lang w:val="en-US" w:eastAsia="zh-CN"/>
                    </w:rPr>
                  </w:pPr>
                </w:p>
              </w:tc>
              <w:tc>
                <w:tcPr>
                  <w:tcW w:w="473" w:type="dxa"/>
                  <w:vMerge w:val="continue"/>
                  <w:tcBorders>
                    <w:right w:val="single" w:color="auto" w:sz="4" w:space="0"/>
                  </w:tcBorders>
                  <w:noWrap w:val="0"/>
                  <w:vAlign w:val="center"/>
                </w:tcPr>
                <w:p w14:paraId="0A4EDEF8">
                  <w:pPr>
                    <w:pStyle w:val="56"/>
                    <w:bidi w:val="0"/>
                    <w:spacing w:line="240" w:lineRule="auto"/>
                    <w:rPr>
                      <w:rFonts w:hint="default" w:ascii="Times New Roman" w:hAnsi="Times New Roman" w:eastAsia="宋体" w:cs="Times New Roman"/>
                      <w:sz w:val="21"/>
                      <w:szCs w:val="21"/>
                      <w:lang w:val="en-US" w:eastAsia="zh-CN"/>
                    </w:rPr>
                  </w:pPr>
                </w:p>
              </w:tc>
              <w:tc>
                <w:tcPr>
                  <w:tcW w:w="1013" w:type="dxa"/>
                  <w:tcBorders>
                    <w:left w:val="single" w:color="auto" w:sz="4" w:space="0"/>
                    <w:right w:val="single" w:color="auto" w:sz="4" w:space="0"/>
                  </w:tcBorders>
                  <w:noWrap w:val="0"/>
                  <w:vAlign w:val="center"/>
                </w:tcPr>
                <w:p w14:paraId="2F145ED2">
                  <w:pPr>
                    <w:pStyle w:val="56"/>
                    <w:bidi w:val="0"/>
                    <w:rPr>
                      <w:rFonts w:hint="default"/>
                      <w:color w:val="FF0000"/>
                      <w:lang w:val="en-US" w:eastAsia="zh-CN"/>
                    </w:rPr>
                  </w:pPr>
                  <w:r>
                    <w:rPr>
                      <w:rFonts w:hint="eastAsia"/>
                      <w:color w:val="FF0000"/>
                      <w:lang w:val="en-US" w:eastAsia="zh-CN"/>
                    </w:rPr>
                    <w:t>初期雨水</w:t>
                  </w:r>
                </w:p>
              </w:tc>
              <w:tc>
                <w:tcPr>
                  <w:tcW w:w="5861" w:type="dxa"/>
                  <w:tcBorders>
                    <w:left w:val="single" w:color="auto" w:sz="4" w:space="0"/>
                  </w:tcBorders>
                  <w:noWrap w:val="0"/>
                  <w:vAlign w:val="center"/>
                </w:tcPr>
                <w:p w14:paraId="590249A3">
                  <w:pPr>
                    <w:pStyle w:val="56"/>
                    <w:bidi w:val="0"/>
                    <w:jc w:val="left"/>
                    <w:rPr>
                      <w:rFonts w:hint="default"/>
                      <w:color w:val="FF0000"/>
                      <w:lang w:val="en-US" w:eastAsia="zh-CN"/>
                    </w:rPr>
                  </w:pPr>
                  <w:r>
                    <w:rPr>
                      <w:rFonts w:hint="eastAsia"/>
                      <w:color w:val="FF0000"/>
                      <w:lang w:val="en-US" w:eastAsia="zh-CN"/>
                    </w:rPr>
                    <w:t>厂区初期雨水经初期雨水池（600m</w:t>
                  </w:r>
                  <w:r>
                    <w:rPr>
                      <w:rFonts w:hint="eastAsia"/>
                      <w:color w:val="FF0000"/>
                      <w:vertAlign w:val="superscript"/>
                      <w:lang w:val="en-US" w:eastAsia="zh-CN"/>
                    </w:rPr>
                    <w:t>3</w:t>
                  </w:r>
                  <w:r>
                    <w:rPr>
                      <w:rFonts w:hint="eastAsia"/>
                      <w:color w:val="FF0000"/>
                      <w:lang w:val="en-US" w:eastAsia="zh-CN"/>
                    </w:rPr>
                    <w:t>）沉淀后用于厂区喷淋降尘及绿化用水，多余部分排入高安市工业园污水处理厂进行深度处理，处理达标后排入锦江</w:t>
                  </w:r>
                </w:p>
              </w:tc>
              <w:tc>
                <w:tcPr>
                  <w:tcW w:w="474" w:type="dxa"/>
                  <w:tcBorders>
                    <w:left w:val="single" w:color="auto" w:sz="4" w:space="0"/>
                  </w:tcBorders>
                  <w:noWrap w:val="0"/>
                  <w:vAlign w:val="center"/>
                </w:tcPr>
                <w:p w14:paraId="4A815BF1">
                  <w:pPr>
                    <w:pStyle w:val="56"/>
                    <w:bidi w:val="0"/>
                    <w:rPr>
                      <w:rFonts w:hint="eastAsia"/>
                      <w:color w:val="FF0000"/>
                      <w:lang w:val="en-US" w:eastAsia="zh-CN"/>
                    </w:rPr>
                  </w:pPr>
                  <w:r>
                    <w:rPr>
                      <w:rFonts w:hint="eastAsia"/>
                      <w:color w:val="FF0000"/>
                      <w:lang w:val="en-US" w:eastAsia="zh-CN"/>
                    </w:rPr>
                    <w:t>新建</w:t>
                  </w:r>
                </w:p>
              </w:tc>
            </w:tr>
            <w:tr w14:paraId="62C268E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567" w:type="dxa"/>
                  <w:vMerge w:val="continue"/>
                  <w:noWrap w:val="0"/>
                  <w:vAlign w:val="center"/>
                </w:tcPr>
                <w:p w14:paraId="528E4C2F">
                  <w:pPr>
                    <w:pStyle w:val="56"/>
                    <w:bidi w:val="0"/>
                    <w:spacing w:line="240" w:lineRule="auto"/>
                    <w:rPr>
                      <w:rFonts w:hint="default" w:ascii="Times New Roman" w:hAnsi="Times New Roman" w:eastAsia="宋体" w:cs="Times New Roman"/>
                      <w:sz w:val="21"/>
                      <w:szCs w:val="21"/>
                      <w:lang w:val="en-US" w:eastAsia="zh-CN"/>
                    </w:rPr>
                  </w:pPr>
                </w:p>
              </w:tc>
              <w:tc>
                <w:tcPr>
                  <w:tcW w:w="473" w:type="dxa"/>
                  <w:tcBorders>
                    <w:right w:val="single" w:color="auto" w:sz="4" w:space="0"/>
                  </w:tcBorders>
                  <w:noWrap w:val="0"/>
                  <w:vAlign w:val="center"/>
                </w:tcPr>
                <w:p w14:paraId="480817F6">
                  <w:pPr>
                    <w:pStyle w:val="56"/>
                    <w:bidi w:val="0"/>
                    <w:rPr>
                      <w:rFonts w:hint="default" w:ascii="Times New Roman" w:hAnsi="Times New Roman" w:eastAsia="宋体" w:cs="Times New Roman"/>
                      <w:szCs w:val="21"/>
                      <w:lang w:val="en-US" w:eastAsia="zh-CN"/>
                    </w:rPr>
                  </w:pPr>
                  <w:r>
                    <w:rPr>
                      <w:rFonts w:hint="default"/>
                      <w:lang w:val="en-US" w:eastAsia="zh-CN"/>
                    </w:rPr>
                    <w:t>固废</w:t>
                  </w:r>
                </w:p>
              </w:tc>
              <w:tc>
                <w:tcPr>
                  <w:tcW w:w="6874" w:type="dxa"/>
                  <w:gridSpan w:val="2"/>
                  <w:tcBorders>
                    <w:top w:val="single" w:color="auto" w:sz="4" w:space="0"/>
                    <w:left w:val="single" w:color="auto" w:sz="4" w:space="0"/>
                  </w:tcBorders>
                  <w:noWrap w:val="0"/>
                  <w:vAlign w:val="center"/>
                </w:tcPr>
                <w:p w14:paraId="022915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color w:val="FF0000"/>
                      <w:kern w:val="0"/>
                      <w:sz w:val="21"/>
                      <w:szCs w:val="21"/>
                    </w:rPr>
                    <w:t>危险废物贮存库（</w:t>
                  </w:r>
                  <w:r>
                    <w:rPr>
                      <w:rFonts w:hint="default" w:ascii="Times New Roman" w:hAnsi="Times New Roman" w:cs="Times New Roman"/>
                      <w:color w:val="FF0000"/>
                      <w:kern w:val="0"/>
                      <w:sz w:val="21"/>
                      <w:szCs w:val="21"/>
                      <w:lang w:val="en-US" w:eastAsia="zh-CN"/>
                    </w:rPr>
                    <w:t>10</w:t>
                  </w:r>
                  <w:r>
                    <w:rPr>
                      <w:rFonts w:hint="default" w:ascii="Times New Roman" w:hAnsi="Times New Roman" w:cs="Times New Roman"/>
                      <w:color w:val="FF0000"/>
                      <w:kern w:val="0"/>
                      <w:sz w:val="21"/>
                      <w:szCs w:val="21"/>
                    </w:rPr>
                    <w:t>m</w:t>
                  </w:r>
                  <w:r>
                    <w:rPr>
                      <w:rFonts w:hint="default" w:ascii="Times New Roman" w:hAnsi="Times New Roman" w:cs="Times New Roman"/>
                      <w:color w:val="FF0000"/>
                      <w:kern w:val="0"/>
                      <w:sz w:val="21"/>
                      <w:szCs w:val="21"/>
                      <w:vertAlign w:val="superscript"/>
                    </w:rPr>
                    <w:t>2</w:t>
                  </w:r>
                  <w:r>
                    <w:rPr>
                      <w:rFonts w:hint="default" w:ascii="Times New Roman" w:hAnsi="Times New Roman" w:cs="Times New Roman"/>
                      <w:color w:val="FF0000"/>
                      <w:kern w:val="0"/>
                      <w:sz w:val="21"/>
                      <w:szCs w:val="21"/>
                    </w:rPr>
                    <w:t>）、一般固废堆放库（</w:t>
                  </w:r>
                  <w:r>
                    <w:rPr>
                      <w:rFonts w:hint="default" w:ascii="Times New Roman" w:hAnsi="Times New Roman" w:cs="Times New Roman"/>
                      <w:color w:val="FF0000"/>
                      <w:kern w:val="0"/>
                      <w:sz w:val="21"/>
                      <w:szCs w:val="21"/>
                      <w:lang w:val="en-US" w:eastAsia="zh-CN"/>
                    </w:rPr>
                    <w:t>20</w:t>
                  </w:r>
                  <w:r>
                    <w:rPr>
                      <w:rFonts w:hint="default" w:ascii="Times New Roman" w:hAnsi="Times New Roman" w:cs="Times New Roman"/>
                      <w:color w:val="FF0000"/>
                      <w:kern w:val="0"/>
                      <w:sz w:val="21"/>
                      <w:szCs w:val="21"/>
                    </w:rPr>
                    <w:t>m</w:t>
                  </w:r>
                  <w:r>
                    <w:rPr>
                      <w:rFonts w:hint="default" w:ascii="Times New Roman" w:hAnsi="Times New Roman" w:cs="Times New Roman"/>
                      <w:color w:val="FF0000"/>
                      <w:kern w:val="0"/>
                      <w:sz w:val="21"/>
                      <w:szCs w:val="21"/>
                      <w:vertAlign w:val="superscript"/>
                    </w:rPr>
                    <w:t>2</w:t>
                  </w:r>
                  <w:r>
                    <w:rPr>
                      <w:rFonts w:hint="default" w:ascii="Times New Roman" w:hAnsi="Times New Roman" w:cs="Times New Roman"/>
                      <w:color w:val="FF0000"/>
                      <w:kern w:val="0"/>
                      <w:sz w:val="21"/>
                      <w:szCs w:val="21"/>
                    </w:rPr>
                    <w:t>）</w:t>
                  </w:r>
                  <w:r>
                    <w:rPr>
                      <w:rFonts w:hint="default" w:ascii="Times New Roman" w:hAnsi="Times New Roman" w:cs="Times New Roman"/>
                      <w:color w:val="FF0000"/>
                      <w:kern w:val="0"/>
                      <w:sz w:val="21"/>
                      <w:szCs w:val="21"/>
                      <w:lang w:eastAsia="zh-CN"/>
                    </w:rPr>
                    <w:t>。</w:t>
                  </w:r>
                </w:p>
              </w:tc>
              <w:tc>
                <w:tcPr>
                  <w:tcW w:w="474" w:type="dxa"/>
                  <w:tcBorders>
                    <w:top w:val="single" w:color="auto" w:sz="4" w:space="0"/>
                    <w:left w:val="single" w:color="auto" w:sz="4" w:space="0"/>
                  </w:tcBorders>
                  <w:noWrap w:val="0"/>
                  <w:vAlign w:val="center"/>
                </w:tcPr>
                <w:p w14:paraId="2CC9F06E">
                  <w:pPr>
                    <w:pStyle w:val="56"/>
                    <w:bidi w:val="0"/>
                    <w:rPr>
                      <w:rFonts w:hint="default" w:ascii="Times New Roman" w:hAnsi="Times New Roman" w:eastAsia="宋体" w:cs="Times New Roman"/>
                      <w:szCs w:val="21"/>
                      <w:lang w:val="en-US" w:eastAsia="zh-CN"/>
                    </w:rPr>
                  </w:pPr>
                  <w:r>
                    <w:rPr>
                      <w:rFonts w:hint="eastAsia"/>
                      <w:lang w:val="en-US" w:eastAsia="zh-CN"/>
                    </w:rPr>
                    <w:t>新建</w:t>
                  </w:r>
                </w:p>
              </w:tc>
            </w:tr>
            <w:tr w14:paraId="7784271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65" w:hRule="atLeast"/>
                <w:jc w:val="center"/>
              </w:trPr>
              <w:tc>
                <w:tcPr>
                  <w:tcW w:w="567" w:type="dxa"/>
                  <w:vMerge w:val="continue"/>
                  <w:noWrap w:val="0"/>
                  <w:vAlign w:val="center"/>
                </w:tcPr>
                <w:p w14:paraId="43ECCDB0">
                  <w:pPr>
                    <w:pStyle w:val="56"/>
                    <w:bidi w:val="0"/>
                    <w:spacing w:line="240" w:lineRule="auto"/>
                    <w:rPr>
                      <w:rFonts w:hint="default" w:ascii="Times New Roman" w:hAnsi="Times New Roman" w:eastAsia="宋体" w:cs="Times New Roman"/>
                      <w:sz w:val="21"/>
                      <w:szCs w:val="21"/>
                      <w:lang w:val="en-US" w:eastAsia="zh-CN"/>
                    </w:rPr>
                  </w:pPr>
                </w:p>
              </w:tc>
              <w:tc>
                <w:tcPr>
                  <w:tcW w:w="473" w:type="dxa"/>
                  <w:noWrap w:val="0"/>
                  <w:vAlign w:val="center"/>
                </w:tcPr>
                <w:p w14:paraId="7E59AD71">
                  <w:pPr>
                    <w:pStyle w:val="56"/>
                    <w:bidi w:val="0"/>
                    <w:rPr>
                      <w:rFonts w:hint="default" w:ascii="Times New Roman" w:hAnsi="Times New Roman" w:eastAsia="宋体" w:cs="Times New Roman"/>
                      <w:szCs w:val="21"/>
                      <w:lang w:val="en-US" w:eastAsia="zh-CN"/>
                    </w:rPr>
                  </w:pPr>
                  <w:r>
                    <w:rPr>
                      <w:rFonts w:hint="default"/>
                      <w:lang w:val="en-US" w:eastAsia="zh-CN"/>
                    </w:rPr>
                    <w:t>噪声</w:t>
                  </w:r>
                </w:p>
              </w:tc>
              <w:tc>
                <w:tcPr>
                  <w:tcW w:w="1013" w:type="dxa"/>
                  <w:tcBorders>
                    <w:right w:val="single" w:color="auto" w:sz="4" w:space="0"/>
                  </w:tcBorders>
                  <w:noWrap w:val="0"/>
                  <w:vAlign w:val="center"/>
                </w:tcPr>
                <w:p w14:paraId="3A8108B5">
                  <w:pPr>
                    <w:pStyle w:val="56"/>
                    <w:bidi w:val="0"/>
                    <w:rPr>
                      <w:rFonts w:hint="default" w:ascii="Times New Roman" w:hAnsi="Times New Roman" w:eastAsia="宋体" w:cs="Times New Roman"/>
                      <w:szCs w:val="21"/>
                      <w:lang w:val="en-US" w:eastAsia="zh-CN"/>
                    </w:rPr>
                  </w:pPr>
                  <w:r>
                    <w:rPr>
                      <w:rFonts w:hint="eastAsia"/>
                      <w:lang w:val="en-US" w:eastAsia="zh-CN"/>
                    </w:rPr>
                    <w:t>生产设备噪声</w:t>
                  </w:r>
                </w:p>
              </w:tc>
              <w:tc>
                <w:tcPr>
                  <w:tcW w:w="5861" w:type="dxa"/>
                  <w:tcBorders>
                    <w:left w:val="single" w:color="auto" w:sz="4" w:space="0"/>
                  </w:tcBorders>
                  <w:noWrap w:val="0"/>
                  <w:vAlign w:val="center"/>
                </w:tcPr>
                <w:p w14:paraId="5EEDCAB5">
                  <w:pPr>
                    <w:pStyle w:val="56"/>
                    <w:bidi w:val="0"/>
                    <w:jc w:val="left"/>
                    <w:rPr>
                      <w:rFonts w:hint="default" w:ascii="Times New Roman" w:hAnsi="Times New Roman" w:eastAsia="宋体" w:cs="Times New Roman"/>
                      <w:szCs w:val="21"/>
                      <w:lang w:val="en-US" w:eastAsia="zh-CN"/>
                    </w:rPr>
                  </w:pPr>
                  <w:r>
                    <w:rPr>
                      <w:rFonts w:hint="eastAsia"/>
                      <w:lang w:val="en-US" w:eastAsia="zh-CN"/>
                    </w:rPr>
                    <w:t>厂房全封闭具有一定隔声作用，采取选用低噪声设备、基础减振等措施。</w:t>
                  </w:r>
                </w:p>
              </w:tc>
              <w:tc>
                <w:tcPr>
                  <w:tcW w:w="474" w:type="dxa"/>
                  <w:tcBorders>
                    <w:left w:val="single" w:color="auto" w:sz="4" w:space="0"/>
                  </w:tcBorders>
                  <w:noWrap w:val="0"/>
                  <w:vAlign w:val="center"/>
                </w:tcPr>
                <w:p w14:paraId="3677918E">
                  <w:pPr>
                    <w:pStyle w:val="56"/>
                    <w:bidi w:val="0"/>
                    <w:rPr>
                      <w:rFonts w:hint="default" w:ascii="Times New Roman" w:hAnsi="Times New Roman" w:eastAsia="宋体" w:cs="Times New Roman"/>
                      <w:szCs w:val="21"/>
                      <w:lang w:val="en-US" w:eastAsia="zh-CN"/>
                    </w:rPr>
                  </w:pPr>
                  <w:r>
                    <w:rPr>
                      <w:rFonts w:hint="eastAsia"/>
                      <w:lang w:val="en-US" w:eastAsia="zh-CN"/>
                    </w:rPr>
                    <w:t>新建</w:t>
                  </w:r>
                </w:p>
              </w:tc>
            </w:tr>
          </w:tbl>
          <w:p w14:paraId="7C291541">
            <w:pPr>
              <w:spacing w:line="360" w:lineRule="auto"/>
              <w:ind w:firstLine="482"/>
              <w:rPr>
                <w:b/>
                <w:bCs/>
              </w:rPr>
            </w:pPr>
            <w:r>
              <w:rPr>
                <w:rFonts w:hint="eastAsia"/>
                <w:b/>
                <w:bCs/>
              </w:rPr>
              <w:t>3、</w:t>
            </w:r>
            <w:r>
              <w:rPr>
                <w:b/>
                <w:bCs/>
              </w:rPr>
              <w:t>主要设备</w:t>
            </w:r>
          </w:p>
          <w:p w14:paraId="3A581638">
            <w:pPr>
              <w:keepNext w:val="0"/>
              <w:keepLines w:val="0"/>
              <w:pageBreakBefore w:val="0"/>
              <w:widowControl w:val="0"/>
              <w:kinsoku/>
              <w:wordWrap/>
              <w:overflowPunct/>
              <w:topLinePunct w:val="0"/>
              <w:autoSpaceDE/>
              <w:autoSpaceDN/>
              <w:bidi w:val="0"/>
              <w:adjustRightInd w:val="0"/>
              <w:snapToGrid w:val="0"/>
              <w:spacing w:line="240" w:lineRule="auto"/>
              <w:ind w:left="0" w:firstLine="480" w:firstLineChars="200"/>
              <w:textAlignment w:val="auto"/>
            </w:pPr>
            <w:r>
              <w:t>主要设备情况见表</w:t>
            </w:r>
            <w:r>
              <w:rPr>
                <w:rFonts w:hint="eastAsia"/>
                <w:lang w:val="en-US" w:eastAsia="zh-CN"/>
              </w:rPr>
              <w:t>2-2</w:t>
            </w:r>
            <w:r>
              <w:t>。</w:t>
            </w:r>
          </w:p>
          <w:p w14:paraId="5C72F935">
            <w:pPr>
              <w:pStyle w:val="59"/>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240" w:lineRule="auto"/>
              <w:ind w:leftChars="0"/>
              <w:jc w:val="center"/>
              <w:textAlignment w:val="auto"/>
              <w:rPr>
                <w:b/>
                <w:bCs/>
              </w:rPr>
            </w:pPr>
            <w:r>
              <w:rPr>
                <w:rFonts w:hint="eastAsia"/>
                <w:b/>
                <w:bCs/>
                <w:lang w:val="en-US" w:eastAsia="zh-CN"/>
              </w:rPr>
              <w:t xml:space="preserve">表2-2 </w:t>
            </w:r>
            <w:r>
              <w:rPr>
                <w:b/>
                <w:bCs/>
              </w:rPr>
              <w:t>主要设备情况表</w:t>
            </w:r>
          </w:p>
          <w:tbl>
            <w:tblPr>
              <w:tblStyle w:val="41"/>
              <w:tblW w:w="4734"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83"/>
              <w:gridCol w:w="2005"/>
              <w:gridCol w:w="1544"/>
              <w:gridCol w:w="1392"/>
              <w:gridCol w:w="2209"/>
            </w:tblGrid>
            <w:tr w14:paraId="4C42B6C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7" w:hRule="atLeast"/>
                <w:jc w:val="center"/>
              </w:trPr>
              <w:tc>
                <w:tcPr>
                  <w:tcW w:w="493" w:type="pct"/>
                  <w:noWrap w:val="0"/>
                  <w:vAlign w:val="center"/>
                </w:tcPr>
                <w:p w14:paraId="2CB49272">
                  <w:pPr>
                    <w:pStyle w:val="56"/>
                    <w:bidi w:val="0"/>
                    <w:rPr>
                      <w:rFonts w:hint="eastAsia" w:ascii="Times New Roman" w:hAnsi="Times New Roman" w:eastAsia="宋体" w:cs="Times New Roman"/>
                      <w:b/>
                      <w:bCs w:val="0"/>
                      <w:szCs w:val="21"/>
                      <w:lang w:val="en-US" w:eastAsia="zh-CN"/>
                    </w:rPr>
                  </w:pPr>
                  <w:r>
                    <w:rPr>
                      <w:rFonts w:hint="eastAsia"/>
                      <w:b/>
                      <w:bCs w:val="0"/>
                      <w:lang w:val="en-US" w:eastAsia="zh-CN"/>
                    </w:rPr>
                    <w:t>序号</w:t>
                  </w:r>
                </w:p>
              </w:tc>
              <w:tc>
                <w:tcPr>
                  <w:tcW w:w="1263" w:type="pct"/>
                  <w:noWrap w:val="0"/>
                  <w:vAlign w:val="center"/>
                </w:tcPr>
                <w:p w14:paraId="5530E2A9">
                  <w:pPr>
                    <w:pStyle w:val="56"/>
                    <w:bidi w:val="0"/>
                    <w:rPr>
                      <w:rFonts w:hint="eastAsia" w:ascii="Times New Roman" w:hAnsi="Times New Roman" w:eastAsia="宋体" w:cs="Times New Roman"/>
                      <w:b/>
                      <w:bCs w:val="0"/>
                      <w:szCs w:val="21"/>
                      <w:lang w:val="en-US" w:eastAsia="zh-CN"/>
                    </w:rPr>
                  </w:pPr>
                  <w:r>
                    <w:rPr>
                      <w:rFonts w:hint="eastAsia"/>
                      <w:b/>
                      <w:bCs w:val="0"/>
                      <w:lang w:val="en-US" w:eastAsia="zh-CN"/>
                    </w:rPr>
                    <w:t>设备名称</w:t>
                  </w:r>
                </w:p>
              </w:tc>
              <w:tc>
                <w:tcPr>
                  <w:tcW w:w="973" w:type="pct"/>
                  <w:noWrap w:val="0"/>
                  <w:vAlign w:val="center"/>
                </w:tcPr>
                <w:p w14:paraId="79CE0B1A">
                  <w:pPr>
                    <w:pStyle w:val="56"/>
                    <w:bidi w:val="0"/>
                    <w:rPr>
                      <w:rFonts w:hint="eastAsia" w:ascii="Times New Roman" w:hAnsi="Times New Roman" w:eastAsia="宋体" w:cs="Times New Roman"/>
                      <w:b/>
                      <w:bCs w:val="0"/>
                      <w:szCs w:val="21"/>
                      <w:lang w:val="en-US" w:eastAsia="zh-CN"/>
                    </w:rPr>
                  </w:pPr>
                  <w:r>
                    <w:rPr>
                      <w:rFonts w:hint="eastAsia"/>
                      <w:b/>
                      <w:bCs w:val="0"/>
                      <w:lang w:val="en-US" w:eastAsia="zh-CN"/>
                    </w:rPr>
                    <w:t>技术参数</w:t>
                  </w:r>
                </w:p>
              </w:tc>
              <w:tc>
                <w:tcPr>
                  <w:tcW w:w="877" w:type="pct"/>
                  <w:noWrap w:val="0"/>
                  <w:vAlign w:val="center"/>
                </w:tcPr>
                <w:p w14:paraId="2E098440">
                  <w:pPr>
                    <w:pStyle w:val="56"/>
                    <w:bidi w:val="0"/>
                    <w:rPr>
                      <w:rFonts w:hint="eastAsia" w:ascii="Times New Roman" w:hAnsi="Times New Roman" w:eastAsia="宋体" w:cs="Times New Roman"/>
                      <w:b/>
                      <w:bCs w:val="0"/>
                      <w:szCs w:val="21"/>
                      <w:lang w:val="en-US" w:eastAsia="zh-CN"/>
                    </w:rPr>
                  </w:pPr>
                  <w:r>
                    <w:rPr>
                      <w:rFonts w:hint="eastAsia"/>
                      <w:b/>
                      <w:bCs w:val="0"/>
                      <w:lang w:val="en-US" w:eastAsia="zh-CN"/>
                    </w:rPr>
                    <w:t>数量</w:t>
                  </w:r>
                </w:p>
              </w:tc>
              <w:tc>
                <w:tcPr>
                  <w:tcW w:w="1392" w:type="pct"/>
                  <w:noWrap w:val="0"/>
                  <w:vAlign w:val="center"/>
                </w:tcPr>
                <w:p w14:paraId="7C699B3B">
                  <w:pPr>
                    <w:pStyle w:val="56"/>
                    <w:bidi w:val="0"/>
                    <w:rPr>
                      <w:rFonts w:hint="eastAsia" w:ascii="Times New Roman" w:hAnsi="Times New Roman" w:eastAsia="宋体" w:cs="Times New Roman"/>
                      <w:b/>
                      <w:bCs w:val="0"/>
                      <w:szCs w:val="21"/>
                      <w:lang w:val="en-US" w:eastAsia="zh-CN"/>
                    </w:rPr>
                  </w:pPr>
                  <w:r>
                    <w:rPr>
                      <w:rFonts w:hint="eastAsia"/>
                      <w:b/>
                      <w:bCs w:val="0"/>
                      <w:lang w:val="en-US" w:eastAsia="zh-CN"/>
                    </w:rPr>
                    <w:t>备注</w:t>
                  </w:r>
                </w:p>
              </w:tc>
            </w:tr>
            <w:tr w14:paraId="71277C9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493" w:type="pct"/>
                  <w:noWrap w:val="0"/>
                  <w:vAlign w:val="center"/>
                </w:tcPr>
                <w:p w14:paraId="486DD6E2">
                  <w:pPr>
                    <w:pStyle w:val="56"/>
                    <w:bidi w:val="0"/>
                    <w:rPr>
                      <w:rFonts w:hint="eastAsia" w:ascii="Times New Roman" w:hAnsi="Times New Roman" w:eastAsia="宋体" w:cs="Times New Roman"/>
                      <w:szCs w:val="21"/>
                      <w:lang w:val="en-US" w:eastAsia="zh-CN"/>
                    </w:rPr>
                  </w:pPr>
                  <w:r>
                    <w:rPr>
                      <w:rFonts w:hint="eastAsia"/>
                      <w:lang w:val="en-US" w:eastAsia="zh-CN"/>
                    </w:rPr>
                    <w:t>1</w:t>
                  </w:r>
                </w:p>
              </w:tc>
              <w:tc>
                <w:tcPr>
                  <w:tcW w:w="1263" w:type="pct"/>
                  <w:tcBorders>
                    <w:left w:val="single" w:color="auto" w:sz="4" w:space="0"/>
                  </w:tcBorders>
                  <w:noWrap w:val="0"/>
                  <w:vAlign w:val="center"/>
                </w:tcPr>
                <w:p w14:paraId="20F3CE30">
                  <w:pPr>
                    <w:pStyle w:val="56"/>
                    <w:bidi w:val="0"/>
                    <w:rPr>
                      <w:rFonts w:hint="default" w:ascii="Times New Roman" w:hAnsi="Times New Roman" w:eastAsia="宋体" w:cs="Times New Roman"/>
                      <w:szCs w:val="21"/>
                      <w:lang w:val="en-US" w:eastAsia="zh-CN"/>
                    </w:rPr>
                  </w:pPr>
                  <w:r>
                    <w:rPr>
                      <w:rFonts w:hint="eastAsia"/>
                      <w:lang w:val="en-US" w:eastAsia="zh-CN"/>
                    </w:rPr>
                    <w:t>搅拌机</w:t>
                  </w:r>
                </w:p>
              </w:tc>
              <w:tc>
                <w:tcPr>
                  <w:tcW w:w="973" w:type="pct"/>
                  <w:noWrap w:val="0"/>
                  <w:vAlign w:val="center"/>
                </w:tcPr>
                <w:p w14:paraId="0DD40ED3">
                  <w:pPr>
                    <w:pStyle w:val="56"/>
                    <w:bidi w:val="0"/>
                    <w:rPr>
                      <w:rFonts w:hint="default" w:ascii="Times New Roman" w:hAnsi="Times New Roman" w:eastAsia="宋体" w:cs="Times New Roman"/>
                      <w:szCs w:val="21"/>
                      <w:lang w:val="en-US" w:eastAsia="zh-CN"/>
                    </w:rPr>
                  </w:pPr>
                  <w:r>
                    <w:rPr>
                      <w:rFonts w:hint="eastAsia"/>
                      <w:lang w:val="en-US" w:eastAsia="zh-CN"/>
                    </w:rPr>
                    <w:t>JS750</w:t>
                  </w:r>
                </w:p>
              </w:tc>
              <w:tc>
                <w:tcPr>
                  <w:tcW w:w="877" w:type="pct"/>
                  <w:tcBorders>
                    <w:bottom w:val="single" w:color="auto" w:sz="8" w:space="0"/>
                  </w:tcBorders>
                  <w:noWrap w:val="0"/>
                  <w:vAlign w:val="center"/>
                </w:tcPr>
                <w:p w14:paraId="19D10008">
                  <w:pPr>
                    <w:pStyle w:val="56"/>
                    <w:bidi w:val="0"/>
                    <w:rPr>
                      <w:rFonts w:hint="eastAsia" w:ascii="Times New Roman" w:hAnsi="Times New Roman" w:eastAsia="宋体" w:cs="Times New Roman"/>
                      <w:szCs w:val="21"/>
                      <w:lang w:val="en-US" w:eastAsia="zh-CN"/>
                    </w:rPr>
                  </w:pPr>
                  <w:r>
                    <w:rPr>
                      <w:rFonts w:hint="eastAsia"/>
                      <w:lang w:val="en-US" w:eastAsia="zh-CN"/>
                    </w:rPr>
                    <w:t>1台</w:t>
                  </w:r>
                </w:p>
              </w:tc>
              <w:tc>
                <w:tcPr>
                  <w:tcW w:w="1392" w:type="pct"/>
                  <w:tcBorders>
                    <w:bottom w:val="single" w:color="auto" w:sz="8" w:space="0"/>
                  </w:tcBorders>
                  <w:noWrap w:val="0"/>
                  <w:vAlign w:val="center"/>
                </w:tcPr>
                <w:p w14:paraId="0610C92F">
                  <w:pPr>
                    <w:pStyle w:val="56"/>
                    <w:bidi w:val="0"/>
                    <w:rPr>
                      <w:rFonts w:hint="default" w:ascii="Times New Roman" w:hAnsi="Times New Roman" w:eastAsia="宋体" w:cs="Times New Roman"/>
                      <w:color w:val="FF0000"/>
                      <w:szCs w:val="21"/>
                      <w:lang w:val="en-US" w:eastAsia="zh-CN"/>
                    </w:rPr>
                  </w:pPr>
                  <w:r>
                    <w:rPr>
                      <w:rFonts w:hint="eastAsia" w:cs="Times New Roman"/>
                      <w:color w:val="FF0000"/>
                      <w:szCs w:val="21"/>
                      <w:lang w:val="en-US" w:eastAsia="zh-CN"/>
                    </w:rPr>
                    <w:t>混凝土制备</w:t>
                  </w:r>
                </w:p>
              </w:tc>
            </w:tr>
            <w:tr w14:paraId="723F9D0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59" w:hRule="atLeast"/>
                <w:jc w:val="center"/>
              </w:trPr>
              <w:tc>
                <w:tcPr>
                  <w:tcW w:w="493" w:type="pct"/>
                  <w:noWrap w:val="0"/>
                  <w:vAlign w:val="center"/>
                </w:tcPr>
                <w:p w14:paraId="3015918D">
                  <w:pPr>
                    <w:pStyle w:val="56"/>
                    <w:bidi w:val="0"/>
                    <w:rPr>
                      <w:rFonts w:hint="eastAsia" w:ascii="Times New Roman" w:hAnsi="Times New Roman" w:eastAsia="宋体" w:cs="Times New Roman"/>
                      <w:szCs w:val="21"/>
                      <w:lang w:val="en-US" w:eastAsia="zh-CN"/>
                    </w:rPr>
                  </w:pPr>
                  <w:r>
                    <w:rPr>
                      <w:rFonts w:hint="eastAsia"/>
                      <w:lang w:val="en-US" w:eastAsia="zh-CN"/>
                    </w:rPr>
                    <w:t>2</w:t>
                  </w:r>
                </w:p>
              </w:tc>
              <w:tc>
                <w:tcPr>
                  <w:tcW w:w="1263" w:type="pct"/>
                  <w:tcBorders>
                    <w:left w:val="single" w:color="auto" w:sz="4" w:space="0"/>
                  </w:tcBorders>
                  <w:noWrap w:val="0"/>
                  <w:vAlign w:val="center"/>
                </w:tcPr>
                <w:p w14:paraId="514DE6A1">
                  <w:pPr>
                    <w:pStyle w:val="56"/>
                    <w:bidi w:val="0"/>
                    <w:rPr>
                      <w:rFonts w:hint="default" w:ascii="Times New Roman" w:hAnsi="Times New Roman" w:eastAsia="宋体" w:cs="Times New Roman"/>
                      <w:color w:val="FF0000"/>
                      <w:szCs w:val="21"/>
                      <w:lang w:val="en-US" w:eastAsia="zh-CN"/>
                    </w:rPr>
                  </w:pPr>
                  <w:r>
                    <w:rPr>
                      <w:rFonts w:hint="eastAsia"/>
                      <w:color w:val="FF0000"/>
                      <w:lang w:val="en-US" w:eastAsia="zh-CN"/>
                    </w:rPr>
                    <w:t>水泥筒仓</w:t>
                  </w:r>
                </w:p>
              </w:tc>
              <w:tc>
                <w:tcPr>
                  <w:tcW w:w="973" w:type="pct"/>
                  <w:noWrap w:val="0"/>
                  <w:vAlign w:val="center"/>
                </w:tcPr>
                <w:p w14:paraId="22C0413B">
                  <w:pPr>
                    <w:pStyle w:val="56"/>
                    <w:bidi w:val="0"/>
                    <w:rPr>
                      <w:rFonts w:hint="default" w:ascii="Times New Roman" w:hAnsi="Times New Roman" w:eastAsia="宋体" w:cs="Times New Roman"/>
                      <w:color w:val="FF0000"/>
                      <w:szCs w:val="21"/>
                      <w:lang w:val="en-US" w:eastAsia="zh-CN"/>
                    </w:rPr>
                  </w:pPr>
                  <w:r>
                    <w:rPr>
                      <w:rFonts w:hint="eastAsia"/>
                      <w:color w:val="FF0000"/>
                      <w:lang w:val="en-US" w:eastAsia="zh-CN"/>
                    </w:rPr>
                    <w:t>100t</w:t>
                  </w:r>
                </w:p>
              </w:tc>
              <w:tc>
                <w:tcPr>
                  <w:tcW w:w="877" w:type="pct"/>
                  <w:tcBorders>
                    <w:bottom w:val="single" w:color="auto" w:sz="8" w:space="0"/>
                  </w:tcBorders>
                  <w:noWrap w:val="0"/>
                  <w:vAlign w:val="center"/>
                </w:tcPr>
                <w:p w14:paraId="59222287">
                  <w:pPr>
                    <w:pStyle w:val="56"/>
                    <w:bidi w:val="0"/>
                    <w:rPr>
                      <w:rFonts w:hint="default" w:ascii="Times New Roman" w:hAnsi="Times New Roman" w:eastAsia="宋体" w:cs="Times New Roman"/>
                      <w:color w:val="FF0000"/>
                      <w:szCs w:val="21"/>
                      <w:lang w:val="en-US" w:eastAsia="zh-CN"/>
                    </w:rPr>
                  </w:pPr>
                  <w:r>
                    <w:rPr>
                      <w:rFonts w:hint="eastAsia"/>
                      <w:color w:val="FF0000"/>
                      <w:lang w:val="en-US" w:eastAsia="zh-CN"/>
                    </w:rPr>
                    <w:t>2个</w:t>
                  </w:r>
                </w:p>
              </w:tc>
              <w:tc>
                <w:tcPr>
                  <w:tcW w:w="1392" w:type="pct"/>
                  <w:tcBorders>
                    <w:bottom w:val="single" w:color="auto" w:sz="8" w:space="0"/>
                  </w:tcBorders>
                  <w:noWrap w:val="0"/>
                  <w:vAlign w:val="center"/>
                </w:tcPr>
                <w:p w14:paraId="56C64546">
                  <w:pPr>
                    <w:pStyle w:val="56"/>
                    <w:bidi w:val="0"/>
                    <w:rPr>
                      <w:rFonts w:hint="default" w:ascii="Times New Roman" w:hAnsi="Times New Roman" w:eastAsia="宋体" w:cs="Times New Roman"/>
                      <w:color w:val="FF0000"/>
                      <w:szCs w:val="21"/>
                      <w:lang w:val="en-US" w:eastAsia="zh-CN"/>
                    </w:rPr>
                  </w:pPr>
                  <w:r>
                    <w:rPr>
                      <w:rFonts w:hint="eastAsia" w:cs="Times New Roman"/>
                      <w:color w:val="FF0000"/>
                      <w:szCs w:val="21"/>
                      <w:lang w:val="en-US" w:eastAsia="zh-CN"/>
                    </w:rPr>
                    <w:t>原料存储，高7m</w:t>
                  </w:r>
                </w:p>
              </w:tc>
            </w:tr>
            <w:tr w14:paraId="3B1C70F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59" w:hRule="atLeast"/>
                <w:jc w:val="center"/>
              </w:trPr>
              <w:tc>
                <w:tcPr>
                  <w:tcW w:w="493" w:type="pct"/>
                  <w:noWrap w:val="0"/>
                  <w:vAlign w:val="center"/>
                </w:tcPr>
                <w:p w14:paraId="7382E0B1">
                  <w:pPr>
                    <w:pStyle w:val="56"/>
                    <w:bidi w:val="0"/>
                    <w:rPr>
                      <w:rFonts w:hint="eastAsia" w:ascii="Times New Roman" w:hAnsi="Times New Roman" w:eastAsia="宋体" w:cs="Times New Roman"/>
                      <w:szCs w:val="21"/>
                      <w:lang w:val="en-US" w:eastAsia="zh-CN"/>
                    </w:rPr>
                  </w:pPr>
                  <w:r>
                    <w:rPr>
                      <w:rFonts w:hint="eastAsia"/>
                      <w:lang w:val="en-US" w:eastAsia="zh-CN"/>
                    </w:rPr>
                    <w:t>3</w:t>
                  </w:r>
                </w:p>
              </w:tc>
              <w:tc>
                <w:tcPr>
                  <w:tcW w:w="1263" w:type="pct"/>
                  <w:tcBorders>
                    <w:left w:val="single" w:color="auto" w:sz="4" w:space="0"/>
                  </w:tcBorders>
                  <w:noWrap w:val="0"/>
                  <w:vAlign w:val="center"/>
                </w:tcPr>
                <w:p w14:paraId="50DED283">
                  <w:pPr>
                    <w:pStyle w:val="56"/>
                    <w:bidi w:val="0"/>
                    <w:rPr>
                      <w:rFonts w:hint="default" w:ascii="Times New Roman" w:hAnsi="Times New Roman" w:eastAsia="宋体" w:cs="Times New Roman"/>
                      <w:szCs w:val="21"/>
                      <w:lang w:val="en-US" w:eastAsia="zh-CN"/>
                    </w:rPr>
                  </w:pPr>
                  <w:r>
                    <w:rPr>
                      <w:rFonts w:hint="eastAsia"/>
                      <w:lang w:val="en-US" w:eastAsia="zh-CN"/>
                    </w:rPr>
                    <w:t>铲车</w:t>
                  </w:r>
                </w:p>
              </w:tc>
              <w:tc>
                <w:tcPr>
                  <w:tcW w:w="973" w:type="pct"/>
                  <w:noWrap w:val="0"/>
                  <w:vAlign w:val="center"/>
                </w:tcPr>
                <w:p w14:paraId="0CDBECFC">
                  <w:pPr>
                    <w:pStyle w:val="56"/>
                    <w:bidi w:val="0"/>
                    <w:rPr>
                      <w:rFonts w:hint="default" w:ascii="Times New Roman" w:hAnsi="Times New Roman" w:eastAsia="宋体" w:cs="Times New Roman"/>
                      <w:szCs w:val="21"/>
                      <w:lang w:val="en-US" w:eastAsia="zh-CN"/>
                    </w:rPr>
                  </w:pPr>
                  <w:r>
                    <w:rPr>
                      <w:rFonts w:hint="eastAsia"/>
                      <w:lang w:val="en-US" w:eastAsia="zh-CN"/>
                    </w:rPr>
                    <w:t>30型</w:t>
                  </w:r>
                </w:p>
              </w:tc>
              <w:tc>
                <w:tcPr>
                  <w:tcW w:w="877" w:type="pct"/>
                  <w:tcBorders>
                    <w:bottom w:val="single" w:color="auto" w:sz="8" w:space="0"/>
                  </w:tcBorders>
                  <w:noWrap w:val="0"/>
                  <w:vAlign w:val="center"/>
                </w:tcPr>
                <w:p w14:paraId="4E9A4FCB">
                  <w:pPr>
                    <w:pStyle w:val="56"/>
                    <w:bidi w:val="0"/>
                    <w:rPr>
                      <w:rFonts w:hint="eastAsia" w:ascii="Times New Roman" w:hAnsi="Times New Roman" w:eastAsia="宋体" w:cs="Times New Roman"/>
                      <w:szCs w:val="21"/>
                      <w:lang w:val="en-US" w:eastAsia="zh-CN"/>
                    </w:rPr>
                  </w:pPr>
                  <w:r>
                    <w:rPr>
                      <w:rFonts w:hint="eastAsia"/>
                      <w:lang w:val="en-US" w:eastAsia="zh-CN"/>
                    </w:rPr>
                    <w:t>1个</w:t>
                  </w:r>
                </w:p>
              </w:tc>
              <w:tc>
                <w:tcPr>
                  <w:tcW w:w="1392" w:type="pct"/>
                  <w:tcBorders>
                    <w:bottom w:val="single" w:color="auto" w:sz="8" w:space="0"/>
                  </w:tcBorders>
                  <w:noWrap w:val="0"/>
                  <w:vAlign w:val="center"/>
                </w:tcPr>
                <w:p w14:paraId="1934DA49">
                  <w:pPr>
                    <w:pStyle w:val="56"/>
                    <w:bidi w:val="0"/>
                    <w:rPr>
                      <w:rFonts w:hint="eastAsia" w:ascii="Times New Roman" w:hAnsi="Times New Roman" w:eastAsia="宋体" w:cs="Times New Roman"/>
                      <w:color w:val="FF0000"/>
                      <w:szCs w:val="21"/>
                      <w:lang w:val="en-US" w:eastAsia="zh-CN"/>
                    </w:rPr>
                  </w:pPr>
                  <w:r>
                    <w:rPr>
                      <w:rFonts w:hint="eastAsia" w:cs="Times New Roman"/>
                      <w:color w:val="FF0000"/>
                      <w:szCs w:val="21"/>
                      <w:lang w:val="en-US" w:eastAsia="zh-CN"/>
                    </w:rPr>
                    <w:t>混凝土制备</w:t>
                  </w:r>
                </w:p>
              </w:tc>
            </w:tr>
            <w:tr w14:paraId="495B35E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59" w:hRule="atLeast"/>
                <w:jc w:val="center"/>
              </w:trPr>
              <w:tc>
                <w:tcPr>
                  <w:tcW w:w="493" w:type="pct"/>
                  <w:noWrap w:val="0"/>
                  <w:vAlign w:val="center"/>
                </w:tcPr>
                <w:p w14:paraId="082DF04E">
                  <w:pPr>
                    <w:pStyle w:val="56"/>
                    <w:bidi w:val="0"/>
                    <w:rPr>
                      <w:rFonts w:hint="eastAsia" w:ascii="Times New Roman" w:hAnsi="Times New Roman" w:eastAsia="宋体" w:cs="Times New Roman"/>
                      <w:szCs w:val="21"/>
                      <w:lang w:val="en-US" w:eastAsia="zh-CN"/>
                    </w:rPr>
                  </w:pPr>
                  <w:r>
                    <w:rPr>
                      <w:rFonts w:hint="eastAsia"/>
                      <w:lang w:val="en-US" w:eastAsia="zh-CN"/>
                    </w:rPr>
                    <w:t>4</w:t>
                  </w:r>
                </w:p>
              </w:tc>
              <w:tc>
                <w:tcPr>
                  <w:tcW w:w="1263" w:type="pct"/>
                  <w:tcBorders>
                    <w:left w:val="single" w:color="auto" w:sz="4" w:space="0"/>
                  </w:tcBorders>
                  <w:noWrap w:val="0"/>
                  <w:vAlign w:val="center"/>
                </w:tcPr>
                <w:p w14:paraId="37A1DB8B">
                  <w:pPr>
                    <w:pStyle w:val="56"/>
                    <w:bidi w:val="0"/>
                    <w:rPr>
                      <w:rFonts w:hint="default" w:ascii="Times New Roman" w:hAnsi="Times New Roman" w:eastAsia="宋体" w:cs="Times New Roman"/>
                      <w:szCs w:val="21"/>
                      <w:lang w:val="en-US" w:eastAsia="zh-CN"/>
                    </w:rPr>
                  </w:pPr>
                  <w:r>
                    <w:rPr>
                      <w:rFonts w:hint="eastAsia"/>
                      <w:lang w:val="en-US" w:eastAsia="zh-CN"/>
                    </w:rPr>
                    <w:t>叉车</w:t>
                  </w:r>
                </w:p>
              </w:tc>
              <w:tc>
                <w:tcPr>
                  <w:tcW w:w="973" w:type="pct"/>
                  <w:noWrap w:val="0"/>
                  <w:vAlign w:val="center"/>
                </w:tcPr>
                <w:p w14:paraId="7CE97790">
                  <w:pPr>
                    <w:pStyle w:val="56"/>
                    <w:bidi w:val="0"/>
                    <w:rPr>
                      <w:rFonts w:hint="default" w:ascii="Times New Roman" w:hAnsi="Times New Roman" w:eastAsia="宋体" w:cs="Times New Roman"/>
                      <w:szCs w:val="21"/>
                      <w:lang w:val="en-US" w:eastAsia="zh-CN"/>
                    </w:rPr>
                  </w:pPr>
                  <w:r>
                    <w:rPr>
                      <w:rFonts w:hint="eastAsia"/>
                      <w:lang w:val="en-US" w:eastAsia="zh-CN"/>
                    </w:rPr>
                    <w:t>3.5吨</w:t>
                  </w:r>
                </w:p>
              </w:tc>
              <w:tc>
                <w:tcPr>
                  <w:tcW w:w="877" w:type="pct"/>
                  <w:tcBorders>
                    <w:bottom w:val="single" w:color="auto" w:sz="8" w:space="0"/>
                  </w:tcBorders>
                  <w:noWrap w:val="0"/>
                  <w:vAlign w:val="center"/>
                </w:tcPr>
                <w:p w14:paraId="006E9872">
                  <w:pPr>
                    <w:pStyle w:val="56"/>
                    <w:bidi w:val="0"/>
                    <w:rPr>
                      <w:rFonts w:hint="eastAsia" w:ascii="Times New Roman" w:hAnsi="Times New Roman" w:eastAsia="宋体" w:cs="Times New Roman"/>
                      <w:szCs w:val="21"/>
                      <w:lang w:val="en-US" w:eastAsia="zh-CN"/>
                    </w:rPr>
                  </w:pPr>
                  <w:r>
                    <w:rPr>
                      <w:rFonts w:hint="eastAsia"/>
                      <w:lang w:val="en-US" w:eastAsia="zh-CN"/>
                    </w:rPr>
                    <w:t>1个</w:t>
                  </w:r>
                </w:p>
              </w:tc>
              <w:tc>
                <w:tcPr>
                  <w:tcW w:w="1392" w:type="pct"/>
                  <w:tcBorders>
                    <w:bottom w:val="single" w:color="auto" w:sz="8" w:space="0"/>
                  </w:tcBorders>
                  <w:noWrap w:val="0"/>
                  <w:vAlign w:val="center"/>
                </w:tcPr>
                <w:p w14:paraId="70310084">
                  <w:pPr>
                    <w:pStyle w:val="56"/>
                    <w:bidi w:val="0"/>
                    <w:rPr>
                      <w:rFonts w:hint="eastAsia" w:ascii="Times New Roman" w:hAnsi="Times New Roman" w:eastAsia="宋体" w:cs="Times New Roman"/>
                      <w:color w:val="FF0000"/>
                      <w:szCs w:val="21"/>
                      <w:lang w:val="en-US" w:eastAsia="zh-CN"/>
                    </w:rPr>
                  </w:pPr>
                  <w:r>
                    <w:rPr>
                      <w:rFonts w:hint="eastAsia" w:cs="Times New Roman"/>
                      <w:color w:val="FF0000"/>
                      <w:szCs w:val="21"/>
                      <w:lang w:val="en-US" w:eastAsia="zh-CN"/>
                    </w:rPr>
                    <w:t>混凝土制备</w:t>
                  </w:r>
                </w:p>
              </w:tc>
            </w:tr>
            <w:tr w14:paraId="2ECD8C0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59" w:hRule="atLeast"/>
                <w:jc w:val="center"/>
              </w:trPr>
              <w:tc>
                <w:tcPr>
                  <w:tcW w:w="493" w:type="pct"/>
                  <w:noWrap w:val="0"/>
                  <w:vAlign w:val="center"/>
                </w:tcPr>
                <w:p w14:paraId="79A16539">
                  <w:pPr>
                    <w:pStyle w:val="56"/>
                    <w:bidi w:val="0"/>
                    <w:rPr>
                      <w:rFonts w:hint="eastAsia" w:ascii="Times New Roman" w:hAnsi="Times New Roman" w:eastAsia="宋体" w:cs="Times New Roman"/>
                      <w:szCs w:val="21"/>
                      <w:lang w:val="en-US" w:eastAsia="zh-CN"/>
                    </w:rPr>
                  </w:pPr>
                  <w:r>
                    <w:rPr>
                      <w:rFonts w:hint="eastAsia"/>
                      <w:lang w:val="en-US" w:eastAsia="zh-CN"/>
                    </w:rPr>
                    <w:t>5</w:t>
                  </w:r>
                  <w:r>
                    <w:rPr>
                      <w:rFonts w:hint="eastAsia"/>
                      <w:lang w:val="en-US" w:eastAsia="zh-CN"/>
                    </w:rPr>
                    <w:cr/>
                  </w:r>
                </w:p>
              </w:tc>
              <w:tc>
                <w:tcPr>
                  <w:tcW w:w="1263" w:type="pct"/>
                  <w:tcBorders>
                    <w:left w:val="single" w:color="auto" w:sz="4" w:space="0"/>
                  </w:tcBorders>
                  <w:noWrap w:val="0"/>
                  <w:vAlign w:val="center"/>
                </w:tcPr>
                <w:p w14:paraId="74C884A0">
                  <w:pPr>
                    <w:pStyle w:val="56"/>
                    <w:bidi w:val="0"/>
                    <w:rPr>
                      <w:rFonts w:hint="default" w:ascii="Times New Roman" w:hAnsi="Times New Roman" w:eastAsia="宋体" w:cs="Times New Roman"/>
                      <w:szCs w:val="21"/>
                      <w:lang w:val="en-US" w:eastAsia="zh-CN"/>
                    </w:rPr>
                  </w:pPr>
                  <w:r>
                    <w:rPr>
                      <w:rFonts w:hint="eastAsia"/>
                      <w:lang w:val="en-US" w:eastAsia="zh-CN"/>
                    </w:rPr>
                    <w:t>行车</w:t>
                  </w:r>
                </w:p>
              </w:tc>
              <w:tc>
                <w:tcPr>
                  <w:tcW w:w="973" w:type="pct"/>
                  <w:noWrap w:val="0"/>
                  <w:vAlign w:val="center"/>
                </w:tcPr>
                <w:p w14:paraId="6B916686">
                  <w:pPr>
                    <w:pStyle w:val="56"/>
                    <w:bidi w:val="0"/>
                    <w:rPr>
                      <w:rFonts w:hint="default" w:ascii="Times New Roman" w:hAnsi="Times New Roman" w:eastAsia="宋体" w:cs="Times New Roman"/>
                      <w:szCs w:val="21"/>
                      <w:lang w:val="en-US" w:eastAsia="zh-CN"/>
                    </w:rPr>
                  </w:pPr>
                  <w:r>
                    <w:rPr>
                      <w:rFonts w:hint="eastAsia"/>
                      <w:lang w:val="en-US" w:eastAsia="zh-CN"/>
                    </w:rPr>
                    <w:t>10吨</w:t>
                  </w:r>
                </w:p>
              </w:tc>
              <w:tc>
                <w:tcPr>
                  <w:tcW w:w="877" w:type="pct"/>
                  <w:tcBorders>
                    <w:bottom w:val="single" w:color="auto" w:sz="8" w:space="0"/>
                  </w:tcBorders>
                  <w:noWrap w:val="0"/>
                  <w:vAlign w:val="center"/>
                </w:tcPr>
                <w:p w14:paraId="4251F8CC">
                  <w:pPr>
                    <w:pStyle w:val="56"/>
                    <w:bidi w:val="0"/>
                    <w:rPr>
                      <w:rFonts w:hint="eastAsia" w:ascii="Times New Roman" w:hAnsi="Times New Roman" w:eastAsia="宋体" w:cs="Times New Roman"/>
                      <w:szCs w:val="21"/>
                      <w:lang w:val="en-US" w:eastAsia="zh-CN"/>
                    </w:rPr>
                  </w:pPr>
                  <w:r>
                    <w:rPr>
                      <w:rFonts w:hint="eastAsia"/>
                      <w:lang w:val="en-US" w:eastAsia="zh-CN"/>
                    </w:rPr>
                    <w:t>3台</w:t>
                  </w:r>
                </w:p>
              </w:tc>
              <w:tc>
                <w:tcPr>
                  <w:tcW w:w="1392" w:type="pct"/>
                  <w:tcBorders>
                    <w:bottom w:val="single" w:color="auto" w:sz="8" w:space="0"/>
                  </w:tcBorders>
                  <w:noWrap w:val="0"/>
                  <w:vAlign w:val="center"/>
                </w:tcPr>
                <w:p w14:paraId="6CEBC84A">
                  <w:pPr>
                    <w:pStyle w:val="56"/>
                    <w:bidi w:val="0"/>
                    <w:rPr>
                      <w:rFonts w:hint="eastAsia" w:ascii="Times New Roman" w:hAnsi="Times New Roman" w:eastAsia="宋体" w:cs="Times New Roman"/>
                      <w:color w:val="FF0000"/>
                      <w:szCs w:val="21"/>
                      <w:lang w:val="en-US" w:eastAsia="zh-CN"/>
                    </w:rPr>
                  </w:pPr>
                  <w:r>
                    <w:rPr>
                      <w:rFonts w:hint="eastAsia" w:cs="Times New Roman"/>
                      <w:color w:val="FF0000"/>
                      <w:szCs w:val="21"/>
                      <w:lang w:val="en-US" w:eastAsia="zh-CN"/>
                    </w:rPr>
                    <w:t>混凝土制备</w:t>
                  </w:r>
                </w:p>
              </w:tc>
            </w:tr>
            <w:tr w14:paraId="12E6056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59" w:hRule="atLeast"/>
                <w:jc w:val="center"/>
              </w:trPr>
              <w:tc>
                <w:tcPr>
                  <w:tcW w:w="493" w:type="pct"/>
                  <w:noWrap w:val="0"/>
                  <w:vAlign w:val="center"/>
                </w:tcPr>
                <w:p w14:paraId="539C6BC3">
                  <w:pPr>
                    <w:pStyle w:val="56"/>
                    <w:bidi w:val="0"/>
                    <w:rPr>
                      <w:rFonts w:hint="eastAsia" w:ascii="Times New Roman" w:hAnsi="Times New Roman" w:eastAsia="宋体" w:cs="Times New Roman"/>
                      <w:szCs w:val="21"/>
                      <w:lang w:val="en-US" w:eastAsia="zh-CN"/>
                    </w:rPr>
                  </w:pPr>
                  <w:r>
                    <w:rPr>
                      <w:rFonts w:hint="eastAsia"/>
                      <w:lang w:val="en-US" w:eastAsia="zh-CN"/>
                    </w:rPr>
                    <w:t>6</w:t>
                  </w:r>
                </w:p>
              </w:tc>
              <w:tc>
                <w:tcPr>
                  <w:tcW w:w="1263" w:type="pct"/>
                  <w:tcBorders>
                    <w:left w:val="single" w:color="auto" w:sz="4" w:space="0"/>
                  </w:tcBorders>
                  <w:noWrap w:val="0"/>
                  <w:vAlign w:val="center"/>
                </w:tcPr>
                <w:p w14:paraId="06C97239">
                  <w:pPr>
                    <w:pStyle w:val="56"/>
                    <w:bidi w:val="0"/>
                    <w:rPr>
                      <w:rFonts w:hint="default" w:ascii="Times New Roman" w:hAnsi="Times New Roman" w:eastAsia="宋体" w:cs="Times New Roman"/>
                      <w:szCs w:val="21"/>
                      <w:lang w:val="en-US" w:eastAsia="zh-CN"/>
                    </w:rPr>
                  </w:pPr>
                  <w:r>
                    <w:rPr>
                      <w:rFonts w:hint="eastAsia"/>
                      <w:lang w:val="en-US" w:eastAsia="zh-CN"/>
                    </w:rPr>
                    <w:t>预制件震动台</w:t>
                  </w:r>
                </w:p>
              </w:tc>
              <w:tc>
                <w:tcPr>
                  <w:tcW w:w="973" w:type="pct"/>
                  <w:noWrap w:val="0"/>
                  <w:vAlign w:val="center"/>
                </w:tcPr>
                <w:p w14:paraId="60DA8505">
                  <w:pPr>
                    <w:pStyle w:val="56"/>
                    <w:bidi w:val="0"/>
                    <w:rPr>
                      <w:rFonts w:hint="eastAsia" w:ascii="Times New Roman" w:hAnsi="Times New Roman" w:eastAsia="宋体" w:cs="Times New Roman"/>
                      <w:szCs w:val="21"/>
                      <w:lang w:val="en-US" w:eastAsia="zh-CN"/>
                    </w:rPr>
                  </w:pPr>
                  <w:r>
                    <w:rPr>
                      <w:rFonts w:hint="eastAsia"/>
                      <w:lang w:val="en-US" w:eastAsia="zh-CN"/>
                    </w:rPr>
                    <w:t>/</w:t>
                  </w:r>
                </w:p>
              </w:tc>
              <w:tc>
                <w:tcPr>
                  <w:tcW w:w="877" w:type="pct"/>
                  <w:tcBorders>
                    <w:bottom w:val="single" w:color="auto" w:sz="8" w:space="0"/>
                  </w:tcBorders>
                  <w:noWrap w:val="0"/>
                  <w:vAlign w:val="center"/>
                </w:tcPr>
                <w:p w14:paraId="5646EF70">
                  <w:pPr>
                    <w:pStyle w:val="56"/>
                    <w:bidi w:val="0"/>
                    <w:rPr>
                      <w:rFonts w:hint="eastAsia" w:ascii="Times New Roman" w:hAnsi="Times New Roman" w:eastAsia="宋体" w:cs="Times New Roman"/>
                      <w:szCs w:val="21"/>
                      <w:lang w:val="en-US" w:eastAsia="zh-CN"/>
                    </w:rPr>
                  </w:pPr>
                  <w:r>
                    <w:rPr>
                      <w:rFonts w:hint="eastAsia"/>
                      <w:lang w:val="en-US" w:eastAsia="zh-CN"/>
                    </w:rPr>
                    <w:t>2台</w:t>
                  </w:r>
                </w:p>
              </w:tc>
              <w:tc>
                <w:tcPr>
                  <w:tcW w:w="1392" w:type="pct"/>
                  <w:tcBorders>
                    <w:bottom w:val="single" w:color="auto" w:sz="8" w:space="0"/>
                  </w:tcBorders>
                  <w:noWrap w:val="0"/>
                  <w:vAlign w:val="center"/>
                </w:tcPr>
                <w:p w14:paraId="45DFCE93">
                  <w:pPr>
                    <w:pStyle w:val="56"/>
                    <w:bidi w:val="0"/>
                    <w:rPr>
                      <w:rFonts w:hint="default" w:ascii="Times New Roman" w:hAnsi="Times New Roman" w:eastAsia="宋体" w:cs="Times New Roman"/>
                      <w:color w:val="FF0000"/>
                      <w:szCs w:val="21"/>
                      <w:lang w:val="en-US" w:eastAsia="zh-CN"/>
                    </w:rPr>
                  </w:pPr>
                  <w:r>
                    <w:rPr>
                      <w:rFonts w:hint="eastAsia"/>
                      <w:color w:val="FF0000"/>
                      <w:lang w:val="en-US" w:eastAsia="zh-CN"/>
                    </w:rPr>
                    <w:t>预制件生产</w:t>
                  </w:r>
                </w:p>
              </w:tc>
            </w:tr>
            <w:tr w14:paraId="1C29A5F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89" w:hRule="atLeast"/>
                <w:jc w:val="center"/>
              </w:trPr>
              <w:tc>
                <w:tcPr>
                  <w:tcW w:w="493" w:type="pct"/>
                  <w:noWrap w:val="0"/>
                  <w:vAlign w:val="center"/>
                </w:tcPr>
                <w:p w14:paraId="484EE27D">
                  <w:pPr>
                    <w:pStyle w:val="56"/>
                    <w:bidi w:val="0"/>
                    <w:rPr>
                      <w:rFonts w:hint="eastAsia" w:ascii="Times New Roman" w:hAnsi="Times New Roman" w:eastAsia="宋体" w:cs="Times New Roman"/>
                      <w:szCs w:val="21"/>
                      <w:lang w:val="en-US" w:eastAsia="zh-CN"/>
                    </w:rPr>
                  </w:pPr>
                  <w:r>
                    <w:rPr>
                      <w:rFonts w:hint="eastAsia"/>
                      <w:lang w:val="en-US" w:eastAsia="zh-CN"/>
                    </w:rPr>
                    <w:t>7</w:t>
                  </w:r>
                </w:p>
              </w:tc>
              <w:tc>
                <w:tcPr>
                  <w:tcW w:w="1263" w:type="pct"/>
                  <w:tcBorders>
                    <w:left w:val="single" w:color="auto" w:sz="4" w:space="0"/>
                  </w:tcBorders>
                  <w:noWrap w:val="0"/>
                  <w:vAlign w:val="center"/>
                </w:tcPr>
                <w:p w14:paraId="25C7A6DA">
                  <w:pPr>
                    <w:pStyle w:val="56"/>
                    <w:bidi w:val="0"/>
                    <w:rPr>
                      <w:rFonts w:hint="default" w:ascii="Times New Roman" w:hAnsi="Times New Roman" w:eastAsia="宋体" w:cs="Times New Roman"/>
                      <w:szCs w:val="21"/>
                      <w:lang w:val="en-US" w:eastAsia="zh-CN"/>
                    </w:rPr>
                  </w:pPr>
                  <w:r>
                    <w:rPr>
                      <w:rFonts w:hint="eastAsia"/>
                      <w:lang w:val="en-US" w:eastAsia="zh-CN"/>
                    </w:rPr>
                    <w:t>小型振动棒</w:t>
                  </w:r>
                </w:p>
              </w:tc>
              <w:tc>
                <w:tcPr>
                  <w:tcW w:w="973" w:type="pct"/>
                  <w:noWrap w:val="0"/>
                  <w:vAlign w:val="center"/>
                </w:tcPr>
                <w:p w14:paraId="72341F5F">
                  <w:pPr>
                    <w:pStyle w:val="56"/>
                    <w:bidi w:val="0"/>
                    <w:rPr>
                      <w:rFonts w:hint="eastAsia" w:ascii="Times New Roman" w:hAnsi="Times New Roman" w:eastAsia="宋体" w:cs="Times New Roman"/>
                      <w:szCs w:val="21"/>
                      <w:lang w:val="en-US" w:eastAsia="zh-CN"/>
                    </w:rPr>
                  </w:pPr>
                  <w:r>
                    <w:rPr>
                      <w:rFonts w:hint="eastAsia"/>
                      <w:lang w:val="en-US" w:eastAsia="zh-CN"/>
                    </w:rPr>
                    <w:t>/</w:t>
                  </w:r>
                </w:p>
              </w:tc>
              <w:tc>
                <w:tcPr>
                  <w:tcW w:w="877" w:type="pct"/>
                  <w:tcBorders>
                    <w:bottom w:val="single" w:color="auto" w:sz="8" w:space="0"/>
                  </w:tcBorders>
                  <w:noWrap w:val="0"/>
                  <w:vAlign w:val="center"/>
                </w:tcPr>
                <w:p w14:paraId="0E6270DA">
                  <w:pPr>
                    <w:pStyle w:val="56"/>
                    <w:bidi w:val="0"/>
                    <w:rPr>
                      <w:rFonts w:hint="eastAsia" w:ascii="Times New Roman" w:hAnsi="Times New Roman" w:eastAsia="宋体" w:cs="Times New Roman"/>
                      <w:szCs w:val="21"/>
                      <w:lang w:val="en-US" w:eastAsia="zh-CN"/>
                    </w:rPr>
                  </w:pPr>
                  <w:r>
                    <w:rPr>
                      <w:rFonts w:hint="eastAsia"/>
                      <w:lang w:val="en-US" w:eastAsia="zh-CN"/>
                    </w:rPr>
                    <w:t>6台</w:t>
                  </w:r>
                </w:p>
              </w:tc>
              <w:tc>
                <w:tcPr>
                  <w:tcW w:w="1392" w:type="pct"/>
                  <w:tcBorders>
                    <w:bottom w:val="single" w:color="auto" w:sz="8" w:space="0"/>
                  </w:tcBorders>
                  <w:noWrap w:val="0"/>
                  <w:vAlign w:val="center"/>
                </w:tcPr>
                <w:p w14:paraId="71D6B9FB">
                  <w:pPr>
                    <w:pStyle w:val="56"/>
                    <w:bidi w:val="0"/>
                    <w:rPr>
                      <w:rFonts w:hint="eastAsia" w:ascii="Times New Roman" w:hAnsi="Times New Roman" w:eastAsia="宋体" w:cs="Times New Roman"/>
                      <w:color w:val="FF0000"/>
                      <w:szCs w:val="21"/>
                      <w:lang w:val="en-US" w:eastAsia="zh-CN"/>
                    </w:rPr>
                  </w:pPr>
                  <w:r>
                    <w:rPr>
                      <w:rFonts w:hint="eastAsia"/>
                      <w:color w:val="FF0000"/>
                      <w:lang w:val="en-US" w:eastAsia="zh-CN"/>
                    </w:rPr>
                    <w:t>预制件生产</w:t>
                  </w:r>
                </w:p>
              </w:tc>
            </w:tr>
            <w:tr w14:paraId="33DAB52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59" w:hRule="atLeast"/>
                <w:jc w:val="center"/>
              </w:trPr>
              <w:tc>
                <w:tcPr>
                  <w:tcW w:w="493" w:type="pct"/>
                  <w:noWrap w:val="0"/>
                  <w:vAlign w:val="center"/>
                </w:tcPr>
                <w:p w14:paraId="2BD23D12">
                  <w:pPr>
                    <w:pStyle w:val="56"/>
                    <w:bidi w:val="0"/>
                    <w:rPr>
                      <w:rFonts w:hint="eastAsia" w:ascii="Times New Roman" w:hAnsi="Times New Roman" w:eastAsia="宋体" w:cs="Times New Roman"/>
                      <w:szCs w:val="21"/>
                      <w:lang w:val="en-US" w:eastAsia="zh-CN"/>
                    </w:rPr>
                  </w:pPr>
                  <w:r>
                    <w:rPr>
                      <w:rFonts w:hint="eastAsia"/>
                      <w:lang w:val="en-US" w:eastAsia="zh-CN"/>
                    </w:rPr>
                    <w:t>8</w:t>
                  </w:r>
                </w:p>
              </w:tc>
              <w:tc>
                <w:tcPr>
                  <w:tcW w:w="1263" w:type="pct"/>
                  <w:tcBorders>
                    <w:left w:val="single" w:color="auto" w:sz="4" w:space="0"/>
                  </w:tcBorders>
                  <w:noWrap w:val="0"/>
                  <w:vAlign w:val="center"/>
                </w:tcPr>
                <w:p w14:paraId="6A5554EE">
                  <w:pPr>
                    <w:pStyle w:val="56"/>
                    <w:bidi w:val="0"/>
                    <w:rPr>
                      <w:rFonts w:hint="default" w:ascii="Times New Roman" w:hAnsi="Times New Roman" w:eastAsia="宋体" w:cs="Times New Roman"/>
                      <w:szCs w:val="21"/>
                      <w:lang w:val="en-US" w:eastAsia="zh-CN"/>
                    </w:rPr>
                  </w:pPr>
                  <w:r>
                    <w:rPr>
                      <w:rFonts w:hint="eastAsia"/>
                      <w:lang w:val="en-US" w:eastAsia="zh-CN"/>
                    </w:rPr>
                    <w:t>砼结构件钢制模具</w:t>
                  </w:r>
                </w:p>
              </w:tc>
              <w:tc>
                <w:tcPr>
                  <w:tcW w:w="973" w:type="pct"/>
                  <w:noWrap w:val="0"/>
                  <w:vAlign w:val="center"/>
                </w:tcPr>
                <w:p w14:paraId="4A0DC20E">
                  <w:pPr>
                    <w:pStyle w:val="56"/>
                    <w:bidi w:val="0"/>
                    <w:rPr>
                      <w:rFonts w:hint="eastAsia" w:ascii="Times New Roman" w:hAnsi="Times New Roman" w:eastAsia="宋体" w:cs="Times New Roman"/>
                      <w:szCs w:val="21"/>
                      <w:lang w:val="en-US" w:eastAsia="zh-CN"/>
                    </w:rPr>
                  </w:pPr>
                  <w:r>
                    <w:rPr>
                      <w:rFonts w:hint="eastAsia"/>
                      <w:lang w:val="en-US" w:eastAsia="zh-CN"/>
                    </w:rPr>
                    <w:t>/</w:t>
                  </w:r>
                </w:p>
              </w:tc>
              <w:tc>
                <w:tcPr>
                  <w:tcW w:w="877" w:type="pct"/>
                  <w:tcBorders>
                    <w:bottom w:val="single" w:color="auto" w:sz="8" w:space="0"/>
                  </w:tcBorders>
                  <w:noWrap w:val="0"/>
                  <w:vAlign w:val="center"/>
                </w:tcPr>
                <w:p w14:paraId="60F2071B">
                  <w:pPr>
                    <w:pStyle w:val="56"/>
                    <w:bidi w:val="0"/>
                    <w:rPr>
                      <w:rFonts w:hint="eastAsia" w:ascii="Times New Roman" w:hAnsi="Times New Roman" w:eastAsia="宋体" w:cs="Times New Roman"/>
                      <w:szCs w:val="21"/>
                      <w:lang w:val="en-US" w:eastAsia="zh-CN"/>
                    </w:rPr>
                  </w:pPr>
                  <w:r>
                    <w:rPr>
                      <w:rFonts w:hint="eastAsia"/>
                      <w:lang w:val="en-US" w:eastAsia="zh-CN"/>
                    </w:rPr>
                    <w:t>25套</w:t>
                  </w:r>
                </w:p>
              </w:tc>
              <w:tc>
                <w:tcPr>
                  <w:tcW w:w="1392" w:type="pct"/>
                  <w:tcBorders>
                    <w:bottom w:val="single" w:color="auto" w:sz="8" w:space="0"/>
                  </w:tcBorders>
                  <w:noWrap w:val="0"/>
                  <w:vAlign w:val="center"/>
                </w:tcPr>
                <w:p w14:paraId="7F0C9180">
                  <w:pPr>
                    <w:pStyle w:val="56"/>
                    <w:bidi w:val="0"/>
                    <w:rPr>
                      <w:rFonts w:hint="eastAsia" w:ascii="Times New Roman" w:hAnsi="Times New Roman" w:eastAsia="宋体" w:cs="Times New Roman"/>
                      <w:color w:val="FF0000"/>
                      <w:szCs w:val="21"/>
                      <w:lang w:val="en-US" w:eastAsia="zh-CN"/>
                    </w:rPr>
                  </w:pPr>
                  <w:r>
                    <w:rPr>
                      <w:rFonts w:hint="eastAsia"/>
                      <w:color w:val="FF0000"/>
                      <w:lang w:val="en-US" w:eastAsia="zh-CN"/>
                    </w:rPr>
                    <w:t>预制件生产</w:t>
                  </w:r>
                </w:p>
              </w:tc>
            </w:tr>
            <w:tr w14:paraId="0F9C056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59" w:hRule="atLeast"/>
                <w:jc w:val="center"/>
              </w:trPr>
              <w:tc>
                <w:tcPr>
                  <w:tcW w:w="493" w:type="pct"/>
                  <w:noWrap w:val="0"/>
                  <w:vAlign w:val="center"/>
                </w:tcPr>
                <w:p w14:paraId="3637AC12">
                  <w:pPr>
                    <w:pStyle w:val="56"/>
                    <w:bidi w:val="0"/>
                    <w:rPr>
                      <w:rFonts w:hint="eastAsia" w:ascii="Times New Roman" w:hAnsi="Times New Roman" w:eastAsia="宋体" w:cs="Times New Roman"/>
                      <w:szCs w:val="21"/>
                      <w:lang w:val="en-US" w:eastAsia="zh-CN"/>
                    </w:rPr>
                  </w:pPr>
                  <w:r>
                    <w:rPr>
                      <w:rFonts w:hint="eastAsia"/>
                      <w:lang w:val="en-US" w:eastAsia="zh-CN"/>
                    </w:rPr>
                    <w:t>9</w:t>
                  </w:r>
                </w:p>
              </w:tc>
              <w:tc>
                <w:tcPr>
                  <w:tcW w:w="1263" w:type="pct"/>
                  <w:tcBorders>
                    <w:left w:val="single" w:color="auto" w:sz="4" w:space="0"/>
                  </w:tcBorders>
                  <w:noWrap w:val="0"/>
                  <w:vAlign w:val="center"/>
                </w:tcPr>
                <w:p w14:paraId="2131EC19">
                  <w:pPr>
                    <w:pStyle w:val="56"/>
                    <w:bidi w:val="0"/>
                    <w:rPr>
                      <w:rFonts w:hint="default" w:ascii="Times New Roman" w:hAnsi="Times New Roman" w:eastAsia="宋体" w:cs="Times New Roman"/>
                      <w:szCs w:val="21"/>
                      <w:lang w:val="en-US" w:eastAsia="zh-CN"/>
                    </w:rPr>
                  </w:pPr>
                  <w:r>
                    <w:rPr>
                      <w:rFonts w:hint="eastAsia"/>
                      <w:lang w:val="en-US" w:eastAsia="zh-CN"/>
                    </w:rPr>
                    <w:t>二氧化碳保焊机</w:t>
                  </w:r>
                </w:p>
              </w:tc>
              <w:tc>
                <w:tcPr>
                  <w:tcW w:w="973" w:type="pct"/>
                  <w:noWrap w:val="0"/>
                  <w:vAlign w:val="center"/>
                </w:tcPr>
                <w:p w14:paraId="0A71C33F">
                  <w:pPr>
                    <w:pStyle w:val="56"/>
                    <w:bidi w:val="0"/>
                    <w:rPr>
                      <w:rFonts w:hint="default" w:ascii="Times New Roman" w:hAnsi="Times New Roman" w:eastAsia="宋体" w:cs="Times New Roman"/>
                      <w:szCs w:val="21"/>
                      <w:lang w:val="en-US" w:eastAsia="zh-CN"/>
                    </w:rPr>
                  </w:pPr>
                  <w:r>
                    <w:rPr>
                      <w:rFonts w:hint="eastAsia"/>
                      <w:lang w:val="en-US" w:eastAsia="zh-CN"/>
                    </w:rPr>
                    <w:t>NB-500KR</w:t>
                  </w:r>
                </w:p>
              </w:tc>
              <w:tc>
                <w:tcPr>
                  <w:tcW w:w="877" w:type="pct"/>
                  <w:tcBorders>
                    <w:bottom w:val="single" w:color="auto" w:sz="8" w:space="0"/>
                  </w:tcBorders>
                  <w:noWrap w:val="0"/>
                  <w:vAlign w:val="center"/>
                </w:tcPr>
                <w:p w14:paraId="29EC9EF3">
                  <w:pPr>
                    <w:pStyle w:val="56"/>
                    <w:bidi w:val="0"/>
                    <w:rPr>
                      <w:rFonts w:hint="eastAsia" w:ascii="Times New Roman" w:hAnsi="Times New Roman" w:eastAsia="宋体" w:cs="Times New Roman"/>
                      <w:szCs w:val="21"/>
                      <w:lang w:val="en-US" w:eastAsia="zh-CN"/>
                    </w:rPr>
                  </w:pPr>
                  <w:r>
                    <w:rPr>
                      <w:rFonts w:hint="eastAsia"/>
                      <w:lang w:val="en-US" w:eastAsia="zh-CN"/>
                    </w:rPr>
                    <w:t>4台</w:t>
                  </w:r>
                </w:p>
              </w:tc>
              <w:tc>
                <w:tcPr>
                  <w:tcW w:w="1392" w:type="pct"/>
                  <w:tcBorders>
                    <w:bottom w:val="single" w:color="auto" w:sz="8" w:space="0"/>
                  </w:tcBorders>
                  <w:noWrap w:val="0"/>
                  <w:vAlign w:val="center"/>
                </w:tcPr>
                <w:p w14:paraId="1E758193">
                  <w:pPr>
                    <w:pStyle w:val="56"/>
                    <w:bidi w:val="0"/>
                    <w:rPr>
                      <w:rFonts w:hint="default" w:ascii="Times New Roman" w:hAnsi="Times New Roman" w:eastAsia="宋体" w:cs="Times New Roman"/>
                      <w:color w:val="FF0000"/>
                      <w:szCs w:val="21"/>
                      <w:lang w:val="en-US" w:eastAsia="zh-CN"/>
                    </w:rPr>
                  </w:pPr>
                  <w:r>
                    <w:rPr>
                      <w:rFonts w:hint="eastAsia"/>
                      <w:color w:val="FF0000"/>
                      <w:lang w:val="en-US" w:eastAsia="zh-CN"/>
                    </w:rPr>
                    <w:t>2台用于钢筋加固2太用于焊接光伏发电房屋</w:t>
                  </w:r>
                </w:p>
              </w:tc>
            </w:tr>
            <w:tr w14:paraId="11B647C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59" w:hRule="atLeast"/>
                <w:jc w:val="center"/>
              </w:trPr>
              <w:tc>
                <w:tcPr>
                  <w:tcW w:w="493" w:type="pct"/>
                  <w:noWrap w:val="0"/>
                  <w:vAlign w:val="center"/>
                </w:tcPr>
                <w:p w14:paraId="4698034A">
                  <w:pPr>
                    <w:pStyle w:val="56"/>
                    <w:bidi w:val="0"/>
                    <w:rPr>
                      <w:rFonts w:hint="default" w:ascii="Times New Roman" w:hAnsi="Times New Roman" w:eastAsia="宋体" w:cs="Times New Roman"/>
                      <w:szCs w:val="21"/>
                      <w:lang w:val="en-US" w:eastAsia="zh-CN"/>
                    </w:rPr>
                  </w:pPr>
                  <w:r>
                    <w:rPr>
                      <w:rFonts w:hint="eastAsia"/>
                      <w:lang w:val="en-US" w:eastAsia="zh-CN"/>
                    </w:rPr>
                    <w:t>10</w:t>
                  </w:r>
                </w:p>
              </w:tc>
              <w:tc>
                <w:tcPr>
                  <w:tcW w:w="1263" w:type="pct"/>
                  <w:tcBorders>
                    <w:left w:val="single" w:color="auto" w:sz="4" w:space="0"/>
                  </w:tcBorders>
                  <w:noWrap w:val="0"/>
                  <w:vAlign w:val="center"/>
                </w:tcPr>
                <w:p w14:paraId="257CC8DF">
                  <w:pPr>
                    <w:pStyle w:val="56"/>
                    <w:bidi w:val="0"/>
                    <w:rPr>
                      <w:rFonts w:hint="default" w:ascii="Times New Roman" w:hAnsi="Times New Roman" w:eastAsia="宋体" w:cs="Times New Roman"/>
                      <w:szCs w:val="21"/>
                      <w:lang w:val="en-US" w:eastAsia="zh-CN"/>
                    </w:rPr>
                  </w:pPr>
                  <w:r>
                    <w:rPr>
                      <w:rFonts w:hint="eastAsia"/>
                      <w:lang w:val="en-US" w:eastAsia="zh-CN"/>
                    </w:rPr>
                    <w:t>自动化流水生产线</w:t>
                  </w:r>
                </w:p>
              </w:tc>
              <w:tc>
                <w:tcPr>
                  <w:tcW w:w="973" w:type="pct"/>
                  <w:noWrap w:val="0"/>
                  <w:vAlign w:val="center"/>
                </w:tcPr>
                <w:p w14:paraId="65D5651D">
                  <w:pPr>
                    <w:pStyle w:val="56"/>
                    <w:bidi w:val="0"/>
                    <w:rPr>
                      <w:rFonts w:hint="eastAsia" w:ascii="Times New Roman" w:hAnsi="Times New Roman" w:eastAsia="宋体" w:cs="Times New Roman"/>
                      <w:szCs w:val="21"/>
                      <w:lang w:val="en-US" w:eastAsia="zh-CN"/>
                    </w:rPr>
                  </w:pPr>
                  <w:r>
                    <w:rPr>
                      <w:rFonts w:hint="eastAsia"/>
                      <w:lang w:val="en-US" w:eastAsia="zh-CN"/>
                    </w:rPr>
                    <w:t>PLD1200</w:t>
                  </w:r>
                </w:p>
              </w:tc>
              <w:tc>
                <w:tcPr>
                  <w:tcW w:w="877" w:type="pct"/>
                  <w:noWrap w:val="0"/>
                  <w:vAlign w:val="center"/>
                </w:tcPr>
                <w:p w14:paraId="0CEEA6B5">
                  <w:pPr>
                    <w:pStyle w:val="56"/>
                    <w:bidi w:val="0"/>
                    <w:rPr>
                      <w:rFonts w:hint="eastAsia" w:ascii="Times New Roman" w:hAnsi="Times New Roman" w:eastAsia="宋体" w:cs="Times New Roman"/>
                      <w:szCs w:val="21"/>
                      <w:lang w:val="en-US" w:eastAsia="zh-CN"/>
                    </w:rPr>
                  </w:pPr>
                  <w:r>
                    <w:rPr>
                      <w:rFonts w:hint="eastAsia"/>
                      <w:lang w:val="en-US" w:eastAsia="zh-CN"/>
                    </w:rPr>
                    <w:t>2台</w:t>
                  </w:r>
                </w:p>
              </w:tc>
              <w:tc>
                <w:tcPr>
                  <w:tcW w:w="1392" w:type="pct"/>
                  <w:noWrap w:val="0"/>
                  <w:vAlign w:val="center"/>
                </w:tcPr>
                <w:p w14:paraId="57D26EB7">
                  <w:pPr>
                    <w:pStyle w:val="56"/>
                    <w:bidi w:val="0"/>
                    <w:rPr>
                      <w:rFonts w:hint="default" w:ascii="Times New Roman" w:hAnsi="Times New Roman" w:eastAsia="宋体" w:cs="Times New Roman"/>
                      <w:szCs w:val="21"/>
                      <w:lang w:val="en-US" w:eastAsia="zh-CN"/>
                    </w:rPr>
                  </w:pPr>
                  <w:r>
                    <w:rPr>
                      <w:rFonts w:hint="eastAsia"/>
                      <w:color w:val="FF0000"/>
                      <w:lang w:val="en-US" w:eastAsia="zh-CN"/>
                    </w:rPr>
                    <w:t>用于混凝土浇筑时将构件表面打磨平整</w:t>
                  </w:r>
                </w:p>
              </w:tc>
            </w:tr>
            <w:tr w14:paraId="61FD68E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59" w:hRule="atLeast"/>
                <w:jc w:val="center"/>
              </w:trPr>
              <w:tc>
                <w:tcPr>
                  <w:tcW w:w="493" w:type="pct"/>
                  <w:noWrap w:val="0"/>
                  <w:vAlign w:val="center"/>
                </w:tcPr>
                <w:p w14:paraId="26301EDD">
                  <w:pPr>
                    <w:pStyle w:val="56"/>
                    <w:bidi w:val="0"/>
                    <w:rPr>
                      <w:rFonts w:hint="default"/>
                      <w:color w:val="FF0000"/>
                      <w:lang w:val="en-US" w:eastAsia="zh-CN"/>
                    </w:rPr>
                  </w:pPr>
                  <w:r>
                    <w:rPr>
                      <w:rFonts w:hint="eastAsia"/>
                      <w:color w:val="FF0000"/>
                      <w:lang w:val="en-US" w:eastAsia="zh-CN"/>
                    </w:rPr>
                    <w:t>11</w:t>
                  </w:r>
                </w:p>
              </w:tc>
              <w:tc>
                <w:tcPr>
                  <w:tcW w:w="1263" w:type="pct"/>
                  <w:tcBorders>
                    <w:left w:val="single" w:color="auto" w:sz="4" w:space="0"/>
                  </w:tcBorders>
                  <w:noWrap w:val="0"/>
                  <w:vAlign w:val="center"/>
                </w:tcPr>
                <w:p w14:paraId="40DB0013">
                  <w:pPr>
                    <w:pStyle w:val="56"/>
                    <w:bidi w:val="0"/>
                    <w:rPr>
                      <w:rFonts w:hint="default"/>
                      <w:color w:val="FF0000"/>
                      <w:lang w:val="en-US" w:eastAsia="zh-CN"/>
                    </w:rPr>
                  </w:pPr>
                  <w:r>
                    <w:rPr>
                      <w:rFonts w:hint="eastAsia"/>
                      <w:color w:val="FF0000"/>
                      <w:lang w:val="en-US" w:eastAsia="zh-CN"/>
                    </w:rPr>
                    <w:t>钢筋加工机</w:t>
                  </w:r>
                </w:p>
              </w:tc>
              <w:tc>
                <w:tcPr>
                  <w:tcW w:w="973" w:type="pct"/>
                  <w:noWrap w:val="0"/>
                  <w:vAlign w:val="center"/>
                </w:tcPr>
                <w:p w14:paraId="7CF7FE25">
                  <w:pPr>
                    <w:pStyle w:val="56"/>
                    <w:bidi w:val="0"/>
                    <w:rPr>
                      <w:rFonts w:hint="eastAsia"/>
                      <w:color w:val="FF0000"/>
                      <w:lang w:val="en-US" w:eastAsia="zh-CN"/>
                    </w:rPr>
                  </w:pPr>
                  <w:r>
                    <w:rPr>
                      <w:rFonts w:hint="eastAsia"/>
                      <w:color w:val="FF0000"/>
                      <w:lang w:val="en-US" w:eastAsia="zh-CN"/>
                    </w:rPr>
                    <w:t>/</w:t>
                  </w:r>
                </w:p>
              </w:tc>
              <w:tc>
                <w:tcPr>
                  <w:tcW w:w="877" w:type="pct"/>
                  <w:noWrap w:val="0"/>
                  <w:vAlign w:val="center"/>
                </w:tcPr>
                <w:p w14:paraId="063CE157">
                  <w:pPr>
                    <w:pStyle w:val="56"/>
                    <w:bidi w:val="0"/>
                    <w:rPr>
                      <w:rFonts w:hint="default"/>
                      <w:color w:val="FF0000"/>
                      <w:lang w:val="en-US" w:eastAsia="zh-CN"/>
                    </w:rPr>
                  </w:pPr>
                  <w:r>
                    <w:rPr>
                      <w:rFonts w:hint="eastAsia"/>
                      <w:color w:val="FF0000"/>
                      <w:lang w:val="en-US" w:eastAsia="zh-CN"/>
                    </w:rPr>
                    <w:t>2套</w:t>
                  </w:r>
                </w:p>
              </w:tc>
              <w:tc>
                <w:tcPr>
                  <w:tcW w:w="1392" w:type="pct"/>
                  <w:noWrap w:val="0"/>
                  <w:vAlign w:val="center"/>
                </w:tcPr>
                <w:p w14:paraId="46CE2304">
                  <w:pPr>
                    <w:pStyle w:val="56"/>
                    <w:bidi w:val="0"/>
                    <w:rPr>
                      <w:rFonts w:hint="default"/>
                      <w:color w:val="FF0000"/>
                      <w:lang w:val="en-US" w:eastAsia="zh-CN"/>
                    </w:rPr>
                  </w:pPr>
                  <w:r>
                    <w:rPr>
                      <w:rFonts w:hint="eastAsia"/>
                      <w:lang w:val="en-US" w:eastAsia="zh-CN"/>
                    </w:rPr>
                    <w:t>/</w:t>
                  </w:r>
                </w:p>
              </w:tc>
            </w:tr>
            <w:tr w14:paraId="209D603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59" w:hRule="atLeast"/>
                <w:jc w:val="center"/>
              </w:trPr>
              <w:tc>
                <w:tcPr>
                  <w:tcW w:w="493" w:type="pct"/>
                  <w:noWrap w:val="0"/>
                  <w:vAlign w:val="center"/>
                </w:tcPr>
                <w:p w14:paraId="3B48B40E">
                  <w:pPr>
                    <w:pStyle w:val="56"/>
                    <w:bidi w:val="0"/>
                    <w:rPr>
                      <w:rFonts w:hint="default"/>
                      <w:color w:val="FF0000"/>
                      <w:lang w:val="en-US" w:eastAsia="zh-CN"/>
                    </w:rPr>
                  </w:pPr>
                  <w:r>
                    <w:rPr>
                      <w:rFonts w:hint="eastAsia"/>
                      <w:color w:val="FF0000"/>
                      <w:lang w:val="en-US" w:eastAsia="zh-CN"/>
                    </w:rPr>
                    <w:t>12</w:t>
                  </w:r>
                </w:p>
              </w:tc>
              <w:tc>
                <w:tcPr>
                  <w:tcW w:w="1263" w:type="pct"/>
                  <w:tcBorders>
                    <w:left w:val="single" w:color="auto" w:sz="4" w:space="0"/>
                  </w:tcBorders>
                  <w:noWrap w:val="0"/>
                  <w:vAlign w:val="center"/>
                </w:tcPr>
                <w:p w14:paraId="10C63980">
                  <w:pPr>
                    <w:pStyle w:val="56"/>
                    <w:bidi w:val="0"/>
                    <w:rPr>
                      <w:rFonts w:hint="default"/>
                      <w:color w:val="FF0000"/>
                      <w:lang w:val="en-US" w:eastAsia="zh-CN"/>
                    </w:rPr>
                  </w:pPr>
                  <w:r>
                    <w:rPr>
                      <w:rFonts w:hint="eastAsia"/>
                      <w:color w:val="FF0000"/>
                      <w:lang w:val="en-US" w:eastAsia="zh-CN"/>
                    </w:rPr>
                    <w:t>计量系统</w:t>
                  </w:r>
                </w:p>
              </w:tc>
              <w:tc>
                <w:tcPr>
                  <w:tcW w:w="973" w:type="pct"/>
                  <w:noWrap w:val="0"/>
                  <w:vAlign w:val="center"/>
                </w:tcPr>
                <w:p w14:paraId="59DA2D69">
                  <w:pPr>
                    <w:pStyle w:val="56"/>
                    <w:bidi w:val="0"/>
                    <w:rPr>
                      <w:rFonts w:hint="eastAsia"/>
                      <w:color w:val="FF0000"/>
                      <w:lang w:val="en-US" w:eastAsia="zh-CN"/>
                    </w:rPr>
                  </w:pPr>
                  <w:r>
                    <w:rPr>
                      <w:rFonts w:hint="eastAsia"/>
                      <w:color w:val="FF0000"/>
                      <w:lang w:val="en-US" w:eastAsia="zh-CN"/>
                    </w:rPr>
                    <w:t>/</w:t>
                  </w:r>
                </w:p>
              </w:tc>
              <w:tc>
                <w:tcPr>
                  <w:tcW w:w="877" w:type="pct"/>
                  <w:tcBorders>
                    <w:bottom w:val="single" w:color="auto" w:sz="8" w:space="0"/>
                  </w:tcBorders>
                  <w:noWrap w:val="0"/>
                  <w:vAlign w:val="center"/>
                </w:tcPr>
                <w:p w14:paraId="200D3054">
                  <w:pPr>
                    <w:pStyle w:val="56"/>
                    <w:bidi w:val="0"/>
                    <w:rPr>
                      <w:rFonts w:hint="default"/>
                      <w:color w:val="FF0000"/>
                      <w:lang w:val="en-US" w:eastAsia="zh-CN"/>
                    </w:rPr>
                  </w:pPr>
                  <w:r>
                    <w:rPr>
                      <w:rFonts w:hint="eastAsia"/>
                      <w:color w:val="FF0000"/>
                      <w:lang w:val="en-US" w:eastAsia="zh-CN"/>
                    </w:rPr>
                    <w:t>1</w:t>
                  </w:r>
                </w:p>
              </w:tc>
              <w:tc>
                <w:tcPr>
                  <w:tcW w:w="1392" w:type="pct"/>
                  <w:tcBorders>
                    <w:bottom w:val="single" w:color="auto" w:sz="8" w:space="0"/>
                  </w:tcBorders>
                  <w:noWrap w:val="0"/>
                  <w:vAlign w:val="center"/>
                </w:tcPr>
                <w:p w14:paraId="3BF2EB3A">
                  <w:pPr>
                    <w:pStyle w:val="56"/>
                    <w:bidi w:val="0"/>
                    <w:rPr>
                      <w:rFonts w:hint="default"/>
                      <w:lang w:val="en-US" w:eastAsia="zh-CN"/>
                    </w:rPr>
                  </w:pPr>
                  <w:r>
                    <w:rPr>
                      <w:rFonts w:hint="eastAsia"/>
                      <w:color w:val="FF0000"/>
                      <w:lang w:val="en-US" w:eastAsia="zh-CN"/>
                    </w:rPr>
                    <w:t>用于混凝土制备计量</w:t>
                  </w:r>
                </w:p>
              </w:tc>
            </w:tr>
          </w:tbl>
          <w:p w14:paraId="40392C4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关键</w:t>
            </w:r>
            <w:r>
              <w:rPr>
                <w:rFonts w:hint="eastAsia" w:ascii="宋体" w:hAnsi="宋体" w:eastAsia="宋体" w:cs="宋体"/>
                <w:color w:val="auto"/>
                <w:sz w:val="24"/>
                <w:szCs w:val="24"/>
                <w:highlight w:val="none"/>
              </w:rPr>
              <w:t>设备与产能匹配性分析</w:t>
            </w:r>
            <w:r>
              <w:rPr>
                <w:rFonts w:hint="eastAsia" w:ascii="宋体" w:hAnsi="宋体" w:eastAsia="宋体" w:cs="宋体"/>
                <w:color w:val="auto"/>
                <w:sz w:val="24"/>
                <w:szCs w:val="24"/>
                <w:highlight w:val="none"/>
                <w:lang w:eastAsia="zh-CN"/>
              </w:rPr>
              <w:t>：</w:t>
            </w:r>
          </w:p>
          <w:p w14:paraId="56134FA9">
            <w:pPr>
              <w:pStyle w:val="59"/>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240" w:lineRule="auto"/>
              <w:ind w:leftChars="0"/>
              <w:jc w:val="center"/>
              <w:textAlignment w:val="auto"/>
              <w:rPr>
                <w:rFonts w:hint="default"/>
                <w:b/>
                <w:bCs/>
                <w:color w:val="000000" w:themeColor="text1"/>
                <w:lang w:val="en-US"/>
                <w14:textFill>
                  <w14:solidFill>
                    <w14:schemeClr w14:val="tx1"/>
                  </w14:solidFill>
                </w14:textFill>
              </w:rPr>
            </w:pPr>
            <w:r>
              <w:rPr>
                <w:rFonts w:hint="eastAsia"/>
                <w:b/>
                <w:bCs/>
                <w:color w:val="000000" w:themeColor="text1"/>
                <w:lang w:val="en-US" w:eastAsia="zh-CN"/>
                <w14:textFill>
                  <w14:solidFill>
                    <w14:schemeClr w14:val="tx1"/>
                  </w14:solidFill>
                </w14:textFill>
              </w:rPr>
              <w:t>表2-3 设备与产能匹配性分析</w:t>
            </w:r>
          </w:p>
          <w:tbl>
            <w:tblPr>
              <w:tblStyle w:val="4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0"/>
              <w:gridCol w:w="1419"/>
              <w:gridCol w:w="733"/>
              <w:gridCol w:w="938"/>
              <w:gridCol w:w="787"/>
              <w:gridCol w:w="1052"/>
              <w:gridCol w:w="1077"/>
              <w:gridCol w:w="1116"/>
              <w:gridCol w:w="733"/>
            </w:tblGrid>
            <w:tr w14:paraId="76751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0" w:type="dxa"/>
                  <w:noWrap w:val="0"/>
                  <w:vAlign w:val="center"/>
                </w:tcPr>
                <w:p w14:paraId="0CF0373F">
                  <w:pPr>
                    <w:keepNext w:val="0"/>
                    <w:keepLines w:val="0"/>
                    <w:pageBreakBefore w:val="0"/>
                    <w:kinsoku/>
                    <w:wordWrap/>
                    <w:overflowPunct/>
                    <w:topLinePunct w:val="0"/>
                    <w:autoSpaceDE/>
                    <w:autoSpaceDN/>
                    <w:bidi w:val="0"/>
                    <w:adjustRightInd w:val="0"/>
                    <w:snapToGrid w:val="0"/>
                    <w:spacing w:line="320" w:lineRule="exact"/>
                    <w:ind w:firstLine="0" w:firstLineChars="0"/>
                    <w:jc w:val="center"/>
                    <w:textAlignment w:val="baseline"/>
                    <w:outlineLvl w:val="9"/>
                    <w:rPr>
                      <w:rFonts w:hint="default" w:ascii="Times New Roman" w:hAnsi="Times New Roman" w:eastAsia="宋体" w:cs="Times New Roman"/>
                      <w:b w:val="0"/>
                      <w:bCs w:val="0"/>
                      <w:color w:val="FF0000"/>
                      <w:sz w:val="21"/>
                      <w:szCs w:val="21"/>
                      <w:highlight w:val="none"/>
                      <w:lang w:bidi="en-US"/>
                    </w:rPr>
                  </w:pPr>
                  <w:r>
                    <w:rPr>
                      <w:rFonts w:hint="default" w:ascii="Times New Roman" w:hAnsi="Times New Roman" w:eastAsia="宋体" w:cs="Times New Roman"/>
                      <w:b w:val="0"/>
                      <w:bCs w:val="0"/>
                      <w:color w:val="FF0000"/>
                      <w:sz w:val="21"/>
                      <w:szCs w:val="21"/>
                      <w:highlight w:val="none"/>
                      <w:lang w:bidi="en-US"/>
                    </w:rPr>
                    <w:t>序号</w:t>
                  </w:r>
                </w:p>
              </w:tc>
              <w:tc>
                <w:tcPr>
                  <w:tcW w:w="1419" w:type="dxa"/>
                  <w:noWrap w:val="0"/>
                  <w:vAlign w:val="center"/>
                </w:tcPr>
                <w:p w14:paraId="5B6B57BD">
                  <w:pPr>
                    <w:keepNext w:val="0"/>
                    <w:keepLines w:val="0"/>
                    <w:pageBreakBefore w:val="0"/>
                    <w:kinsoku/>
                    <w:wordWrap/>
                    <w:overflowPunct/>
                    <w:topLinePunct w:val="0"/>
                    <w:autoSpaceDE/>
                    <w:autoSpaceDN/>
                    <w:bidi w:val="0"/>
                    <w:adjustRightInd w:val="0"/>
                    <w:snapToGrid w:val="0"/>
                    <w:spacing w:line="320" w:lineRule="exact"/>
                    <w:ind w:firstLine="0" w:firstLineChars="0"/>
                    <w:jc w:val="center"/>
                    <w:textAlignment w:val="baseline"/>
                    <w:outlineLvl w:val="9"/>
                    <w:rPr>
                      <w:rFonts w:hint="default" w:ascii="Times New Roman" w:hAnsi="Times New Roman" w:eastAsia="宋体" w:cs="Times New Roman"/>
                      <w:b w:val="0"/>
                      <w:bCs w:val="0"/>
                      <w:color w:val="FF0000"/>
                      <w:sz w:val="21"/>
                      <w:szCs w:val="21"/>
                      <w:highlight w:val="none"/>
                      <w:lang w:bidi="en-US"/>
                    </w:rPr>
                  </w:pPr>
                  <w:r>
                    <w:rPr>
                      <w:rFonts w:hint="default" w:ascii="Times New Roman" w:hAnsi="Times New Roman" w:eastAsia="宋体" w:cs="Times New Roman"/>
                      <w:b w:val="0"/>
                      <w:bCs w:val="0"/>
                      <w:color w:val="FF0000"/>
                      <w:sz w:val="21"/>
                      <w:szCs w:val="21"/>
                      <w:highlight w:val="none"/>
                      <w:lang w:bidi="en-US"/>
                    </w:rPr>
                    <w:t>设备名称</w:t>
                  </w:r>
                </w:p>
              </w:tc>
              <w:tc>
                <w:tcPr>
                  <w:tcW w:w="733" w:type="dxa"/>
                  <w:noWrap w:val="0"/>
                  <w:vAlign w:val="center"/>
                </w:tcPr>
                <w:p w14:paraId="543F2AB8">
                  <w:pPr>
                    <w:keepNext w:val="0"/>
                    <w:keepLines w:val="0"/>
                    <w:pageBreakBefore w:val="0"/>
                    <w:kinsoku/>
                    <w:wordWrap/>
                    <w:overflowPunct/>
                    <w:topLinePunct w:val="0"/>
                    <w:autoSpaceDE/>
                    <w:autoSpaceDN/>
                    <w:bidi w:val="0"/>
                    <w:adjustRightInd w:val="0"/>
                    <w:snapToGrid w:val="0"/>
                    <w:spacing w:line="320" w:lineRule="exact"/>
                    <w:ind w:firstLine="0" w:firstLineChars="0"/>
                    <w:jc w:val="center"/>
                    <w:textAlignment w:val="baseline"/>
                    <w:outlineLvl w:val="9"/>
                    <w:rPr>
                      <w:rFonts w:hint="default" w:ascii="Times New Roman" w:hAnsi="Times New Roman" w:eastAsia="宋体" w:cs="Times New Roman"/>
                      <w:b w:val="0"/>
                      <w:bCs w:val="0"/>
                      <w:color w:val="FF0000"/>
                      <w:sz w:val="21"/>
                      <w:szCs w:val="21"/>
                      <w:highlight w:val="none"/>
                      <w:lang w:bidi="en-US"/>
                    </w:rPr>
                  </w:pPr>
                  <w:r>
                    <w:rPr>
                      <w:rFonts w:hint="default" w:ascii="Times New Roman" w:hAnsi="Times New Roman" w:eastAsia="宋体" w:cs="Times New Roman"/>
                      <w:b w:val="0"/>
                      <w:bCs w:val="0"/>
                      <w:color w:val="FF0000"/>
                      <w:sz w:val="21"/>
                      <w:szCs w:val="21"/>
                      <w:highlight w:val="none"/>
                      <w:lang w:bidi="en-US"/>
                    </w:rPr>
                    <w:t>设备数量</w:t>
                  </w:r>
                </w:p>
              </w:tc>
              <w:tc>
                <w:tcPr>
                  <w:tcW w:w="938" w:type="dxa"/>
                  <w:noWrap w:val="0"/>
                  <w:vAlign w:val="center"/>
                </w:tcPr>
                <w:p w14:paraId="40B6C0C1">
                  <w:pPr>
                    <w:keepNext w:val="0"/>
                    <w:keepLines w:val="0"/>
                    <w:pageBreakBefore w:val="0"/>
                    <w:kinsoku/>
                    <w:wordWrap/>
                    <w:overflowPunct/>
                    <w:topLinePunct w:val="0"/>
                    <w:autoSpaceDE/>
                    <w:autoSpaceDN/>
                    <w:bidi w:val="0"/>
                    <w:adjustRightInd w:val="0"/>
                    <w:snapToGrid w:val="0"/>
                    <w:spacing w:line="320" w:lineRule="exact"/>
                    <w:ind w:firstLine="0" w:firstLineChars="0"/>
                    <w:jc w:val="center"/>
                    <w:textAlignment w:val="baseline"/>
                    <w:outlineLvl w:val="9"/>
                    <w:rPr>
                      <w:rFonts w:hint="default" w:ascii="Times New Roman" w:hAnsi="Times New Roman" w:eastAsia="宋体" w:cs="Times New Roman"/>
                      <w:b w:val="0"/>
                      <w:bCs w:val="0"/>
                      <w:color w:val="FF0000"/>
                      <w:kern w:val="2"/>
                      <w:sz w:val="21"/>
                      <w:szCs w:val="21"/>
                      <w:highlight w:val="none"/>
                      <w:lang w:val="en-US" w:eastAsia="zh-CN" w:bidi="en-US"/>
                    </w:rPr>
                  </w:pPr>
                  <w:r>
                    <w:rPr>
                      <w:rFonts w:hint="eastAsia" w:ascii="Times New Roman" w:hAnsi="Times New Roman" w:eastAsia="宋体" w:cs="Times New Roman"/>
                      <w:b w:val="0"/>
                      <w:bCs w:val="0"/>
                      <w:color w:val="FF0000"/>
                      <w:sz w:val="21"/>
                      <w:szCs w:val="21"/>
                      <w:highlight w:val="none"/>
                      <w:lang w:eastAsia="zh-CN" w:bidi="en-US"/>
                    </w:rPr>
                    <w:t>单机处理</w:t>
                  </w:r>
                  <w:r>
                    <w:rPr>
                      <w:rFonts w:hint="default" w:ascii="Times New Roman" w:hAnsi="Times New Roman" w:eastAsia="宋体" w:cs="Times New Roman"/>
                      <w:b w:val="0"/>
                      <w:bCs w:val="0"/>
                      <w:color w:val="FF0000"/>
                      <w:sz w:val="21"/>
                      <w:szCs w:val="21"/>
                      <w:highlight w:val="none"/>
                      <w:lang w:bidi="en-US"/>
                    </w:rPr>
                    <w:t>能力</w:t>
                  </w:r>
                  <w:r>
                    <w:rPr>
                      <w:rFonts w:hint="eastAsia" w:ascii="Times New Roman" w:hAnsi="Times New Roman" w:eastAsia="宋体" w:cs="Times New Roman"/>
                      <w:b w:val="0"/>
                      <w:bCs w:val="0"/>
                      <w:color w:val="FF0000"/>
                      <w:sz w:val="21"/>
                      <w:szCs w:val="21"/>
                      <w:highlight w:val="none"/>
                      <w:lang w:val="en-US" w:eastAsia="zh-CN" w:bidi="en-US"/>
                    </w:rPr>
                    <w:t>t/h</w:t>
                  </w:r>
                </w:p>
              </w:tc>
              <w:tc>
                <w:tcPr>
                  <w:tcW w:w="787" w:type="dxa"/>
                  <w:noWrap w:val="0"/>
                  <w:vAlign w:val="center"/>
                </w:tcPr>
                <w:p w14:paraId="33A75415">
                  <w:pPr>
                    <w:keepNext w:val="0"/>
                    <w:keepLines w:val="0"/>
                    <w:pageBreakBefore w:val="0"/>
                    <w:kinsoku/>
                    <w:wordWrap/>
                    <w:overflowPunct/>
                    <w:topLinePunct w:val="0"/>
                    <w:autoSpaceDE/>
                    <w:autoSpaceDN/>
                    <w:bidi w:val="0"/>
                    <w:adjustRightInd w:val="0"/>
                    <w:snapToGrid w:val="0"/>
                    <w:spacing w:line="320" w:lineRule="exact"/>
                    <w:ind w:firstLine="0" w:firstLineChars="0"/>
                    <w:jc w:val="center"/>
                    <w:textAlignment w:val="baseline"/>
                    <w:outlineLvl w:val="9"/>
                    <w:rPr>
                      <w:rFonts w:hint="eastAsia" w:ascii="Times New Roman" w:hAnsi="Times New Roman" w:eastAsia="宋体" w:cs="Times New Roman"/>
                      <w:b w:val="0"/>
                      <w:bCs w:val="0"/>
                      <w:color w:val="FF0000"/>
                      <w:sz w:val="21"/>
                      <w:szCs w:val="21"/>
                      <w:highlight w:val="none"/>
                      <w:lang w:val="en-US" w:eastAsia="zh-CN" w:bidi="en-US"/>
                    </w:rPr>
                  </w:pPr>
                  <w:r>
                    <w:rPr>
                      <w:rFonts w:hint="default" w:ascii="Times New Roman" w:hAnsi="Times New Roman" w:eastAsia="宋体" w:cs="Times New Roman"/>
                      <w:b w:val="0"/>
                      <w:bCs w:val="0"/>
                      <w:color w:val="FF0000"/>
                      <w:sz w:val="21"/>
                      <w:szCs w:val="21"/>
                      <w:highlight w:val="none"/>
                      <w:lang w:bidi="en-US"/>
                    </w:rPr>
                    <w:t>年运行时间</w:t>
                  </w:r>
                  <w:r>
                    <w:rPr>
                      <w:rFonts w:hint="eastAsia" w:ascii="Times New Roman" w:hAnsi="Times New Roman" w:eastAsia="宋体" w:cs="Times New Roman"/>
                      <w:b w:val="0"/>
                      <w:bCs w:val="0"/>
                      <w:color w:val="FF0000"/>
                      <w:sz w:val="21"/>
                      <w:szCs w:val="21"/>
                      <w:highlight w:val="none"/>
                      <w:lang w:val="en-US" w:eastAsia="zh-CN" w:bidi="en-US"/>
                    </w:rPr>
                    <w:t>h</w:t>
                  </w:r>
                </w:p>
              </w:tc>
              <w:tc>
                <w:tcPr>
                  <w:tcW w:w="1052" w:type="dxa"/>
                  <w:noWrap w:val="0"/>
                  <w:vAlign w:val="center"/>
                </w:tcPr>
                <w:p w14:paraId="34FCC4DC">
                  <w:pPr>
                    <w:keepNext w:val="0"/>
                    <w:keepLines w:val="0"/>
                    <w:pageBreakBefore w:val="0"/>
                    <w:kinsoku/>
                    <w:wordWrap/>
                    <w:overflowPunct/>
                    <w:topLinePunct w:val="0"/>
                    <w:autoSpaceDE/>
                    <w:autoSpaceDN/>
                    <w:bidi w:val="0"/>
                    <w:adjustRightInd w:val="0"/>
                    <w:snapToGrid w:val="0"/>
                    <w:spacing w:line="320" w:lineRule="exact"/>
                    <w:ind w:firstLine="0" w:firstLineChars="0"/>
                    <w:jc w:val="center"/>
                    <w:textAlignment w:val="baseline"/>
                    <w:outlineLvl w:val="9"/>
                    <w:rPr>
                      <w:rFonts w:hint="default" w:ascii="Times New Roman" w:hAnsi="Times New Roman" w:eastAsia="宋体" w:cs="Times New Roman"/>
                      <w:b w:val="0"/>
                      <w:bCs w:val="0"/>
                      <w:color w:val="FF0000"/>
                      <w:sz w:val="21"/>
                      <w:szCs w:val="21"/>
                      <w:highlight w:val="none"/>
                      <w:lang w:val="en-US" w:eastAsia="zh-CN" w:bidi="en-US"/>
                    </w:rPr>
                  </w:pPr>
                  <w:r>
                    <w:rPr>
                      <w:rFonts w:hint="eastAsia" w:ascii="Times New Roman" w:hAnsi="Times New Roman" w:eastAsia="宋体" w:cs="Times New Roman"/>
                      <w:b w:val="0"/>
                      <w:bCs w:val="0"/>
                      <w:color w:val="FF0000"/>
                      <w:sz w:val="21"/>
                      <w:szCs w:val="21"/>
                      <w:highlight w:val="none"/>
                      <w:lang w:eastAsia="zh-CN" w:bidi="en-US"/>
                    </w:rPr>
                    <w:t>年处理</w:t>
                  </w:r>
                  <w:r>
                    <w:rPr>
                      <w:rFonts w:hint="default" w:ascii="Times New Roman" w:hAnsi="Times New Roman" w:eastAsia="宋体" w:cs="Times New Roman"/>
                      <w:b w:val="0"/>
                      <w:bCs w:val="0"/>
                      <w:color w:val="FF0000"/>
                      <w:sz w:val="21"/>
                      <w:szCs w:val="21"/>
                      <w:highlight w:val="none"/>
                      <w:lang w:bidi="en-US"/>
                    </w:rPr>
                    <w:t>能力</w:t>
                  </w:r>
                  <w:r>
                    <w:rPr>
                      <w:rFonts w:hint="eastAsia" w:ascii="Times New Roman" w:hAnsi="Times New Roman" w:eastAsia="宋体" w:cs="Times New Roman"/>
                      <w:b w:val="0"/>
                      <w:bCs w:val="0"/>
                      <w:color w:val="FF0000"/>
                      <w:sz w:val="21"/>
                      <w:szCs w:val="21"/>
                      <w:highlight w:val="none"/>
                      <w:lang w:val="en-US" w:eastAsia="zh-CN" w:bidi="en-US"/>
                    </w:rPr>
                    <w:t>t/a</w:t>
                  </w:r>
                </w:p>
              </w:tc>
              <w:tc>
                <w:tcPr>
                  <w:tcW w:w="1077" w:type="dxa"/>
                  <w:noWrap w:val="0"/>
                  <w:vAlign w:val="center"/>
                </w:tcPr>
                <w:p w14:paraId="2A53EA2F">
                  <w:pPr>
                    <w:keepNext w:val="0"/>
                    <w:keepLines w:val="0"/>
                    <w:pageBreakBefore w:val="0"/>
                    <w:kinsoku/>
                    <w:wordWrap/>
                    <w:overflowPunct/>
                    <w:topLinePunct w:val="0"/>
                    <w:autoSpaceDE/>
                    <w:autoSpaceDN/>
                    <w:bidi w:val="0"/>
                    <w:adjustRightInd w:val="0"/>
                    <w:snapToGrid w:val="0"/>
                    <w:spacing w:line="320" w:lineRule="exact"/>
                    <w:ind w:firstLine="0" w:firstLineChars="0"/>
                    <w:jc w:val="center"/>
                    <w:textAlignment w:val="baseline"/>
                    <w:outlineLvl w:val="9"/>
                    <w:rPr>
                      <w:rFonts w:hint="default" w:ascii="Times New Roman" w:hAnsi="Times New Roman" w:eastAsia="宋体" w:cs="Times New Roman"/>
                      <w:b w:val="0"/>
                      <w:bCs w:val="0"/>
                      <w:color w:val="FF0000"/>
                      <w:sz w:val="21"/>
                      <w:szCs w:val="21"/>
                      <w:highlight w:val="none"/>
                      <w:lang w:bidi="en-US"/>
                    </w:rPr>
                  </w:pPr>
                  <w:r>
                    <w:rPr>
                      <w:rFonts w:hint="default" w:ascii="Times New Roman" w:hAnsi="Times New Roman" w:eastAsia="宋体" w:cs="Times New Roman"/>
                      <w:b w:val="0"/>
                      <w:bCs w:val="0"/>
                      <w:color w:val="FF0000"/>
                      <w:sz w:val="21"/>
                      <w:szCs w:val="21"/>
                      <w:highlight w:val="none"/>
                      <w:lang w:bidi="en-US"/>
                    </w:rPr>
                    <w:t>设计产能</w:t>
                  </w:r>
                  <w:r>
                    <w:rPr>
                      <w:rFonts w:hint="eastAsia" w:ascii="Times New Roman" w:hAnsi="Times New Roman" w:eastAsia="宋体" w:cs="Times New Roman"/>
                      <w:b w:val="0"/>
                      <w:bCs w:val="0"/>
                      <w:color w:val="FF0000"/>
                      <w:sz w:val="21"/>
                      <w:szCs w:val="21"/>
                      <w:highlight w:val="none"/>
                      <w:lang w:val="en-US" w:eastAsia="zh-CN" w:bidi="en-US"/>
                    </w:rPr>
                    <w:t>t/a</w:t>
                  </w:r>
                </w:p>
              </w:tc>
              <w:tc>
                <w:tcPr>
                  <w:tcW w:w="1116" w:type="dxa"/>
                  <w:noWrap w:val="0"/>
                  <w:vAlign w:val="center"/>
                </w:tcPr>
                <w:p w14:paraId="3EC0CDFA">
                  <w:pPr>
                    <w:keepNext w:val="0"/>
                    <w:keepLines w:val="0"/>
                    <w:pageBreakBefore w:val="0"/>
                    <w:kinsoku/>
                    <w:wordWrap/>
                    <w:overflowPunct/>
                    <w:topLinePunct w:val="0"/>
                    <w:autoSpaceDE/>
                    <w:autoSpaceDN/>
                    <w:bidi w:val="0"/>
                    <w:adjustRightInd w:val="0"/>
                    <w:snapToGrid w:val="0"/>
                    <w:spacing w:line="320" w:lineRule="exact"/>
                    <w:ind w:firstLine="0" w:firstLineChars="0"/>
                    <w:jc w:val="center"/>
                    <w:textAlignment w:val="baseline"/>
                    <w:outlineLvl w:val="9"/>
                    <w:rPr>
                      <w:rFonts w:hint="default" w:ascii="Times New Roman" w:hAnsi="Times New Roman" w:eastAsia="宋体" w:cs="Times New Roman"/>
                      <w:b w:val="0"/>
                      <w:bCs w:val="0"/>
                      <w:color w:val="FF0000"/>
                      <w:sz w:val="21"/>
                      <w:szCs w:val="21"/>
                      <w:highlight w:val="none"/>
                      <w:lang w:val="en-US" w:eastAsia="zh-CN" w:bidi="en-US"/>
                    </w:rPr>
                  </w:pPr>
                  <w:r>
                    <w:rPr>
                      <w:rFonts w:hint="eastAsia" w:ascii="Times New Roman" w:hAnsi="Times New Roman" w:eastAsia="宋体" w:cs="Times New Roman"/>
                      <w:b w:val="0"/>
                      <w:bCs w:val="0"/>
                      <w:color w:val="FF0000"/>
                      <w:sz w:val="21"/>
                      <w:szCs w:val="21"/>
                      <w:highlight w:val="none"/>
                      <w:lang w:val="en-US" w:eastAsia="zh-CN" w:bidi="en-US"/>
                    </w:rPr>
                    <w:t>设备运转率%</w:t>
                  </w:r>
                </w:p>
              </w:tc>
              <w:tc>
                <w:tcPr>
                  <w:tcW w:w="733" w:type="dxa"/>
                  <w:noWrap w:val="0"/>
                  <w:vAlign w:val="center"/>
                </w:tcPr>
                <w:p w14:paraId="7483F8DF">
                  <w:pPr>
                    <w:keepNext w:val="0"/>
                    <w:keepLines w:val="0"/>
                    <w:pageBreakBefore w:val="0"/>
                    <w:kinsoku/>
                    <w:wordWrap/>
                    <w:overflowPunct/>
                    <w:topLinePunct w:val="0"/>
                    <w:autoSpaceDE/>
                    <w:autoSpaceDN/>
                    <w:bidi w:val="0"/>
                    <w:adjustRightInd w:val="0"/>
                    <w:snapToGrid w:val="0"/>
                    <w:spacing w:line="320" w:lineRule="exact"/>
                    <w:ind w:firstLine="0" w:firstLineChars="0"/>
                    <w:jc w:val="center"/>
                    <w:textAlignment w:val="baseline"/>
                    <w:outlineLvl w:val="9"/>
                    <w:rPr>
                      <w:rFonts w:hint="eastAsia" w:ascii="Times New Roman" w:hAnsi="Times New Roman" w:eastAsia="宋体" w:cs="Times New Roman"/>
                      <w:b w:val="0"/>
                      <w:bCs w:val="0"/>
                      <w:color w:val="FF0000"/>
                      <w:sz w:val="21"/>
                      <w:szCs w:val="21"/>
                      <w:highlight w:val="none"/>
                      <w:lang w:eastAsia="zh-CN" w:bidi="en-US"/>
                    </w:rPr>
                  </w:pPr>
                  <w:r>
                    <w:rPr>
                      <w:rFonts w:hint="eastAsia" w:ascii="Times New Roman" w:hAnsi="Times New Roman" w:eastAsia="宋体" w:cs="Times New Roman"/>
                      <w:b w:val="0"/>
                      <w:bCs w:val="0"/>
                      <w:color w:val="FF0000"/>
                      <w:sz w:val="21"/>
                      <w:szCs w:val="21"/>
                      <w:highlight w:val="none"/>
                      <w:lang w:eastAsia="zh-CN" w:bidi="en-US"/>
                    </w:rPr>
                    <w:t>是否匹配</w:t>
                  </w:r>
                </w:p>
              </w:tc>
            </w:tr>
            <w:tr w14:paraId="67081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0" w:type="dxa"/>
                  <w:noWrap w:val="0"/>
                  <w:vAlign w:val="center"/>
                </w:tcPr>
                <w:p w14:paraId="6A49D120">
                  <w:pPr>
                    <w:keepNext w:val="0"/>
                    <w:keepLines w:val="0"/>
                    <w:pageBreakBefore w:val="0"/>
                    <w:kinsoku/>
                    <w:wordWrap/>
                    <w:overflowPunct/>
                    <w:topLinePunct w:val="0"/>
                    <w:autoSpaceDE/>
                    <w:autoSpaceDN/>
                    <w:bidi w:val="0"/>
                    <w:adjustRightInd w:val="0"/>
                    <w:snapToGrid w:val="0"/>
                    <w:spacing w:line="320" w:lineRule="exact"/>
                    <w:ind w:firstLine="0" w:firstLineChars="0"/>
                    <w:jc w:val="center"/>
                    <w:textAlignment w:val="baseline"/>
                    <w:outlineLvl w:val="9"/>
                    <w:rPr>
                      <w:rFonts w:hint="default" w:ascii="Times New Roman" w:hAnsi="Times New Roman" w:eastAsia="宋体" w:cs="Times New Roman"/>
                      <w:b w:val="0"/>
                      <w:bCs w:val="0"/>
                      <w:color w:val="FF0000"/>
                      <w:sz w:val="21"/>
                      <w:szCs w:val="21"/>
                      <w:highlight w:val="none"/>
                      <w:lang w:bidi="en-US"/>
                    </w:rPr>
                  </w:pPr>
                  <w:r>
                    <w:rPr>
                      <w:rFonts w:hint="default" w:ascii="Times New Roman" w:hAnsi="Times New Roman" w:eastAsia="宋体" w:cs="Times New Roman"/>
                      <w:b w:val="0"/>
                      <w:bCs w:val="0"/>
                      <w:color w:val="FF0000"/>
                      <w:sz w:val="21"/>
                      <w:szCs w:val="21"/>
                      <w:highlight w:val="none"/>
                      <w:lang w:bidi="en-US"/>
                    </w:rPr>
                    <w:t>1</w:t>
                  </w:r>
                </w:p>
              </w:tc>
              <w:tc>
                <w:tcPr>
                  <w:tcW w:w="1419" w:type="dxa"/>
                  <w:noWrap w:val="0"/>
                  <w:vAlign w:val="center"/>
                </w:tcPr>
                <w:p w14:paraId="6B072012">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b w:val="0"/>
                      <w:bCs w:val="0"/>
                      <w:color w:val="FF0000"/>
                      <w:kern w:val="0"/>
                      <w:sz w:val="21"/>
                      <w:szCs w:val="21"/>
                      <w:highlight w:val="none"/>
                      <w:lang w:val="en-US" w:eastAsia="zh-CN" w:bidi="ar-SA"/>
                    </w:rPr>
                  </w:pPr>
                  <w:r>
                    <w:rPr>
                      <w:rFonts w:hint="eastAsia"/>
                      <w:color w:val="FF0000"/>
                      <w:lang w:val="en-US" w:eastAsia="zh-CN"/>
                    </w:rPr>
                    <w:t>搅拌机</w:t>
                  </w:r>
                </w:p>
              </w:tc>
              <w:tc>
                <w:tcPr>
                  <w:tcW w:w="733" w:type="dxa"/>
                  <w:noWrap w:val="0"/>
                  <w:vAlign w:val="center"/>
                </w:tcPr>
                <w:p w14:paraId="0D4EE094">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aps w:val="0"/>
                      <w:smallCaps w:val="0"/>
                      <w:color w:val="FF0000"/>
                      <w:kern w:val="0"/>
                      <w:sz w:val="21"/>
                      <w:szCs w:val="21"/>
                      <w:highlight w:val="none"/>
                      <w:lang w:val="en-US" w:eastAsia="zh-CN" w:bidi="ar"/>
                    </w:rPr>
                  </w:pPr>
                  <w:r>
                    <w:rPr>
                      <w:rFonts w:hint="eastAsia" w:ascii="Times New Roman" w:hAnsi="Times New Roman" w:eastAsia="宋体" w:cs="Times New Roman"/>
                      <w:caps w:val="0"/>
                      <w:smallCaps w:val="0"/>
                      <w:color w:val="FF0000"/>
                      <w:kern w:val="0"/>
                      <w:sz w:val="21"/>
                      <w:szCs w:val="21"/>
                      <w:highlight w:val="none"/>
                      <w:lang w:val="en-US" w:eastAsia="zh-CN" w:bidi="ar"/>
                    </w:rPr>
                    <w:t>1</w:t>
                  </w:r>
                </w:p>
              </w:tc>
              <w:tc>
                <w:tcPr>
                  <w:tcW w:w="938" w:type="dxa"/>
                  <w:noWrap w:val="0"/>
                  <w:vAlign w:val="center"/>
                </w:tcPr>
                <w:p w14:paraId="0081B1EF">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aps w:val="0"/>
                      <w:smallCaps w:val="0"/>
                      <w:color w:val="FF0000"/>
                      <w:kern w:val="0"/>
                      <w:sz w:val="21"/>
                      <w:szCs w:val="21"/>
                      <w:highlight w:val="none"/>
                      <w:lang w:val="en-US" w:eastAsia="zh-CN" w:bidi="ar"/>
                    </w:rPr>
                  </w:pPr>
                  <w:r>
                    <w:rPr>
                      <w:rFonts w:hint="eastAsia" w:ascii="Times New Roman" w:hAnsi="Times New Roman" w:eastAsia="宋体" w:cs="Times New Roman"/>
                      <w:caps w:val="0"/>
                      <w:smallCaps w:val="0"/>
                      <w:color w:val="FF0000"/>
                      <w:kern w:val="0"/>
                      <w:sz w:val="21"/>
                      <w:szCs w:val="21"/>
                      <w:highlight w:val="none"/>
                      <w:lang w:val="en-US" w:eastAsia="zh-CN" w:bidi="ar"/>
                    </w:rPr>
                    <w:t>7.5</w:t>
                  </w:r>
                </w:p>
              </w:tc>
              <w:tc>
                <w:tcPr>
                  <w:tcW w:w="787" w:type="dxa"/>
                  <w:noWrap w:val="0"/>
                  <w:vAlign w:val="center"/>
                </w:tcPr>
                <w:p w14:paraId="7809BCD0">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aps w:val="0"/>
                      <w:smallCaps w:val="0"/>
                      <w:color w:val="FF0000"/>
                      <w:kern w:val="0"/>
                      <w:sz w:val="21"/>
                      <w:szCs w:val="21"/>
                      <w:highlight w:val="none"/>
                      <w:lang w:val="en-US" w:eastAsia="zh-CN" w:bidi="ar"/>
                    </w:rPr>
                  </w:pPr>
                  <w:r>
                    <w:rPr>
                      <w:rFonts w:hint="eastAsia" w:ascii="Times New Roman" w:hAnsi="Times New Roman" w:eastAsia="宋体" w:cs="Times New Roman"/>
                      <w:caps w:val="0"/>
                      <w:smallCaps w:val="0"/>
                      <w:color w:val="FF0000"/>
                      <w:kern w:val="0"/>
                      <w:sz w:val="21"/>
                      <w:szCs w:val="21"/>
                      <w:highlight w:val="none"/>
                      <w:lang w:val="en-US" w:eastAsia="zh-CN" w:bidi="ar"/>
                    </w:rPr>
                    <w:t>2400</w:t>
                  </w:r>
                </w:p>
              </w:tc>
              <w:tc>
                <w:tcPr>
                  <w:tcW w:w="1052" w:type="dxa"/>
                  <w:noWrap w:val="0"/>
                  <w:vAlign w:val="center"/>
                </w:tcPr>
                <w:p w14:paraId="52835DA1">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aps w:val="0"/>
                      <w:smallCaps w:val="0"/>
                      <w:color w:val="FF0000"/>
                      <w:kern w:val="0"/>
                      <w:sz w:val="21"/>
                      <w:szCs w:val="21"/>
                      <w:highlight w:val="none"/>
                      <w:lang w:val="en-US" w:eastAsia="zh-CN" w:bidi="ar"/>
                    </w:rPr>
                  </w:pPr>
                  <w:r>
                    <w:rPr>
                      <w:rFonts w:hint="eastAsia" w:ascii="Times New Roman" w:hAnsi="Times New Roman" w:eastAsia="宋体" w:cs="Times New Roman"/>
                      <w:caps w:val="0"/>
                      <w:smallCaps w:val="0"/>
                      <w:color w:val="FF0000"/>
                      <w:kern w:val="0"/>
                      <w:sz w:val="21"/>
                      <w:szCs w:val="21"/>
                      <w:highlight w:val="none"/>
                      <w:lang w:val="en-US" w:eastAsia="zh-CN" w:bidi="ar"/>
                    </w:rPr>
                    <w:t>18000</w:t>
                  </w:r>
                </w:p>
              </w:tc>
              <w:tc>
                <w:tcPr>
                  <w:tcW w:w="1077" w:type="dxa"/>
                  <w:noWrap w:val="0"/>
                  <w:vAlign w:val="center"/>
                </w:tcPr>
                <w:p w14:paraId="0B5F8846">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aps w:val="0"/>
                      <w:smallCaps w:val="0"/>
                      <w:color w:val="FF0000"/>
                      <w:kern w:val="0"/>
                      <w:sz w:val="21"/>
                      <w:szCs w:val="21"/>
                      <w:highlight w:val="none"/>
                      <w:lang w:val="en-US" w:eastAsia="zh-CN" w:bidi="ar"/>
                    </w:rPr>
                  </w:pPr>
                  <w:r>
                    <w:rPr>
                      <w:rFonts w:hint="eastAsia" w:ascii="Times New Roman" w:hAnsi="Times New Roman" w:eastAsia="宋体" w:cs="Times New Roman"/>
                      <w:caps w:val="0"/>
                      <w:smallCaps w:val="0"/>
                      <w:color w:val="FF0000"/>
                      <w:kern w:val="0"/>
                      <w:sz w:val="21"/>
                      <w:szCs w:val="21"/>
                      <w:highlight w:val="none"/>
                      <w:lang w:val="en-US" w:eastAsia="zh-CN" w:bidi="ar"/>
                    </w:rPr>
                    <w:t>15000</w:t>
                  </w:r>
                </w:p>
              </w:tc>
              <w:tc>
                <w:tcPr>
                  <w:tcW w:w="1116" w:type="dxa"/>
                  <w:noWrap w:val="0"/>
                  <w:vAlign w:val="center"/>
                </w:tcPr>
                <w:p w14:paraId="1487532E">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aps w:val="0"/>
                      <w:smallCaps w:val="0"/>
                      <w:color w:val="FF0000"/>
                      <w:kern w:val="0"/>
                      <w:sz w:val="21"/>
                      <w:szCs w:val="21"/>
                      <w:highlight w:val="none"/>
                      <w:lang w:val="en-US" w:eastAsia="zh-CN" w:bidi="ar"/>
                    </w:rPr>
                  </w:pPr>
                  <w:r>
                    <w:rPr>
                      <w:rFonts w:hint="eastAsia" w:ascii="Times New Roman" w:hAnsi="Times New Roman" w:eastAsia="宋体" w:cs="Times New Roman"/>
                      <w:caps w:val="0"/>
                      <w:smallCaps w:val="0"/>
                      <w:color w:val="FF0000"/>
                      <w:kern w:val="0"/>
                      <w:sz w:val="21"/>
                      <w:szCs w:val="21"/>
                      <w:highlight w:val="none"/>
                      <w:lang w:val="en-US" w:eastAsia="zh-CN" w:bidi="ar"/>
                    </w:rPr>
                    <w:t>83.33</w:t>
                  </w:r>
                </w:p>
              </w:tc>
              <w:tc>
                <w:tcPr>
                  <w:tcW w:w="733" w:type="dxa"/>
                  <w:noWrap w:val="0"/>
                  <w:vAlign w:val="center"/>
                </w:tcPr>
                <w:p w14:paraId="51DF1B12">
                  <w:pPr>
                    <w:keepNext w:val="0"/>
                    <w:keepLines w:val="0"/>
                    <w:pageBreakBefore w:val="0"/>
                    <w:kinsoku/>
                    <w:wordWrap/>
                    <w:overflowPunct/>
                    <w:topLinePunct w:val="0"/>
                    <w:autoSpaceDE/>
                    <w:autoSpaceDN/>
                    <w:bidi w:val="0"/>
                    <w:adjustRightInd w:val="0"/>
                    <w:snapToGrid w:val="0"/>
                    <w:spacing w:line="320" w:lineRule="exact"/>
                    <w:ind w:firstLine="0" w:firstLineChars="0"/>
                    <w:jc w:val="center"/>
                    <w:textAlignment w:val="baseline"/>
                    <w:outlineLvl w:val="9"/>
                    <w:rPr>
                      <w:rFonts w:hint="eastAsia" w:ascii="Times New Roman" w:hAnsi="Times New Roman" w:eastAsia="宋体" w:cs="Times New Roman"/>
                      <w:b w:val="0"/>
                      <w:bCs w:val="0"/>
                      <w:color w:val="FF0000"/>
                      <w:sz w:val="21"/>
                      <w:szCs w:val="21"/>
                      <w:highlight w:val="none"/>
                      <w:lang w:eastAsia="zh-CN" w:bidi="en-US"/>
                    </w:rPr>
                  </w:pPr>
                  <w:r>
                    <w:rPr>
                      <w:rFonts w:hint="eastAsia" w:ascii="Times New Roman" w:hAnsi="Times New Roman" w:eastAsia="宋体" w:cs="Times New Roman"/>
                      <w:b w:val="0"/>
                      <w:bCs w:val="0"/>
                      <w:color w:val="FF0000"/>
                      <w:sz w:val="21"/>
                      <w:szCs w:val="21"/>
                      <w:highlight w:val="none"/>
                      <w:lang w:eastAsia="zh-CN" w:bidi="en-US"/>
                    </w:rPr>
                    <w:t>匹配</w:t>
                  </w:r>
                </w:p>
              </w:tc>
            </w:tr>
            <w:tr w14:paraId="3E5D4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0" w:type="dxa"/>
                  <w:noWrap w:val="0"/>
                  <w:vAlign w:val="center"/>
                </w:tcPr>
                <w:p w14:paraId="69AE5548">
                  <w:pPr>
                    <w:keepNext w:val="0"/>
                    <w:keepLines w:val="0"/>
                    <w:pageBreakBefore w:val="0"/>
                    <w:kinsoku/>
                    <w:wordWrap/>
                    <w:overflowPunct/>
                    <w:topLinePunct w:val="0"/>
                    <w:autoSpaceDE/>
                    <w:autoSpaceDN/>
                    <w:bidi w:val="0"/>
                    <w:adjustRightInd w:val="0"/>
                    <w:snapToGrid w:val="0"/>
                    <w:spacing w:line="320" w:lineRule="exact"/>
                    <w:ind w:firstLine="0" w:firstLineChars="0"/>
                    <w:jc w:val="center"/>
                    <w:textAlignment w:val="baseline"/>
                    <w:outlineLvl w:val="9"/>
                    <w:rPr>
                      <w:rFonts w:hint="default" w:ascii="Times New Roman" w:hAnsi="Times New Roman" w:eastAsia="宋体" w:cs="Times New Roman"/>
                      <w:b w:val="0"/>
                      <w:bCs w:val="0"/>
                      <w:color w:val="FF0000"/>
                      <w:kern w:val="2"/>
                      <w:sz w:val="21"/>
                      <w:szCs w:val="21"/>
                      <w:highlight w:val="none"/>
                      <w:lang w:val="en-US" w:eastAsia="zh-CN" w:bidi="en-US"/>
                    </w:rPr>
                  </w:pPr>
                  <w:r>
                    <w:rPr>
                      <w:rFonts w:hint="eastAsia" w:ascii="Times New Roman" w:hAnsi="Times New Roman" w:eastAsia="宋体" w:cs="Times New Roman"/>
                      <w:b w:val="0"/>
                      <w:bCs w:val="0"/>
                      <w:color w:val="FF0000"/>
                      <w:sz w:val="21"/>
                      <w:szCs w:val="21"/>
                      <w:highlight w:val="none"/>
                      <w:lang w:val="en-US" w:eastAsia="zh-CN" w:bidi="en-US"/>
                    </w:rPr>
                    <w:t>3</w:t>
                  </w:r>
                </w:p>
              </w:tc>
              <w:tc>
                <w:tcPr>
                  <w:tcW w:w="1419" w:type="dxa"/>
                  <w:noWrap w:val="0"/>
                  <w:vAlign w:val="center"/>
                </w:tcPr>
                <w:p w14:paraId="63FC177F">
                  <w:pPr>
                    <w:pStyle w:val="56"/>
                    <w:bidi w:val="0"/>
                    <w:ind w:firstLine="0" w:firstLineChars="0"/>
                    <w:rPr>
                      <w:rFonts w:hint="default" w:ascii="Times New Roman" w:hAnsi="Times New Roman" w:eastAsia="宋体" w:cs="Times New Roman"/>
                      <w:b w:val="0"/>
                      <w:bCs w:val="0"/>
                      <w:color w:val="FF0000"/>
                      <w:kern w:val="0"/>
                      <w:sz w:val="21"/>
                      <w:szCs w:val="21"/>
                      <w:highlight w:val="none"/>
                      <w:lang w:val="en-US" w:eastAsia="zh-CN" w:bidi="ar-SA"/>
                    </w:rPr>
                  </w:pPr>
                  <w:r>
                    <w:rPr>
                      <w:rFonts w:hint="eastAsia"/>
                      <w:color w:val="FF0000"/>
                      <w:lang w:val="en-US" w:eastAsia="zh-CN"/>
                    </w:rPr>
                    <w:t>自动化流水生产线</w:t>
                  </w:r>
                </w:p>
              </w:tc>
              <w:tc>
                <w:tcPr>
                  <w:tcW w:w="733" w:type="dxa"/>
                  <w:noWrap w:val="0"/>
                  <w:vAlign w:val="center"/>
                </w:tcPr>
                <w:p w14:paraId="4320E82A">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hint="eastAsia" w:ascii="Times New Roman" w:hAnsi="Times New Roman" w:eastAsia="宋体" w:cs="Times New Roman"/>
                      <w:caps w:val="0"/>
                      <w:smallCaps w:val="0"/>
                      <w:color w:val="FF0000"/>
                      <w:kern w:val="0"/>
                      <w:sz w:val="21"/>
                      <w:szCs w:val="21"/>
                      <w:highlight w:val="none"/>
                      <w:lang w:val="en-US" w:eastAsia="zh-CN" w:bidi="ar"/>
                    </w:rPr>
                  </w:pPr>
                  <w:r>
                    <w:rPr>
                      <w:rFonts w:hint="eastAsia" w:ascii="Times New Roman" w:hAnsi="Times New Roman" w:eastAsia="宋体" w:cs="Times New Roman"/>
                      <w:caps w:val="0"/>
                      <w:smallCaps w:val="0"/>
                      <w:color w:val="FF0000"/>
                      <w:kern w:val="0"/>
                      <w:sz w:val="21"/>
                      <w:szCs w:val="21"/>
                      <w:highlight w:val="none"/>
                      <w:lang w:val="en-US" w:eastAsia="zh-CN" w:bidi="ar"/>
                    </w:rPr>
                    <w:t>2</w:t>
                  </w:r>
                </w:p>
              </w:tc>
              <w:tc>
                <w:tcPr>
                  <w:tcW w:w="938" w:type="dxa"/>
                  <w:noWrap w:val="0"/>
                  <w:vAlign w:val="center"/>
                </w:tcPr>
                <w:p w14:paraId="317C7D98">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aps w:val="0"/>
                      <w:smallCaps w:val="0"/>
                      <w:color w:val="FF0000"/>
                      <w:kern w:val="0"/>
                      <w:sz w:val="21"/>
                      <w:szCs w:val="21"/>
                      <w:highlight w:val="none"/>
                      <w:lang w:val="en-US" w:eastAsia="zh-CN" w:bidi="ar"/>
                    </w:rPr>
                  </w:pPr>
                  <w:r>
                    <w:rPr>
                      <w:rFonts w:hint="eastAsia" w:ascii="Times New Roman" w:hAnsi="Times New Roman" w:eastAsia="宋体" w:cs="Times New Roman"/>
                      <w:caps w:val="0"/>
                      <w:smallCaps w:val="0"/>
                      <w:color w:val="FF0000"/>
                      <w:kern w:val="0"/>
                      <w:sz w:val="21"/>
                      <w:szCs w:val="21"/>
                      <w:highlight w:val="none"/>
                      <w:lang w:val="en-US" w:eastAsia="zh-CN" w:bidi="ar"/>
                    </w:rPr>
                    <w:t>5</w:t>
                  </w:r>
                </w:p>
              </w:tc>
              <w:tc>
                <w:tcPr>
                  <w:tcW w:w="787" w:type="dxa"/>
                  <w:noWrap w:val="0"/>
                  <w:vAlign w:val="center"/>
                </w:tcPr>
                <w:p w14:paraId="64F817EA">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aps w:val="0"/>
                      <w:smallCaps w:val="0"/>
                      <w:color w:val="FF0000"/>
                      <w:kern w:val="0"/>
                      <w:sz w:val="21"/>
                      <w:szCs w:val="21"/>
                      <w:highlight w:val="none"/>
                      <w:lang w:val="en-US" w:eastAsia="zh-CN" w:bidi="ar"/>
                    </w:rPr>
                  </w:pPr>
                  <w:r>
                    <w:rPr>
                      <w:rFonts w:hint="eastAsia" w:ascii="Times New Roman" w:hAnsi="Times New Roman" w:eastAsia="宋体" w:cs="Times New Roman"/>
                      <w:caps w:val="0"/>
                      <w:smallCaps w:val="0"/>
                      <w:color w:val="FF0000"/>
                      <w:kern w:val="0"/>
                      <w:sz w:val="21"/>
                      <w:szCs w:val="21"/>
                      <w:highlight w:val="none"/>
                      <w:lang w:val="en-US" w:eastAsia="zh-CN" w:bidi="ar"/>
                    </w:rPr>
                    <w:t>2400</w:t>
                  </w:r>
                </w:p>
              </w:tc>
              <w:tc>
                <w:tcPr>
                  <w:tcW w:w="1052" w:type="dxa"/>
                  <w:noWrap w:val="0"/>
                  <w:vAlign w:val="center"/>
                </w:tcPr>
                <w:p w14:paraId="36AC7A3A">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aps w:val="0"/>
                      <w:smallCaps w:val="0"/>
                      <w:color w:val="FF0000"/>
                      <w:kern w:val="0"/>
                      <w:sz w:val="21"/>
                      <w:szCs w:val="21"/>
                      <w:highlight w:val="none"/>
                      <w:lang w:val="en-US" w:eastAsia="zh-CN" w:bidi="ar"/>
                    </w:rPr>
                  </w:pPr>
                  <w:r>
                    <w:rPr>
                      <w:rFonts w:hint="eastAsia" w:ascii="Times New Roman" w:hAnsi="Times New Roman" w:eastAsia="宋体" w:cs="Times New Roman"/>
                      <w:caps w:val="0"/>
                      <w:smallCaps w:val="0"/>
                      <w:color w:val="FF0000"/>
                      <w:kern w:val="0"/>
                      <w:sz w:val="21"/>
                      <w:szCs w:val="21"/>
                      <w:highlight w:val="none"/>
                      <w:lang w:val="en-US" w:eastAsia="zh-CN" w:bidi="ar"/>
                    </w:rPr>
                    <w:t>24000</w:t>
                  </w:r>
                </w:p>
              </w:tc>
              <w:tc>
                <w:tcPr>
                  <w:tcW w:w="1077" w:type="dxa"/>
                  <w:noWrap w:val="0"/>
                  <w:vAlign w:val="center"/>
                </w:tcPr>
                <w:p w14:paraId="1C7A8408">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aps w:val="0"/>
                      <w:smallCaps w:val="0"/>
                      <w:color w:val="FF0000"/>
                      <w:kern w:val="0"/>
                      <w:sz w:val="21"/>
                      <w:szCs w:val="21"/>
                      <w:highlight w:val="none"/>
                      <w:lang w:val="en-US" w:eastAsia="zh-CN" w:bidi="ar"/>
                    </w:rPr>
                  </w:pPr>
                  <w:r>
                    <w:rPr>
                      <w:rFonts w:hint="eastAsia" w:ascii="Times New Roman" w:hAnsi="Times New Roman" w:eastAsia="宋体" w:cs="Times New Roman"/>
                      <w:caps w:val="0"/>
                      <w:smallCaps w:val="0"/>
                      <w:color w:val="FF0000"/>
                      <w:kern w:val="0"/>
                      <w:sz w:val="21"/>
                      <w:szCs w:val="21"/>
                      <w:highlight w:val="none"/>
                      <w:lang w:val="en-US" w:eastAsia="zh-CN" w:bidi="ar"/>
                    </w:rPr>
                    <w:t>15000</w:t>
                  </w:r>
                </w:p>
              </w:tc>
              <w:tc>
                <w:tcPr>
                  <w:tcW w:w="1116" w:type="dxa"/>
                  <w:noWrap w:val="0"/>
                  <w:vAlign w:val="center"/>
                </w:tcPr>
                <w:p w14:paraId="293D1682">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aps w:val="0"/>
                      <w:smallCaps w:val="0"/>
                      <w:color w:val="FF0000"/>
                      <w:kern w:val="0"/>
                      <w:sz w:val="21"/>
                      <w:szCs w:val="21"/>
                      <w:highlight w:val="none"/>
                      <w:lang w:val="en-US" w:eastAsia="zh-CN" w:bidi="ar"/>
                    </w:rPr>
                  </w:pPr>
                  <w:r>
                    <w:rPr>
                      <w:rFonts w:hint="eastAsia" w:ascii="Times New Roman" w:hAnsi="Times New Roman" w:eastAsia="宋体" w:cs="Times New Roman"/>
                      <w:caps w:val="0"/>
                      <w:smallCaps w:val="0"/>
                      <w:color w:val="FF0000"/>
                      <w:kern w:val="0"/>
                      <w:sz w:val="21"/>
                      <w:szCs w:val="21"/>
                      <w:highlight w:val="none"/>
                      <w:lang w:val="en-US" w:eastAsia="zh-CN" w:bidi="ar"/>
                    </w:rPr>
                    <w:t>66.7</w:t>
                  </w:r>
                </w:p>
              </w:tc>
              <w:tc>
                <w:tcPr>
                  <w:tcW w:w="733" w:type="dxa"/>
                  <w:noWrap w:val="0"/>
                  <w:vAlign w:val="center"/>
                </w:tcPr>
                <w:p w14:paraId="096A9248">
                  <w:pPr>
                    <w:keepNext w:val="0"/>
                    <w:keepLines w:val="0"/>
                    <w:pageBreakBefore w:val="0"/>
                    <w:kinsoku/>
                    <w:wordWrap/>
                    <w:overflowPunct/>
                    <w:topLinePunct w:val="0"/>
                    <w:autoSpaceDE/>
                    <w:autoSpaceDN/>
                    <w:bidi w:val="0"/>
                    <w:adjustRightInd w:val="0"/>
                    <w:snapToGrid w:val="0"/>
                    <w:spacing w:line="320" w:lineRule="exact"/>
                    <w:ind w:firstLine="0" w:firstLineChars="0"/>
                    <w:jc w:val="center"/>
                    <w:textAlignment w:val="baseline"/>
                    <w:outlineLvl w:val="9"/>
                    <w:rPr>
                      <w:rFonts w:hint="eastAsia" w:ascii="Times New Roman" w:hAnsi="Times New Roman" w:eastAsia="宋体" w:cs="Times New Roman"/>
                      <w:b w:val="0"/>
                      <w:bCs w:val="0"/>
                      <w:color w:val="FF0000"/>
                      <w:kern w:val="2"/>
                      <w:sz w:val="21"/>
                      <w:szCs w:val="21"/>
                      <w:highlight w:val="none"/>
                      <w:lang w:val="en-US" w:eastAsia="zh-CN" w:bidi="en-US"/>
                    </w:rPr>
                  </w:pPr>
                  <w:r>
                    <w:rPr>
                      <w:rFonts w:hint="eastAsia" w:ascii="Times New Roman" w:hAnsi="Times New Roman" w:eastAsia="宋体" w:cs="Times New Roman"/>
                      <w:b w:val="0"/>
                      <w:bCs w:val="0"/>
                      <w:color w:val="FF0000"/>
                      <w:sz w:val="21"/>
                      <w:szCs w:val="21"/>
                      <w:highlight w:val="none"/>
                      <w:lang w:eastAsia="zh-CN" w:bidi="en-US"/>
                    </w:rPr>
                    <w:t>匹配</w:t>
                  </w:r>
                </w:p>
              </w:tc>
            </w:tr>
          </w:tbl>
          <w:p w14:paraId="3C2C786A">
            <w:pPr>
              <w:ind w:firstLine="482"/>
              <w:rPr>
                <w:b/>
                <w:bCs/>
              </w:rPr>
            </w:pPr>
            <w:r>
              <w:rPr>
                <w:rFonts w:hint="eastAsia"/>
                <w:b/>
                <w:bCs/>
              </w:rPr>
              <w:t>4、项目产品方案</w:t>
            </w:r>
          </w:p>
          <w:p w14:paraId="31855141">
            <w:pPr>
              <w:spacing w:line="360" w:lineRule="auto"/>
              <w:ind w:firstLine="480"/>
              <w:rPr>
                <w:b/>
                <w:bCs/>
                <w:sz w:val="24"/>
                <w:szCs w:val="28"/>
              </w:rPr>
            </w:pPr>
            <w:r>
              <w:rPr>
                <w:sz w:val="24"/>
                <w:szCs w:val="28"/>
              </w:rPr>
              <w:t>产品方案见表2-</w:t>
            </w:r>
            <w:r>
              <w:rPr>
                <w:rFonts w:hint="eastAsia"/>
                <w:sz w:val="24"/>
                <w:szCs w:val="28"/>
                <w:lang w:val="en-US" w:eastAsia="zh-CN"/>
              </w:rPr>
              <w:t>4</w:t>
            </w:r>
            <w:r>
              <w:rPr>
                <w:sz w:val="24"/>
                <w:szCs w:val="28"/>
              </w:rPr>
              <w:t>。</w:t>
            </w:r>
          </w:p>
          <w:p w14:paraId="685ABE68">
            <w:pPr>
              <w:pStyle w:val="59"/>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240" w:lineRule="auto"/>
              <w:ind w:leftChars="0"/>
              <w:jc w:val="center"/>
              <w:textAlignment w:val="auto"/>
              <w:rPr>
                <w:rFonts w:hint="eastAsia" w:ascii="Times New Roman" w:hAnsi="Times New Roman" w:eastAsia="宋体" w:cs="Times New Roman"/>
                <w:b/>
                <w:bCs/>
                <w:lang w:val="en-US" w:eastAsia="zh-CN"/>
              </w:rPr>
            </w:pPr>
            <w:r>
              <w:rPr>
                <w:rFonts w:hint="eastAsia" w:ascii="Times New Roman" w:hAnsi="Times New Roman" w:eastAsia="宋体" w:cs="Times New Roman"/>
                <w:b/>
                <w:bCs/>
                <w:lang w:val="en-US" w:eastAsia="zh-CN"/>
              </w:rPr>
              <w:t>表2-4 项目产品方案表</w:t>
            </w:r>
          </w:p>
          <w:tbl>
            <w:tblPr>
              <w:tblStyle w:val="4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26"/>
              <w:gridCol w:w="1092"/>
              <w:gridCol w:w="3854"/>
              <w:gridCol w:w="912"/>
              <w:gridCol w:w="756"/>
              <w:gridCol w:w="1294"/>
            </w:tblGrid>
            <w:tr w14:paraId="746139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426" w:type="dxa"/>
                  <w:tcBorders>
                    <w:top w:val="single" w:color="auto" w:sz="6" w:space="0"/>
                    <w:left w:val="single" w:color="auto" w:sz="6" w:space="0"/>
                    <w:bottom w:val="single" w:color="auto" w:sz="6" w:space="0"/>
                    <w:right w:val="single" w:color="auto" w:sz="6" w:space="0"/>
                  </w:tcBorders>
                  <w:noWrap w:val="0"/>
                  <w:vAlign w:val="top"/>
                </w:tcPr>
                <w:p w14:paraId="6B88E2BE">
                  <w:pPr>
                    <w:pStyle w:val="56"/>
                    <w:bidi w:val="0"/>
                    <w:rPr>
                      <w:rFonts w:hint="eastAsia" w:ascii="Times New Roman" w:hAnsi="Times New Roman" w:eastAsia="宋体" w:cs="Times New Roman"/>
                      <w:szCs w:val="21"/>
                      <w:lang w:val="en-US" w:eastAsia="zh-CN"/>
                    </w:rPr>
                  </w:pPr>
                  <w:r>
                    <w:rPr>
                      <w:rFonts w:hint="eastAsia"/>
                      <w:lang w:val="en-US" w:eastAsia="zh-CN"/>
                    </w:rPr>
                    <w:t>序号</w:t>
                  </w:r>
                </w:p>
              </w:tc>
              <w:tc>
                <w:tcPr>
                  <w:tcW w:w="1092" w:type="dxa"/>
                  <w:tcBorders>
                    <w:top w:val="single" w:color="auto" w:sz="6" w:space="0"/>
                    <w:left w:val="single" w:color="auto" w:sz="6" w:space="0"/>
                    <w:bottom w:val="single" w:color="auto" w:sz="6" w:space="0"/>
                    <w:right w:val="single" w:color="auto" w:sz="6" w:space="0"/>
                  </w:tcBorders>
                  <w:noWrap w:val="0"/>
                  <w:vAlign w:val="center"/>
                </w:tcPr>
                <w:p w14:paraId="0F3A688E">
                  <w:pPr>
                    <w:pStyle w:val="56"/>
                    <w:bidi w:val="0"/>
                    <w:rPr>
                      <w:rFonts w:hint="eastAsia" w:ascii="Times New Roman" w:hAnsi="Times New Roman" w:eastAsia="宋体" w:cs="Times New Roman"/>
                      <w:szCs w:val="21"/>
                      <w:lang w:val="en-US" w:eastAsia="zh-CN"/>
                    </w:rPr>
                  </w:pPr>
                  <w:r>
                    <w:rPr>
                      <w:rFonts w:hint="eastAsia"/>
                      <w:lang w:val="en-US" w:eastAsia="zh-CN"/>
                    </w:rPr>
                    <w:t>产品</w:t>
                  </w:r>
                </w:p>
              </w:tc>
              <w:tc>
                <w:tcPr>
                  <w:tcW w:w="3854" w:type="dxa"/>
                  <w:tcBorders>
                    <w:top w:val="single" w:color="auto" w:sz="6" w:space="0"/>
                    <w:left w:val="single" w:color="auto" w:sz="6" w:space="0"/>
                    <w:bottom w:val="single" w:color="auto" w:sz="6" w:space="0"/>
                    <w:right w:val="single" w:color="auto" w:sz="8" w:space="0"/>
                  </w:tcBorders>
                  <w:noWrap w:val="0"/>
                  <w:vAlign w:val="center"/>
                </w:tcPr>
                <w:p w14:paraId="3D1112C7">
                  <w:pPr>
                    <w:pStyle w:val="56"/>
                    <w:bidi w:val="0"/>
                    <w:rPr>
                      <w:rFonts w:hint="eastAsia" w:ascii="Times New Roman" w:hAnsi="Times New Roman" w:eastAsia="宋体" w:cs="Times New Roman"/>
                      <w:szCs w:val="21"/>
                      <w:lang w:val="en-US" w:eastAsia="zh-CN"/>
                    </w:rPr>
                  </w:pPr>
                  <w:r>
                    <w:rPr>
                      <w:rFonts w:hint="eastAsia"/>
                      <w:lang w:val="en-US" w:eastAsia="zh-CN"/>
                    </w:rPr>
                    <w:t>规格</w:t>
                  </w:r>
                </w:p>
              </w:tc>
              <w:tc>
                <w:tcPr>
                  <w:tcW w:w="912" w:type="dxa"/>
                  <w:tcBorders>
                    <w:top w:val="single" w:color="auto" w:sz="6" w:space="0"/>
                    <w:left w:val="single" w:color="auto" w:sz="8" w:space="0"/>
                    <w:bottom w:val="single" w:color="auto" w:sz="6" w:space="0"/>
                    <w:right w:val="single" w:color="auto" w:sz="6" w:space="0"/>
                  </w:tcBorders>
                  <w:noWrap w:val="0"/>
                  <w:vAlign w:val="center"/>
                </w:tcPr>
                <w:p w14:paraId="48FC4635">
                  <w:pPr>
                    <w:pStyle w:val="56"/>
                    <w:bidi w:val="0"/>
                    <w:rPr>
                      <w:rFonts w:hint="eastAsia" w:ascii="Times New Roman" w:hAnsi="Times New Roman" w:eastAsia="宋体" w:cs="Times New Roman"/>
                      <w:szCs w:val="21"/>
                      <w:lang w:val="en-US" w:eastAsia="zh-CN"/>
                    </w:rPr>
                  </w:pPr>
                  <w:r>
                    <w:rPr>
                      <w:rFonts w:hint="eastAsia"/>
                      <w:lang w:val="en-US" w:eastAsia="zh-CN"/>
                    </w:rPr>
                    <w:t>年产量</w:t>
                  </w:r>
                </w:p>
              </w:tc>
              <w:tc>
                <w:tcPr>
                  <w:tcW w:w="756" w:type="dxa"/>
                  <w:tcBorders>
                    <w:top w:val="single" w:color="auto" w:sz="6" w:space="0"/>
                    <w:left w:val="single" w:color="auto" w:sz="6" w:space="0"/>
                    <w:bottom w:val="single" w:color="auto" w:sz="6" w:space="0"/>
                    <w:right w:val="single" w:color="auto" w:sz="6" w:space="0"/>
                  </w:tcBorders>
                  <w:noWrap w:val="0"/>
                  <w:vAlign w:val="center"/>
                </w:tcPr>
                <w:p w14:paraId="1A0F0626">
                  <w:pPr>
                    <w:pStyle w:val="56"/>
                    <w:bidi w:val="0"/>
                    <w:rPr>
                      <w:rFonts w:hint="default"/>
                      <w:color w:val="FF0000"/>
                      <w:lang w:val="en-US" w:eastAsia="zh-CN"/>
                    </w:rPr>
                  </w:pPr>
                  <w:r>
                    <w:rPr>
                      <w:rFonts w:hint="eastAsia"/>
                      <w:color w:val="FF0000"/>
                      <w:lang w:val="en-US" w:eastAsia="zh-CN"/>
                    </w:rPr>
                    <w:t>总重量</w:t>
                  </w:r>
                </w:p>
              </w:tc>
              <w:tc>
                <w:tcPr>
                  <w:tcW w:w="1294" w:type="dxa"/>
                  <w:tcBorders>
                    <w:top w:val="single" w:color="auto" w:sz="6" w:space="0"/>
                    <w:left w:val="single" w:color="auto" w:sz="6" w:space="0"/>
                    <w:bottom w:val="single" w:color="auto" w:sz="6" w:space="0"/>
                    <w:right w:val="single" w:color="auto" w:sz="6" w:space="0"/>
                  </w:tcBorders>
                  <w:noWrap w:val="0"/>
                  <w:vAlign w:val="center"/>
                </w:tcPr>
                <w:p w14:paraId="6AB7073A">
                  <w:pPr>
                    <w:pStyle w:val="56"/>
                    <w:bidi w:val="0"/>
                    <w:rPr>
                      <w:rFonts w:hint="eastAsia" w:ascii="Times New Roman" w:hAnsi="Times New Roman" w:eastAsia="宋体" w:cs="Times New Roman"/>
                      <w:szCs w:val="21"/>
                      <w:lang w:val="en-US" w:eastAsia="zh-CN"/>
                    </w:rPr>
                  </w:pPr>
                  <w:r>
                    <w:rPr>
                      <w:rFonts w:hint="eastAsia"/>
                      <w:lang w:val="en-US" w:eastAsia="zh-CN"/>
                    </w:rPr>
                    <w:t>产品标准</w:t>
                  </w:r>
                </w:p>
              </w:tc>
            </w:tr>
            <w:tr w14:paraId="0F1912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426" w:type="dxa"/>
                  <w:tcBorders>
                    <w:top w:val="single" w:color="auto" w:sz="6" w:space="0"/>
                    <w:left w:val="single" w:color="auto" w:sz="6" w:space="0"/>
                    <w:bottom w:val="single" w:color="auto" w:sz="6" w:space="0"/>
                    <w:right w:val="single" w:color="auto" w:sz="6" w:space="0"/>
                  </w:tcBorders>
                  <w:noWrap w:val="0"/>
                  <w:vAlign w:val="center"/>
                </w:tcPr>
                <w:p w14:paraId="18B1F8AD">
                  <w:pPr>
                    <w:pStyle w:val="56"/>
                    <w:bidi w:val="0"/>
                    <w:rPr>
                      <w:rFonts w:hint="eastAsia" w:ascii="Times New Roman" w:hAnsi="Times New Roman" w:eastAsia="宋体" w:cs="Times New Roman"/>
                      <w:szCs w:val="21"/>
                      <w:lang w:val="en-US" w:eastAsia="zh-CN"/>
                    </w:rPr>
                  </w:pPr>
                  <w:r>
                    <w:rPr>
                      <w:rFonts w:hint="eastAsia"/>
                      <w:lang w:val="en-US" w:eastAsia="zh-CN"/>
                    </w:rPr>
                    <w:t>1</w:t>
                  </w:r>
                </w:p>
              </w:tc>
              <w:tc>
                <w:tcPr>
                  <w:tcW w:w="1092" w:type="dxa"/>
                  <w:tcBorders>
                    <w:top w:val="single" w:color="auto" w:sz="6" w:space="0"/>
                    <w:left w:val="single" w:color="auto" w:sz="6" w:space="0"/>
                    <w:bottom w:val="single" w:color="auto" w:sz="6" w:space="0"/>
                    <w:right w:val="single" w:color="auto" w:sz="6" w:space="0"/>
                  </w:tcBorders>
                  <w:noWrap w:val="0"/>
                  <w:vAlign w:val="center"/>
                </w:tcPr>
                <w:p w14:paraId="6C99499A">
                  <w:pPr>
                    <w:pStyle w:val="56"/>
                    <w:bidi w:val="0"/>
                    <w:rPr>
                      <w:rFonts w:hint="eastAsia" w:ascii="Times New Roman" w:hAnsi="Times New Roman" w:eastAsia="宋体" w:cs="Times New Roman"/>
                      <w:szCs w:val="21"/>
                      <w:lang w:val="en-US" w:eastAsia="zh-CN"/>
                    </w:rPr>
                  </w:pPr>
                  <w:r>
                    <w:rPr>
                      <w:rFonts w:hint="eastAsia"/>
                      <w:lang w:eastAsia="zh-CN"/>
                    </w:rPr>
                    <w:t>新型光伏发电折叠房屋</w:t>
                  </w:r>
                </w:p>
              </w:tc>
              <w:tc>
                <w:tcPr>
                  <w:tcW w:w="3854" w:type="dxa"/>
                  <w:tcBorders>
                    <w:top w:val="single" w:color="auto" w:sz="6" w:space="0"/>
                    <w:left w:val="single" w:color="auto" w:sz="6" w:space="0"/>
                    <w:bottom w:val="single" w:color="auto" w:sz="6" w:space="0"/>
                    <w:right w:val="single" w:color="auto" w:sz="8" w:space="0"/>
                  </w:tcBorders>
                  <w:noWrap w:val="0"/>
                  <w:vAlign w:val="center"/>
                </w:tcPr>
                <w:p w14:paraId="260523A5">
                  <w:pPr>
                    <w:pStyle w:val="56"/>
                    <w:bidi w:val="0"/>
                    <w:jc w:val="left"/>
                    <w:rPr>
                      <w:rFonts w:hint="default" w:ascii="Times New Roman" w:hAnsi="Times New Roman" w:eastAsia="宋体" w:cs="Times New Roman"/>
                      <w:szCs w:val="21"/>
                      <w:lang w:val="en-US" w:eastAsia="zh-CN"/>
                    </w:rPr>
                  </w:pPr>
                  <w:r>
                    <w:rPr>
                      <w:rFonts w:hint="eastAsia"/>
                      <w:lang w:val="en-US" w:eastAsia="zh-CN"/>
                    </w:rPr>
                    <w:t>重约1.3t/个（材质为钢板及配套零件）</w:t>
                  </w:r>
                </w:p>
              </w:tc>
              <w:tc>
                <w:tcPr>
                  <w:tcW w:w="912" w:type="dxa"/>
                  <w:tcBorders>
                    <w:top w:val="single" w:color="auto" w:sz="6" w:space="0"/>
                    <w:left w:val="single" w:color="auto" w:sz="8" w:space="0"/>
                    <w:bottom w:val="single" w:color="auto" w:sz="6" w:space="0"/>
                    <w:right w:val="single" w:color="auto" w:sz="6" w:space="0"/>
                  </w:tcBorders>
                  <w:noWrap w:val="0"/>
                  <w:vAlign w:val="center"/>
                </w:tcPr>
                <w:p w14:paraId="0A3495AD">
                  <w:pPr>
                    <w:pStyle w:val="56"/>
                    <w:bidi w:val="0"/>
                    <w:rPr>
                      <w:rFonts w:hint="default" w:ascii="Times New Roman" w:hAnsi="Times New Roman" w:eastAsia="宋体" w:cs="Times New Roman"/>
                      <w:szCs w:val="21"/>
                      <w:lang w:val="en-US" w:eastAsia="zh-CN"/>
                    </w:rPr>
                  </w:pPr>
                  <w:r>
                    <w:rPr>
                      <w:rFonts w:hint="eastAsia"/>
                      <w:lang w:val="en-US" w:eastAsia="zh-CN"/>
                    </w:rPr>
                    <w:t>6400个</w:t>
                  </w:r>
                </w:p>
              </w:tc>
              <w:tc>
                <w:tcPr>
                  <w:tcW w:w="756" w:type="dxa"/>
                  <w:tcBorders>
                    <w:top w:val="single" w:color="auto" w:sz="6" w:space="0"/>
                    <w:left w:val="single" w:color="auto" w:sz="6" w:space="0"/>
                    <w:right w:val="single" w:color="auto" w:sz="6" w:space="0"/>
                  </w:tcBorders>
                  <w:noWrap w:val="0"/>
                  <w:vAlign w:val="center"/>
                </w:tcPr>
                <w:p w14:paraId="54E428DD">
                  <w:pPr>
                    <w:pStyle w:val="56"/>
                    <w:bidi w:val="0"/>
                    <w:rPr>
                      <w:rFonts w:hint="default"/>
                      <w:color w:val="FF0000"/>
                      <w:lang w:val="en-US" w:eastAsia="zh-CN"/>
                    </w:rPr>
                  </w:pPr>
                  <w:r>
                    <w:rPr>
                      <w:rFonts w:hint="eastAsia"/>
                      <w:color w:val="FF0000"/>
                      <w:lang w:val="en-US" w:eastAsia="zh-CN"/>
                    </w:rPr>
                    <w:t>8318t</w:t>
                  </w:r>
                </w:p>
              </w:tc>
              <w:tc>
                <w:tcPr>
                  <w:tcW w:w="1294" w:type="dxa"/>
                  <w:tcBorders>
                    <w:top w:val="single" w:color="auto" w:sz="6" w:space="0"/>
                    <w:left w:val="single" w:color="auto" w:sz="6" w:space="0"/>
                    <w:right w:val="single" w:color="auto" w:sz="6" w:space="0"/>
                  </w:tcBorders>
                  <w:noWrap w:val="0"/>
                  <w:vAlign w:val="center"/>
                </w:tcPr>
                <w:p w14:paraId="2109E552">
                  <w:pPr>
                    <w:pStyle w:val="56"/>
                    <w:bidi w:val="0"/>
                    <w:jc w:val="left"/>
                    <w:rPr>
                      <w:rFonts w:hint="default" w:eastAsia="宋体"/>
                      <w:color w:val="FF0000"/>
                      <w:kern w:val="0"/>
                      <w:szCs w:val="21"/>
                      <w:u w:val="none" w:color="000000"/>
                      <w:lang w:val="en-US" w:eastAsia="zh-CN"/>
                    </w:rPr>
                  </w:pPr>
                  <w:r>
                    <w:rPr>
                      <w:rFonts w:hint="eastAsia"/>
                      <w:color w:val="FF0000"/>
                      <w:kern w:val="0"/>
                      <w:szCs w:val="21"/>
                      <w:u w:val="none" w:color="000000"/>
                      <w:lang w:val="en-US" w:eastAsia="zh-CN"/>
                    </w:rPr>
                    <w:t>非标，根据企业内部需求定制</w:t>
                  </w:r>
                </w:p>
              </w:tc>
            </w:tr>
            <w:tr w14:paraId="155897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1" w:hRule="atLeast"/>
                <w:jc w:val="center"/>
              </w:trPr>
              <w:tc>
                <w:tcPr>
                  <w:tcW w:w="426" w:type="dxa"/>
                  <w:tcBorders>
                    <w:top w:val="single" w:color="auto" w:sz="6" w:space="0"/>
                    <w:left w:val="single" w:color="auto" w:sz="6" w:space="0"/>
                    <w:bottom w:val="single" w:color="auto" w:sz="6" w:space="0"/>
                    <w:right w:val="single" w:color="auto" w:sz="6" w:space="0"/>
                  </w:tcBorders>
                  <w:shd w:val="clear" w:color="auto" w:fill="auto"/>
                  <w:noWrap w:val="0"/>
                  <w:vAlign w:val="center"/>
                </w:tcPr>
                <w:p w14:paraId="1B896A48">
                  <w:pPr>
                    <w:pStyle w:val="56"/>
                    <w:bidi w:val="0"/>
                    <w:ind w:firstLine="0" w:firstLineChars="0"/>
                    <w:rPr>
                      <w:rFonts w:hint="eastAsia" w:ascii="Times New Roman" w:hAnsi="Times New Roman" w:eastAsia="宋体" w:cs="Times New Roman"/>
                      <w:b w:val="0"/>
                      <w:bCs/>
                      <w:color w:val="auto"/>
                      <w:kern w:val="0"/>
                      <w:sz w:val="21"/>
                      <w:szCs w:val="21"/>
                      <w:lang w:val="en-US" w:eastAsia="zh-CN" w:bidi="ar-SA"/>
                    </w:rPr>
                  </w:pPr>
                  <w:r>
                    <w:rPr>
                      <w:rFonts w:hint="eastAsia"/>
                      <w:lang w:val="en-US" w:eastAsia="zh-CN"/>
                    </w:rPr>
                    <w:t>2</w:t>
                  </w:r>
                </w:p>
              </w:tc>
              <w:tc>
                <w:tcPr>
                  <w:tcW w:w="1092" w:type="dxa"/>
                  <w:tcBorders>
                    <w:top w:val="single" w:color="auto" w:sz="6" w:space="0"/>
                    <w:left w:val="single" w:color="auto" w:sz="6" w:space="0"/>
                    <w:bottom w:val="single" w:color="auto" w:sz="6" w:space="0"/>
                    <w:right w:val="single" w:color="auto" w:sz="6" w:space="0"/>
                  </w:tcBorders>
                  <w:shd w:val="clear" w:color="auto" w:fill="auto"/>
                  <w:noWrap w:val="0"/>
                  <w:vAlign w:val="center"/>
                </w:tcPr>
                <w:p w14:paraId="1C1B038B">
                  <w:pPr>
                    <w:pStyle w:val="56"/>
                    <w:bidi w:val="0"/>
                    <w:ind w:firstLine="0" w:firstLineChars="0"/>
                    <w:jc w:val="left"/>
                    <w:rPr>
                      <w:rFonts w:hint="eastAsia" w:ascii="Times New Roman" w:hAnsi="Times New Roman" w:eastAsia="宋体" w:cs="Times New Roman"/>
                      <w:b w:val="0"/>
                      <w:bCs/>
                      <w:color w:val="auto"/>
                      <w:kern w:val="0"/>
                      <w:sz w:val="21"/>
                      <w:szCs w:val="21"/>
                      <w:lang w:val="en-US" w:eastAsia="zh-CN" w:bidi="ar-SA"/>
                    </w:rPr>
                  </w:pPr>
                  <w:r>
                    <w:rPr>
                      <w:rFonts w:hint="eastAsia"/>
                      <w:lang w:val="en-US" w:eastAsia="zh-CN"/>
                    </w:rPr>
                    <w:t>混凝土保温模板</w:t>
                  </w:r>
                </w:p>
              </w:tc>
              <w:tc>
                <w:tcPr>
                  <w:tcW w:w="3854" w:type="dxa"/>
                  <w:tcBorders>
                    <w:top w:val="single" w:color="auto" w:sz="6" w:space="0"/>
                    <w:left w:val="single" w:color="auto" w:sz="6" w:space="0"/>
                    <w:bottom w:val="single" w:color="auto" w:sz="6" w:space="0"/>
                    <w:right w:val="single" w:color="auto" w:sz="8" w:space="0"/>
                  </w:tcBorders>
                  <w:shd w:val="clear" w:color="auto" w:fill="auto"/>
                  <w:noWrap w:val="0"/>
                  <w:vAlign w:val="center"/>
                </w:tcPr>
                <w:p w14:paraId="4F272CFC">
                  <w:pPr>
                    <w:pStyle w:val="56"/>
                    <w:bidi w:val="0"/>
                    <w:ind w:firstLine="0" w:firstLineChars="0"/>
                    <w:jc w:val="left"/>
                    <w:rPr>
                      <w:rFonts w:hint="default" w:ascii="Times New Roman" w:hAnsi="Times New Roman" w:eastAsia="宋体" w:cs="Times New Roman"/>
                      <w:b w:val="0"/>
                      <w:bCs/>
                      <w:color w:val="auto"/>
                      <w:kern w:val="0"/>
                      <w:sz w:val="21"/>
                      <w:szCs w:val="21"/>
                      <w:lang w:val="en-US" w:eastAsia="zh-CN" w:bidi="ar-SA"/>
                    </w:rPr>
                  </w:pPr>
                  <w:r>
                    <w:rPr>
                      <w:rFonts w:hint="eastAsia"/>
                      <w:lang w:val="en-US" w:eastAsia="zh-CN"/>
                    </w:rPr>
                    <w:t>25kg/块，（材质为混凝土+木质纤维），</w:t>
                  </w:r>
                  <w:r>
                    <w:rPr>
                      <w:rFonts w:hint="eastAsia"/>
                      <w:color w:val="FF0000"/>
                      <w:lang w:val="en-US" w:eastAsia="zh-CN"/>
                    </w:rPr>
                    <w:t>用于光伏发电装配式幕墙</w:t>
                  </w:r>
                </w:p>
              </w:tc>
              <w:tc>
                <w:tcPr>
                  <w:tcW w:w="912" w:type="dxa"/>
                  <w:tcBorders>
                    <w:top w:val="single" w:color="auto" w:sz="6" w:space="0"/>
                    <w:left w:val="single" w:color="auto" w:sz="8" w:space="0"/>
                    <w:bottom w:val="single" w:color="auto" w:sz="6" w:space="0"/>
                    <w:right w:val="single" w:color="auto" w:sz="6" w:space="0"/>
                  </w:tcBorders>
                  <w:shd w:val="clear" w:color="auto" w:fill="auto"/>
                  <w:noWrap w:val="0"/>
                  <w:vAlign w:val="center"/>
                </w:tcPr>
                <w:p w14:paraId="35BEDDAD">
                  <w:pPr>
                    <w:pStyle w:val="56"/>
                    <w:bidi w:val="0"/>
                    <w:ind w:firstLine="0" w:firstLineChars="0"/>
                    <w:rPr>
                      <w:rFonts w:hint="eastAsia" w:ascii="Times New Roman" w:hAnsi="Times New Roman" w:eastAsia="宋体" w:cs="Times New Roman"/>
                      <w:b w:val="0"/>
                      <w:bCs/>
                      <w:color w:val="auto"/>
                      <w:kern w:val="0"/>
                      <w:sz w:val="21"/>
                      <w:szCs w:val="21"/>
                      <w:lang w:val="en-US" w:eastAsia="zh-CN" w:bidi="ar-SA"/>
                    </w:rPr>
                  </w:pPr>
                  <w:r>
                    <w:rPr>
                      <w:rFonts w:hint="eastAsia"/>
                      <w:lang w:val="en-US" w:eastAsia="zh-CN"/>
                    </w:rPr>
                    <w:t>33000块</w:t>
                  </w:r>
                </w:p>
              </w:tc>
              <w:tc>
                <w:tcPr>
                  <w:tcW w:w="756" w:type="dxa"/>
                  <w:tcBorders>
                    <w:left w:val="single" w:color="auto" w:sz="6" w:space="0"/>
                    <w:right w:val="single" w:color="auto" w:sz="6" w:space="0"/>
                  </w:tcBorders>
                  <w:shd w:val="clear" w:color="auto" w:fill="auto"/>
                  <w:noWrap w:val="0"/>
                  <w:vAlign w:val="center"/>
                </w:tcPr>
                <w:p w14:paraId="7E3F1910">
                  <w:pPr>
                    <w:pStyle w:val="56"/>
                    <w:bidi w:val="0"/>
                    <w:ind w:firstLine="0" w:firstLineChars="0"/>
                    <w:rPr>
                      <w:rFonts w:hint="eastAsia" w:ascii="Times New Roman" w:hAnsi="Times New Roman" w:eastAsia="宋体" w:cs="Times New Roman"/>
                      <w:b w:val="0"/>
                      <w:bCs/>
                      <w:color w:val="FF0000"/>
                      <w:kern w:val="0"/>
                      <w:sz w:val="21"/>
                      <w:szCs w:val="24"/>
                      <w:lang w:val="en-US" w:eastAsia="zh-CN" w:bidi="ar-SA"/>
                    </w:rPr>
                  </w:pPr>
                  <w:r>
                    <w:rPr>
                      <w:rFonts w:hint="eastAsia"/>
                      <w:color w:val="FF0000"/>
                      <w:lang w:val="en-US" w:eastAsia="zh-CN"/>
                    </w:rPr>
                    <w:t>825t</w:t>
                  </w:r>
                </w:p>
              </w:tc>
              <w:tc>
                <w:tcPr>
                  <w:tcW w:w="1294" w:type="dxa"/>
                  <w:tcBorders>
                    <w:left w:val="single" w:color="auto" w:sz="6" w:space="0"/>
                    <w:right w:val="single" w:color="auto" w:sz="6" w:space="0"/>
                  </w:tcBorders>
                  <w:noWrap w:val="0"/>
                  <w:vAlign w:val="center"/>
                </w:tcPr>
                <w:p w14:paraId="1FC13859">
                  <w:pPr>
                    <w:pStyle w:val="56"/>
                    <w:bidi w:val="0"/>
                    <w:spacing w:line="240" w:lineRule="auto"/>
                    <w:rPr>
                      <w:rFonts w:hint="eastAsia"/>
                      <w:color w:val="FF0000"/>
                      <w:lang w:val="en-US" w:eastAsia="zh-CN"/>
                    </w:rPr>
                  </w:pPr>
                  <w:r>
                    <w:rPr>
                      <w:rFonts w:hint="eastAsia"/>
                      <w:color w:val="FF0000"/>
                      <w:lang w:val="en-US" w:eastAsia="zh-CN"/>
                    </w:rPr>
                    <w:t>《装配式混凝土幕墙板技术条件》（GB/T40715-2021）</w:t>
                  </w:r>
                </w:p>
              </w:tc>
            </w:tr>
            <w:tr w14:paraId="1689D1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1" w:hRule="atLeast"/>
                <w:jc w:val="center"/>
              </w:trPr>
              <w:tc>
                <w:tcPr>
                  <w:tcW w:w="426" w:type="dxa"/>
                  <w:tcBorders>
                    <w:top w:val="single" w:color="auto" w:sz="6" w:space="0"/>
                    <w:left w:val="single" w:color="auto" w:sz="6" w:space="0"/>
                    <w:bottom w:val="single" w:color="auto" w:sz="6" w:space="0"/>
                    <w:right w:val="single" w:color="auto" w:sz="6" w:space="0"/>
                  </w:tcBorders>
                  <w:noWrap w:val="0"/>
                  <w:vAlign w:val="center"/>
                </w:tcPr>
                <w:p w14:paraId="3B1566F3">
                  <w:pPr>
                    <w:pStyle w:val="56"/>
                    <w:bidi w:val="0"/>
                    <w:rPr>
                      <w:rFonts w:hint="eastAsia" w:ascii="Times New Roman" w:hAnsi="Times New Roman" w:eastAsia="宋体" w:cs="Times New Roman"/>
                      <w:szCs w:val="21"/>
                      <w:lang w:val="en-US" w:eastAsia="zh-CN"/>
                    </w:rPr>
                  </w:pPr>
                  <w:r>
                    <w:rPr>
                      <w:rFonts w:hint="eastAsia"/>
                      <w:lang w:val="en-US" w:eastAsia="zh-CN"/>
                    </w:rPr>
                    <w:t>3</w:t>
                  </w:r>
                </w:p>
              </w:tc>
              <w:tc>
                <w:tcPr>
                  <w:tcW w:w="1092" w:type="dxa"/>
                  <w:tcBorders>
                    <w:top w:val="single" w:color="auto" w:sz="6" w:space="0"/>
                    <w:left w:val="single" w:color="auto" w:sz="6" w:space="0"/>
                    <w:bottom w:val="single" w:color="auto" w:sz="6" w:space="0"/>
                    <w:right w:val="single" w:color="auto" w:sz="6" w:space="0"/>
                  </w:tcBorders>
                  <w:noWrap w:val="0"/>
                  <w:vAlign w:val="center"/>
                </w:tcPr>
                <w:p w14:paraId="6A1D584C">
                  <w:pPr>
                    <w:pStyle w:val="56"/>
                    <w:bidi w:val="0"/>
                    <w:jc w:val="left"/>
                    <w:rPr>
                      <w:rFonts w:hint="eastAsia" w:ascii="Times New Roman" w:hAnsi="Times New Roman" w:eastAsia="宋体" w:cs="Times New Roman"/>
                      <w:szCs w:val="21"/>
                      <w:lang w:val="en-US" w:eastAsia="zh-CN"/>
                    </w:rPr>
                  </w:pPr>
                  <w:r>
                    <w:rPr>
                      <w:rFonts w:hint="eastAsia"/>
                      <w:lang w:eastAsia="zh-CN"/>
                    </w:rPr>
                    <w:t>光伏预制装配式围墙</w:t>
                  </w:r>
                </w:p>
              </w:tc>
              <w:tc>
                <w:tcPr>
                  <w:tcW w:w="3854" w:type="dxa"/>
                  <w:tcBorders>
                    <w:top w:val="single" w:color="auto" w:sz="6" w:space="0"/>
                    <w:left w:val="single" w:color="auto" w:sz="6" w:space="0"/>
                    <w:bottom w:val="single" w:color="auto" w:sz="6" w:space="0"/>
                    <w:right w:val="single" w:color="auto" w:sz="8" w:space="0"/>
                  </w:tcBorders>
                  <w:noWrap w:val="0"/>
                  <w:vAlign w:val="center"/>
                </w:tcPr>
                <w:p w14:paraId="44E91347">
                  <w:pPr>
                    <w:pStyle w:val="56"/>
                    <w:bidi w:val="0"/>
                    <w:jc w:val="left"/>
                    <w:rPr>
                      <w:rFonts w:hint="default" w:cs="Times New Roman"/>
                      <w:szCs w:val="21"/>
                      <w:lang w:val="en-US" w:eastAsia="zh-CN"/>
                    </w:rPr>
                  </w:pPr>
                  <w:r>
                    <w:rPr>
                      <w:rFonts w:hint="eastAsia"/>
                      <w:lang w:val="en-US" w:eastAsia="zh-CN"/>
                    </w:rPr>
                    <w:t>长1m*宽1m*厚度0.1m，重量约0.24t/块（材质为钢筋+混凝土），用</w:t>
                  </w:r>
                  <w:r>
                    <w:rPr>
                      <w:rFonts w:hint="eastAsia"/>
                      <w:color w:val="FF0000"/>
                      <w:lang w:val="en-US" w:eastAsia="zh-CN"/>
                    </w:rPr>
                    <w:t>于光伏发电围墙</w:t>
                  </w:r>
                </w:p>
              </w:tc>
              <w:tc>
                <w:tcPr>
                  <w:tcW w:w="912" w:type="dxa"/>
                  <w:tcBorders>
                    <w:top w:val="single" w:color="auto" w:sz="6" w:space="0"/>
                    <w:left w:val="single" w:color="auto" w:sz="8" w:space="0"/>
                    <w:bottom w:val="single" w:color="auto" w:sz="6" w:space="0"/>
                    <w:right w:val="single" w:color="auto" w:sz="6" w:space="0"/>
                  </w:tcBorders>
                  <w:noWrap w:val="0"/>
                  <w:vAlign w:val="center"/>
                </w:tcPr>
                <w:p w14:paraId="6C04326B">
                  <w:pPr>
                    <w:pStyle w:val="56"/>
                    <w:bidi w:val="0"/>
                    <w:rPr>
                      <w:rFonts w:hint="default" w:cs="Times New Roman"/>
                      <w:szCs w:val="21"/>
                      <w:lang w:val="en-US" w:eastAsia="zh-CN"/>
                    </w:rPr>
                  </w:pPr>
                  <w:r>
                    <w:rPr>
                      <w:rFonts w:hint="eastAsia"/>
                      <w:lang w:val="en-US" w:eastAsia="zh-CN"/>
                    </w:rPr>
                    <w:t>41300块</w:t>
                  </w:r>
                </w:p>
              </w:tc>
              <w:tc>
                <w:tcPr>
                  <w:tcW w:w="756" w:type="dxa"/>
                  <w:tcBorders>
                    <w:left w:val="single" w:color="auto" w:sz="6" w:space="0"/>
                    <w:right w:val="single" w:color="auto" w:sz="6" w:space="0"/>
                  </w:tcBorders>
                  <w:noWrap w:val="0"/>
                  <w:vAlign w:val="center"/>
                </w:tcPr>
                <w:p w14:paraId="034A5825">
                  <w:pPr>
                    <w:pStyle w:val="56"/>
                    <w:bidi w:val="0"/>
                    <w:rPr>
                      <w:rFonts w:hint="default"/>
                      <w:color w:val="FF0000"/>
                      <w:lang w:val="en-US" w:eastAsia="zh-CN"/>
                    </w:rPr>
                  </w:pPr>
                  <w:r>
                    <w:rPr>
                      <w:rFonts w:hint="eastAsia"/>
                      <w:color w:val="FF0000"/>
                      <w:lang w:val="en-US" w:eastAsia="zh-CN"/>
                    </w:rPr>
                    <w:t>9912t</w:t>
                  </w:r>
                </w:p>
              </w:tc>
              <w:tc>
                <w:tcPr>
                  <w:tcW w:w="1294" w:type="dxa"/>
                  <w:vMerge w:val="restart"/>
                  <w:tcBorders>
                    <w:left w:val="single" w:color="auto" w:sz="6" w:space="0"/>
                    <w:right w:val="single" w:color="auto" w:sz="6" w:space="0"/>
                  </w:tcBorders>
                  <w:noWrap w:val="0"/>
                  <w:vAlign w:val="center"/>
                </w:tcPr>
                <w:p w14:paraId="47028D03">
                  <w:pPr>
                    <w:pStyle w:val="56"/>
                    <w:bidi w:val="0"/>
                    <w:jc w:val="left"/>
                    <w:rPr>
                      <w:rFonts w:hint="eastAsia"/>
                      <w:color w:val="FF0000"/>
                      <w:lang w:val="en-US" w:eastAsia="zh-CN"/>
                    </w:rPr>
                  </w:pPr>
                  <w:r>
                    <w:rPr>
                      <w:rFonts w:hint="eastAsia"/>
                      <w:color w:val="FF0000"/>
                      <w:lang w:val="en-US" w:eastAsia="zh-CN"/>
                    </w:rPr>
                    <w:t>《装配式混凝土建筑用预制部品通用技术条件》（GB/T 40399-2021）</w:t>
                  </w:r>
                </w:p>
                <w:p w14:paraId="60264165">
                  <w:pPr>
                    <w:pStyle w:val="56"/>
                    <w:bidi w:val="0"/>
                    <w:spacing w:line="240" w:lineRule="auto"/>
                    <w:rPr>
                      <w:rFonts w:hint="eastAsia"/>
                      <w:color w:val="FF0000"/>
                      <w:kern w:val="0"/>
                      <w:sz w:val="21"/>
                      <w:szCs w:val="21"/>
                      <w:u w:val="none" w:color="000000"/>
                    </w:rPr>
                  </w:pPr>
                </w:p>
              </w:tc>
            </w:tr>
            <w:tr w14:paraId="1A3C15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426" w:type="dxa"/>
                  <w:tcBorders>
                    <w:top w:val="single" w:color="auto" w:sz="6" w:space="0"/>
                    <w:left w:val="single" w:color="auto" w:sz="6" w:space="0"/>
                    <w:bottom w:val="single" w:color="auto" w:sz="6" w:space="0"/>
                    <w:right w:val="single" w:color="auto" w:sz="6" w:space="0"/>
                  </w:tcBorders>
                  <w:noWrap w:val="0"/>
                  <w:vAlign w:val="center"/>
                </w:tcPr>
                <w:p w14:paraId="4073460F">
                  <w:pPr>
                    <w:pStyle w:val="56"/>
                    <w:bidi w:val="0"/>
                    <w:rPr>
                      <w:rFonts w:hint="default" w:ascii="Times New Roman" w:hAnsi="Times New Roman" w:eastAsia="宋体" w:cs="Times New Roman"/>
                      <w:szCs w:val="21"/>
                      <w:lang w:val="en-US" w:eastAsia="zh-CN"/>
                    </w:rPr>
                  </w:pPr>
                  <w:r>
                    <w:rPr>
                      <w:rFonts w:hint="eastAsia"/>
                      <w:lang w:val="en-US" w:eastAsia="zh-CN"/>
                    </w:rPr>
                    <w:t>4</w:t>
                  </w:r>
                </w:p>
              </w:tc>
              <w:tc>
                <w:tcPr>
                  <w:tcW w:w="1092" w:type="dxa"/>
                  <w:tcBorders>
                    <w:top w:val="single" w:color="auto" w:sz="6" w:space="0"/>
                    <w:left w:val="single" w:color="auto" w:sz="6" w:space="0"/>
                    <w:bottom w:val="single" w:color="auto" w:sz="6" w:space="0"/>
                    <w:right w:val="single" w:color="auto" w:sz="6" w:space="0"/>
                  </w:tcBorders>
                  <w:noWrap w:val="0"/>
                  <w:vAlign w:val="center"/>
                </w:tcPr>
                <w:p w14:paraId="60531C79">
                  <w:pPr>
                    <w:pStyle w:val="56"/>
                    <w:bidi w:val="0"/>
                    <w:jc w:val="left"/>
                    <w:rPr>
                      <w:rFonts w:hint="eastAsia"/>
                      <w:szCs w:val="21"/>
                      <w:lang w:val="en-US" w:eastAsia="zh-CN"/>
                    </w:rPr>
                  </w:pPr>
                  <w:r>
                    <w:rPr>
                      <w:rFonts w:hint="eastAsia"/>
                      <w:lang w:val="en-US" w:eastAsia="zh-CN"/>
                    </w:rPr>
                    <w:t>预制箱变基础</w:t>
                  </w:r>
                </w:p>
              </w:tc>
              <w:tc>
                <w:tcPr>
                  <w:tcW w:w="3854" w:type="dxa"/>
                  <w:tcBorders>
                    <w:top w:val="single" w:color="auto" w:sz="6" w:space="0"/>
                    <w:left w:val="single" w:color="auto" w:sz="6" w:space="0"/>
                    <w:bottom w:val="single" w:color="auto" w:sz="6" w:space="0"/>
                    <w:right w:val="single" w:color="auto" w:sz="8" w:space="0"/>
                  </w:tcBorders>
                  <w:noWrap w:val="0"/>
                  <w:vAlign w:val="center"/>
                </w:tcPr>
                <w:p w14:paraId="22895ECC">
                  <w:pPr>
                    <w:pStyle w:val="56"/>
                    <w:bidi w:val="0"/>
                    <w:jc w:val="left"/>
                    <w:rPr>
                      <w:rFonts w:hint="default" w:ascii="Times New Roman" w:hAnsi="Times New Roman" w:eastAsia="宋体" w:cs="Times New Roman"/>
                      <w:szCs w:val="21"/>
                      <w:lang w:val="en-US" w:eastAsia="zh-CN"/>
                    </w:rPr>
                  </w:pPr>
                  <w:r>
                    <w:rPr>
                      <w:rFonts w:hint="eastAsia"/>
                      <w:lang w:val="en-US" w:eastAsia="zh-CN"/>
                    </w:rPr>
                    <w:t>3.6m*2.2m*2.24m（空心），侧壁厚度80mm，底板厚度90mm，单个基础重量约2t。（材质为混凝土+钢筋）用</w:t>
                  </w:r>
                  <w:r>
                    <w:rPr>
                      <w:rFonts w:hint="eastAsia"/>
                      <w:color w:val="FF0000"/>
                      <w:lang w:val="en-US" w:eastAsia="zh-CN"/>
                    </w:rPr>
                    <w:t>于光伏发电箱式变电站</w:t>
                  </w:r>
                </w:p>
              </w:tc>
              <w:tc>
                <w:tcPr>
                  <w:tcW w:w="912" w:type="dxa"/>
                  <w:tcBorders>
                    <w:top w:val="single" w:color="auto" w:sz="6" w:space="0"/>
                    <w:left w:val="single" w:color="auto" w:sz="8" w:space="0"/>
                    <w:bottom w:val="single" w:color="auto" w:sz="6" w:space="0"/>
                    <w:right w:val="single" w:color="auto" w:sz="6" w:space="0"/>
                  </w:tcBorders>
                  <w:noWrap w:val="0"/>
                  <w:vAlign w:val="center"/>
                </w:tcPr>
                <w:p w14:paraId="3A60DFFA">
                  <w:pPr>
                    <w:pStyle w:val="56"/>
                    <w:bidi w:val="0"/>
                    <w:rPr>
                      <w:rFonts w:hint="default" w:ascii="Times New Roman" w:hAnsi="Times New Roman" w:eastAsia="宋体" w:cs="Times New Roman"/>
                      <w:szCs w:val="21"/>
                      <w:lang w:val="en-US" w:eastAsia="zh-CN"/>
                    </w:rPr>
                  </w:pPr>
                  <w:r>
                    <w:rPr>
                      <w:rFonts w:hint="eastAsia"/>
                      <w:lang w:val="en-US" w:eastAsia="zh-CN"/>
                    </w:rPr>
                    <w:t>825套</w:t>
                  </w:r>
                </w:p>
              </w:tc>
              <w:tc>
                <w:tcPr>
                  <w:tcW w:w="756" w:type="dxa"/>
                  <w:tcBorders>
                    <w:left w:val="single" w:color="auto" w:sz="6" w:space="0"/>
                    <w:right w:val="single" w:color="auto" w:sz="6" w:space="0"/>
                  </w:tcBorders>
                  <w:noWrap w:val="0"/>
                  <w:vAlign w:val="center"/>
                </w:tcPr>
                <w:p w14:paraId="5CC1F33A">
                  <w:pPr>
                    <w:pStyle w:val="56"/>
                    <w:bidi w:val="0"/>
                    <w:rPr>
                      <w:rFonts w:hint="default"/>
                      <w:color w:val="FF0000"/>
                      <w:lang w:val="en-US" w:eastAsia="zh-CN"/>
                    </w:rPr>
                  </w:pPr>
                  <w:r>
                    <w:rPr>
                      <w:rFonts w:hint="eastAsia"/>
                      <w:color w:val="FF0000"/>
                      <w:lang w:val="en-US" w:eastAsia="zh-CN"/>
                    </w:rPr>
                    <w:t>1650t</w:t>
                  </w:r>
                </w:p>
              </w:tc>
              <w:tc>
                <w:tcPr>
                  <w:tcW w:w="1294" w:type="dxa"/>
                  <w:vMerge w:val="continue"/>
                  <w:tcBorders>
                    <w:left w:val="single" w:color="auto" w:sz="6" w:space="0"/>
                    <w:right w:val="single" w:color="auto" w:sz="6" w:space="0"/>
                  </w:tcBorders>
                  <w:noWrap w:val="0"/>
                  <w:vAlign w:val="center"/>
                </w:tcPr>
                <w:p w14:paraId="20E68137">
                  <w:pPr>
                    <w:pStyle w:val="56"/>
                    <w:bidi w:val="0"/>
                    <w:spacing w:line="240" w:lineRule="auto"/>
                    <w:rPr>
                      <w:rFonts w:hint="eastAsia"/>
                      <w:kern w:val="0"/>
                      <w:sz w:val="21"/>
                      <w:szCs w:val="21"/>
                      <w:u w:val="none" w:color="000000"/>
                    </w:rPr>
                  </w:pPr>
                </w:p>
              </w:tc>
            </w:tr>
            <w:tr w14:paraId="698E32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59" w:hRule="atLeast"/>
                <w:jc w:val="center"/>
              </w:trPr>
              <w:tc>
                <w:tcPr>
                  <w:tcW w:w="426" w:type="dxa"/>
                  <w:tcBorders>
                    <w:top w:val="single" w:color="auto" w:sz="6" w:space="0"/>
                    <w:left w:val="single" w:color="auto" w:sz="6" w:space="0"/>
                    <w:bottom w:val="single" w:color="auto" w:sz="6" w:space="0"/>
                    <w:right w:val="single" w:color="auto" w:sz="6" w:space="0"/>
                  </w:tcBorders>
                  <w:noWrap w:val="0"/>
                  <w:vAlign w:val="center"/>
                </w:tcPr>
                <w:p w14:paraId="7B34DF99">
                  <w:pPr>
                    <w:pStyle w:val="56"/>
                    <w:bidi w:val="0"/>
                    <w:rPr>
                      <w:rFonts w:hint="default" w:ascii="Times New Roman" w:hAnsi="Times New Roman" w:eastAsia="宋体" w:cs="Times New Roman"/>
                      <w:szCs w:val="21"/>
                      <w:lang w:val="en-US" w:eastAsia="zh-CN"/>
                    </w:rPr>
                  </w:pPr>
                  <w:r>
                    <w:rPr>
                      <w:rFonts w:hint="eastAsia"/>
                      <w:lang w:val="en-US" w:eastAsia="zh-CN"/>
                    </w:rPr>
                    <w:t>5</w:t>
                  </w:r>
                </w:p>
              </w:tc>
              <w:tc>
                <w:tcPr>
                  <w:tcW w:w="1092" w:type="dxa"/>
                  <w:tcBorders>
                    <w:top w:val="single" w:color="auto" w:sz="6" w:space="0"/>
                    <w:left w:val="single" w:color="auto" w:sz="6" w:space="0"/>
                    <w:bottom w:val="single" w:color="auto" w:sz="6" w:space="0"/>
                    <w:right w:val="single" w:color="auto" w:sz="6" w:space="0"/>
                  </w:tcBorders>
                  <w:noWrap w:val="0"/>
                  <w:vAlign w:val="center"/>
                </w:tcPr>
                <w:p w14:paraId="6808E6A9">
                  <w:pPr>
                    <w:pStyle w:val="56"/>
                    <w:bidi w:val="0"/>
                    <w:jc w:val="left"/>
                    <w:rPr>
                      <w:rFonts w:hint="eastAsia"/>
                      <w:szCs w:val="21"/>
                      <w:lang w:val="en-US" w:eastAsia="zh-CN"/>
                    </w:rPr>
                  </w:pPr>
                  <w:r>
                    <w:rPr>
                      <w:rFonts w:hint="eastAsia"/>
                      <w:lang w:val="en-US" w:eastAsia="zh-CN"/>
                    </w:rPr>
                    <w:t>预制环网柜基础</w:t>
                  </w:r>
                </w:p>
              </w:tc>
              <w:tc>
                <w:tcPr>
                  <w:tcW w:w="3854" w:type="dxa"/>
                  <w:tcBorders>
                    <w:top w:val="single" w:color="auto" w:sz="6" w:space="0"/>
                    <w:left w:val="single" w:color="auto" w:sz="6" w:space="0"/>
                    <w:bottom w:val="single" w:color="auto" w:sz="6" w:space="0"/>
                    <w:right w:val="single" w:color="auto" w:sz="8" w:space="0"/>
                  </w:tcBorders>
                  <w:noWrap w:val="0"/>
                  <w:vAlign w:val="center"/>
                </w:tcPr>
                <w:p w14:paraId="47940EB3">
                  <w:pPr>
                    <w:pStyle w:val="56"/>
                    <w:bidi w:val="0"/>
                    <w:jc w:val="left"/>
                    <w:rPr>
                      <w:rFonts w:hint="default" w:ascii="Times New Roman" w:hAnsi="Times New Roman" w:eastAsia="宋体" w:cs="Times New Roman"/>
                      <w:szCs w:val="21"/>
                      <w:lang w:val="en-US" w:eastAsia="zh-CN"/>
                    </w:rPr>
                  </w:pPr>
                  <w:r>
                    <w:rPr>
                      <w:rFonts w:hint="eastAsia"/>
                      <w:lang w:val="en-US" w:eastAsia="zh-CN"/>
                    </w:rPr>
                    <w:t>长1.2m，宽0.8m，高0.5m（空心），单个集中重量约0.1t。（材质为混凝土+钢筋），用于光伏发电环网柜</w:t>
                  </w:r>
                </w:p>
              </w:tc>
              <w:tc>
                <w:tcPr>
                  <w:tcW w:w="912" w:type="dxa"/>
                  <w:tcBorders>
                    <w:top w:val="single" w:color="auto" w:sz="6" w:space="0"/>
                    <w:left w:val="single" w:color="auto" w:sz="8" w:space="0"/>
                    <w:bottom w:val="single" w:color="auto" w:sz="6" w:space="0"/>
                    <w:right w:val="single" w:color="auto" w:sz="6" w:space="0"/>
                  </w:tcBorders>
                  <w:noWrap w:val="0"/>
                  <w:vAlign w:val="center"/>
                </w:tcPr>
                <w:p w14:paraId="7FC814F7">
                  <w:pPr>
                    <w:pStyle w:val="56"/>
                    <w:bidi w:val="0"/>
                    <w:rPr>
                      <w:rFonts w:hint="default" w:ascii="Times New Roman" w:hAnsi="Times New Roman" w:eastAsia="宋体" w:cs="Times New Roman"/>
                      <w:szCs w:val="21"/>
                      <w:lang w:val="en-US" w:eastAsia="zh-CN"/>
                    </w:rPr>
                  </w:pPr>
                  <w:r>
                    <w:rPr>
                      <w:rFonts w:hint="eastAsia"/>
                      <w:lang w:val="en-US" w:eastAsia="zh-CN"/>
                    </w:rPr>
                    <w:t>620套</w:t>
                  </w:r>
                </w:p>
              </w:tc>
              <w:tc>
                <w:tcPr>
                  <w:tcW w:w="756" w:type="dxa"/>
                  <w:tcBorders>
                    <w:left w:val="single" w:color="auto" w:sz="6" w:space="0"/>
                    <w:right w:val="single" w:color="auto" w:sz="6" w:space="0"/>
                  </w:tcBorders>
                  <w:noWrap w:val="0"/>
                  <w:vAlign w:val="center"/>
                </w:tcPr>
                <w:p w14:paraId="33CA3E68">
                  <w:pPr>
                    <w:pStyle w:val="56"/>
                    <w:bidi w:val="0"/>
                    <w:rPr>
                      <w:rFonts w:hint="default"/>
                      <w:color w:val="FF0000"/>
                      <w:lang w:val="en-US" w:eastAsia="zh-CN"/>
                    </w:rPr>
                  </w:pPr>
                  <w:r>
                    <w:rPr>
                      <w:rFonts w:hint="eastAsia"/>
                      <w:color w:val="FF0000"/>
                      <w:lang w:val="en-US" w:eastAsia="zh-CN"/>
                    </w:rPr>
                    <w:t>62t</w:t>
                  </w:r>
                </w:p>
              </w:tc>
              <w:tc>
                <w:tcPr>
                  <w:tcW w:w="1294" w:type="dxa"/>
                  <w:vMerge w:val="continue"/>
                  <w:tcBorders>
                    <w:left w:val="single" w:color="auto" w:sz="6" w:space="0"/>
                    <w:right w:val="single" w:color="auto" w:sz="6" w:space="0"/>
                  </w:tcBorders>
                  <w:noWrap w:val="0"/>
                  <w:vAlign w:val="center"/>
                </w:tcPr>
                <w:p w14:paraId="29E1F6E0">
                  <w:pPr>
                    <w:widowControl/>
                    <w:adjustRightInd w:val="0"/>
                    <w:snapToGrid w:val="0"/>
                    <w:spacing w:line="240" w:lineRule="auto"/>
                    <w:jc w:val="center"/>
                    <w:textAlignment w:val="baseline"/>
                    <w:rPr>
                      <w:rFonts w:hint="eastAsia"/>
                      <w:kern w:val="0"/>
                      <w:sz w:val="21"/>
                      <w:szCs w:val="21"/>
                      <w:u w:val="none" w:color="000000"/>
                    </w:rPr>
                  </w:pPr>
                </w:p>
              </w:tc>
            </w:tr>
            <w:tr w14:paraId="3B93D2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426" w:type="dxa"/>
                  <w:tcBorders>
                    <w:top w:val="single" w:color="auto" w:sz="6" w:space="0"/>
                    <w:left w:val="single" w:color="auto" w:sz="6" w:space="0"/>
                    <w:bottom w:val="single" w:color="auto" w:sz="6" w:space="0"/>
                    <w:right w:val="single" w:color="auto" w:sz="6" w:space="0"/>
                  </w:tcBorders>
                  <w:noWrap w:val="0"/>
                  <w:vAlign w:val="center"/>
                </w:tcPr>
                <w:p w14:paraId="773CC667">
                  <w:pPr>
                    <w:pStyle w:val="56"/>
                    <w:bidi w:val="0"/>
                    <w:rPr>
                      <w:rFonts w:hint="default" w:ascii="Times New Roman" w:hAnsi="Times New Roman" w:eastAsia="宋体" w:cs="Times New Roman"/>
                      <w:szCs w:val="21"/>
                      <w:lang w:val="en-US" w:eastAsia="zh-CN"/>
                    </w:rPr>
                  </w:pPr>
                  <w:r>
                    <w:rPr>
                      <w:rFonts w:hint="eastAsia"/>
                      <w:lang w:val="en-US" w:eastAsia="zh-CN"/>
                    </w:rPr>
                    <w:t>6</w:t>
                  </w:r>
                </w:p>
              </w:tc>
              <w:tc>
                <w:tcPr>
                  <w:tcW w:w="1092" w:type="dxa"/>
                  <w:tcBorders>
                    <w:top w:val="single" w:color="auto" w:sz="6" w:space="0"/>
                    <w:left w:val="single" w:color="auto" w:sz="6" w:space="0"/>
                    <w:bottom w:val="single" w:color="auto" w:sz="6" w:space="0"/>
                    <w:right w:val="single" w:color="auto" w:sz="6" w:space="0"/>
                  </w:tcBorders>
                  <w:noWrap w:val="0"/>
                  <w:vAlign w:val="center"/>
                </w:tcPr>
                <w:p w14:paraId="01C1421C">
                  <w:pPr>
                    <w:pStyle w:val="56"/>
                    <w:bidi w:val="0"/>
                    <w:jc w:val="left"/>
                    <w:rPr>
                      <w:rFonts w:hint="eastAsia"/>
                      <w:szCs w:val="21"/>
                      <w:lang w:val="en-US" w:eastAsia="zh-CN"/>
                    </w:rPr>
                  </w:pPr>
                  <w:r>
                    <w:rPr>
                      <w:rFonts w:hint="eastAsia"/>
                      <w:lang w:val="en-US" w:eastAsia="zh-CN"/>
                    </w:rPr>
                    <w:t>变电站预制“小十件”</w:t>
                  </w:r>
                </w:p>
              </w:tc>
              <w:tc>
                <w:tcPr>
                  <w:tcW w:w="3854" w:type="dxa"/>
                  <w:tcBorders>
                    <w:top w:val="single" w:color="auto" w:sz="6" w:space="0"/>
                    <w:left w:val="single" w:color="auto" w:sz="6" w:space="0"/>
                    <w:bottom w:val="single" w:color="auto" w:sz="6" w:space="0"/>
                    <w:right w:val="single" w:color="auto" w:sz="8" w:space="0"/>
                  </w:tcBorders>
                  <w:noWrap w:val="0"/>
                  <w:vAlign w:val="center"/>
                </w:tcPr>
                <w:p w14:paraId="02AD9E4A">
                  <w:pPr>
                    <w:pStyle w:val="56"/>
                    <w:bidi w:val="0"/>
                    <w:jc w:val="left"/>
                    <w:rPr>
                      <w:rFonts w:hint="default" w:ascii="Times New Roman" w:hAnsi="Times New Roman" w:eastAsia="宋体" w:cs="Times New Roman"/>
                      <w:szCs w:val="21"/>
                      <w:lang w:val="en-US" w:eastAsia="zh-CN"/>
                    </w:rPr>
                  </w:pPr>
                  <w:r>
                    <w:rPr>
                      <w:rFonts w:hint="eastAsia"/>
                      <w:color w:val="FF0000"/>
                      <w:lang w:val="en-US" w:eastAsia="zh-CN"/>
                    </w:rPr>
                    <w:t>标识墙、灯具预制混凝土基础、电缆沟及预制压顶、端子箱基础、户内预制电缆沟盖板、户外预制电缆沟盖板、围墙压顶、雨水及检查井、预制混凝土散水、</w:t>
                  </w:r>
                  <w:r>
                    <w:rPr>
                      <w:rFonts w:hint="eastAsia"/>
                      <w:lang w:val="en-US" w:eastAsia="zh-CN"/>
                    </w:rPr>
                    <w:t>主变油池壁预制压顶等，单个平均重量约0.03t。（材质为混凝土+钢筋）</w:t>
                  </w:r>
                </w:p>
              </w:tc>
              <w:tc>
                <w:tcPr>
                  <w:tcW w:w="912" w:type="dxa"/>
                  <w:tcBorders>
                    <w:top w:val="single" w:color="auto" w:sz="6" w:space="0"/>
                    <w:left w:val="single" w:color="auto" w:sz="8" w:space="0"/>
                    <w:bottom w:val="single" w:color="auto" w:sz="6" w:space="0"/>
                    <w:right w:val="single" w:color="auto" w:sz="6" w:space="0"/>
                  </w:tcBorders>
                  <w:noWrap w:val="0"/>
                  <w:vAlign w:val="center"/>
                </w:tcPr>
                <w:p w14:paraId="2F3BFE40">
                  <w:pPr>
                    <w:pStyle w:val="56"/>
                    <w:bidi w:val="0"/>
                    <w:rPr>
                      <w:rFonts w:hint="default" w:ascii="Times New Roman" w:hAnsi="Times New Roman" w:eastAsia="宋体" w:cs="Times New Roman"/>
                      <w:szCs w:val="21"/>
                      <w:lang w:val="en-US" w:eastAsia="zh-CN"/>
                    </w:rPr>
                  </w:pPr>
                  <w:r>
                    <w:rPr>
                      <w:rFonts w:hint="eastAsia"/>
                      <w:lang w:val="en-US" w:eastAsia="zh-CN"/>
                    </w:rPr>
                    <w:t>99000件</w:t>
                  </w:r>
                </w:p>
              </w:tc>
              <w:tc>
                <w:tcPr>
                  <w:tcW w:w="756" w:type="dxa"/>
                  <w:tcBorders>
                    <w:left w:val="single" w:color="auto" w:sz="6" w:space="0"/>
                    <w:bottom w:val="single" w:color="auto" w:sz="6" w:space="0"/>
                    <w:right w:val="single" w:color="auto" w:sz="6" w:space="0"/>
                  </w:tcBorders>
                  <w:noWrap w:val="0"/>
                  <w:vAlign w:val="center"/>
                </w:tcPr>
                <w:p w14:paraId="2F1CEB7C">
                  <w:pPr>
                    <w:pStyle w:val="56"/>
                    <w:bidi w:val="0"/>
                    <w:rPr>
                      <w:rFonts w:hint="default"/>
                      <w:color w:val="FF0000"/>
                      <w:lang w:val="en-US" w:eastAsia="zh-CN"/>
                    </w:rPr>
                  </w:pPr>
                  <w:r>
                    <w:rPr>
                      <w:rFonts w:hint="eastAsia"/>
                      <w:color w:val="FF0000"/>
                      <w:lang w:val="en-US" w:eastAsia="zh-CN"/>
                    </w:rPr>
                    <w:t>2970t</w:t>
                  </w:r>
                </w:p>
              </w:tc>
              <w:tc>
                <w:tcPr>
                  <w:tcW w:w="1294" w:type="dxa"/>
                  <w:vMerge w:val="continue"/>
                  <w:tcBorders>
                    <w:left w:val="single" w:color="auto" w:sz="6" w:space="0"/>
                    <w:bottom w:val="single" w:color="auto" w:sz="6" w:space="0"/>
                    <w:right w:val="single" w:color="auto" w:sz="6" w:space="0"/>
                  </w:tcBorders>
                  <w:noWrap w:val="0"/>
                  <w:vAlign w:val="center"/>
                </w:tcPr>
                <w:p w14:paraId="0C2F6A4D">
                  <w:pPr>
                    <w:widowControl/>
                    <w:adjustRightInd w:val="0"/>
                    <w:snapToGrid w:val="0"/>
                    <w:spacing w:line="240" w:lineRule="auto"/>
                    <w:jc w:val="center"/>
                    <w:textAlignment w:val="baseline"/>
                    <w:rPr>
                      <w:rFonts w:hint="eastAsia"/>
                      <w:kern w:val="0"/>
                      <w:sz w:val="21"/>
                      <w:szCs w:val="21"/>
                      <w:u w:val="none" w:color="000000"/>
                    </w:rPr>
                  </w:pPr>
                </w:p>
              </w:tc>
            </w:tr>
          </w:tbl>
          <w:p w14:paraId="04885638">
            <w:pPr>
              <w:pStyle w:val="38"/>
              <w:spacing w:line="240" w:lineRule="auto"/>
              <w:jc w:val="center"/>
              <w:outlineLvl w:val="0"/>
              <w:rPr>
                <w:rFonts w:hint="default" w:ascii="黑体" w:hAnsi="黑体" w:eastAsia="黑体"/>
                <w:snapToGrid w:val="0"/>
                <w:sz w:val="30"/>
                <w:szCs w:val="30"/>
                <w:vertAlign w:val="baseline"/>
                <w:lang w:val="en-US" w:eastAsia="zh-CN"/>
              </w:rPr>
            </w:pPr>
          </w:p>
        </w:tc>
      </w:tr>
    </w:tbl>
    <w:tbl>
      <w:tblPr>
        <w:tblStyle w:val="41"/>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5"/>
        <w:gridCol w:w="8606"/>
      </w:tblGrid>
      <w:tr w14:paraId="417D63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724" w:hRule="atLeast"/>
          <w:jc w:val="center"/>
        </w:trPr>
        <w:tc>
          <w:tcPr>
            <w:tcW w:w="454" w:type="dxa"/>
            <w:vAlign w:val="center"/>
          </w:tcPr>
          <w:p w14:paraId="4A620814">
            <w:pPr>
              <w:ind w:firstLine="0" w:firstLineChars="0"/>
              <w:jc w:val="center"/>
              <w:rPr>
                <w:rFonts w:cs="宋体"/>
                <w:szCs w:val="21"/>
              </w:rPr>
            </w:pPr>
            <w:r>
              <w:rPr>
                <w:rFonts w:hint="eastAsia"/>
              </w:rPr>
              <w:t>建设内容</w:t>
            </w:r>
          </w:p>
        </w:tc>
        <w:tc>
          <w:tcPr>
            <w:tcW w:w="8607" w:type="dxa"/>
          </w:tcPr>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90"/>
              <w:gridCol w:w="4190"/>
            </w:tblGrid>
            <w:tr w14:paraId="7B628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0" w:type="dxa"/>
                </w:tcPr>
                <w:p w14:paraId="0B804945">
                  <w:pPr>
                    <w:widowControl/>
                    <w:spacing w:line="360" w:lineRule="auto"/>
                    <w:ind w:left="0" w:leftChars="0" w:firstLine="0" w:firstLineChars="0"/>
                    <w:rPr>
                      <w:rFonts w:hint="eastAsia" w:eastAsia="宋体"/>
                      <w:b/>
                      <w:bCs/>
                      <w:vertAlign w:val="baseline"/>
                      <w:lang w:eastAsia="zh-CN"/>
                    </w:rPr>
                  </w:pPr>
                  <w:r>
                    <w:rPr>
                      <w:rFonts w:hint="eastAsia" w:eastAsia="宋体"/>
                      <w:b/>
                      <w:bCs/>
                      <w:vertAlign w:val="baseline"/>
                      <w:lang w:eastAsia="zh-CN"/>
                    </w:rPr>
                    <w:drawing>
                      <wp:inline distT="0" distB="0" distL="114300" distR="114300">
                        <wp:extent cx="2519045" cy="1875790"/>
                        <wp:effectExtent l="0" t="0" r="10795" b="13970"/>
                        <wp:docPr id="5" name="图片 5" descr="1643416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43416715"/>
                                <pic:cNvPicPr>
                                  <a:picLocks noChangeAspect="1"/>
                                </pic:cNvPicPr>
                              </pic:nvPicPr>
                              <pic:blipFill>
                                <a:blip r:embed="rId12"/>
                                <a:stretch>
                                  <a:fillRect/>
                                </a:stretch>
                              </pic:blipFill>
                              <pic:spPr>
                                <a:xfrm>
                                  <a:off x="0" y="0"/>
                                  <a:ext cx="2519045" cy="1875790"/>
                                </a:xfrm>
                                <a:prstGeom prst="rect">
                                  <a:avLst/>
                                </a:prstGeom>
                              </pic:spPr>
                            </pic:pic>
                          </a:graphicData>
                        </a:graphic>
                      </wp:inline>
                    </w:drawing>
                  </w:r>
                </w:p>
              </w:tc>
              <w:tc>
                <w:tcPr>
                  <w:tcW w:w="4191" w:type="dxa"/>
                </w:tcPr>
                <w:p w14:paraId="66813D50">
                  <w:pPr>
                    <w:widowControl/>
                    <w:spacing w:line="360" w:lineRule="auto"/>
                    <w:ind w:left="0" w:leftChars="0" w:firstLine="0" w:firstLineChars="0"/>
                    <w:rPr>
                      <w:rFonts w:hint="eastAsia" w:eastAsia="宋体"/>
                      <w:b/>
                      <w:bCs/>
                      <w:vertAlign w:val="baseline"/>
                      <w:lang w:eastAsia="zh-CN"/>
                    </w:rPr>
                  </w:pPr>
                  <w:r>
                    <w:rPr>
                      <w:rFonts w:hint="eastAsia" w:eastAsia="宋体"/>
                      <w:b/>
                      <w:bCs/>
                      <w:vertAlign w:val="baseline"/>
                      <w:lang w:eastAsia="zh-CN"/>
                    </w:rPr>
                    <w:drawing>
                      <wp:inline distT="0" distB="0" distL="114300" distR="114300">
                        <wp:extent cx="2392680" cy="1781810"/>
                        <wp:effectExtent l="0" t="0" r="0" b="1270"/>
                        <wp:docPr id="21" name="图片 21" descr="1650071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650071431"/>
                                <pic:cNvPicPr>
                                  <a:picLocks noChangeAspect="1"/>
                                </pic:cNvPicPr>
                              </pic:nvPicPr>
                              <pic:blipFill>
                                <a:blip r:embed="rId13"/>
                                <a:stretch>
                                  <a:fillRect/>
                                </a:stretch>
                              </pic:blipFill>
                              <pic:spPr>
                                <a:xfrm>
                                  <a:off x="0" y="0"/>
                                  <a:ext cx="2392680" cy="1781810"/>
                                </a:xfrm>
                                <a:prstGeom prst="rect">
                                  <a:avLst/>
                                </a:prstGeom>
                              </pic:spPr>
                            </pic:pic>
                          </a:graphicData>
                        </a:graphic>
                      </wp:inline>
                    </w:drawing>
                  </w:r>
                </w:p>
              </w:tc>
            </w:tr>
            <w:tr w14:paraId="2CA6C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0" w:type="dxa"/>
                </w:tcPr>
                <w:p w14:paraId="1330EB82">
                  <w:pPr>
                    <w:widowControl/>
                    <w:spacing w:line="360" w:lineRule="auto"/>
                    <w:ind w:left="0" w:leftChars="0" w:firstLine="0" w:firstLineChars="0"/>
                    <w:rPr>
                      <w:rFonts w:hint="eastAsia" w:eastAsia="宋体"/>
                      <w:b/>
                      <w:bCs/>
                      <w:vertAlign w:val="baseline"/>
                      <w:lang w:eastAsia="zh-CN"/>
                    </w:rPr>
                  </w:pPr>
                  <w:r>
                    <w:rPr>
                      <w:rFonts w:hint="eastAsia" w:eastAsia="宋体"/>
                      <w:b/>
                      <w:bCs/>
                      <w:vertAlign w:val="baseline"/>
                      <w:lang w:eastAsia="zh-CN"/>
                    </w:rPr>
                    <w:drawing>
                      <wp:inline distT="0" distB="0" distL="114300" distR="114300">
                        <wp:extent cx="2529840" cy="1897380"/>
                        <wp:effectExtent l="0" t="0" r="0" b="7620"/>
                        <wp:docPr id="22" name="图片 22" descr="1835264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835264280"/>
                                <pic:cNvPicPr>
                                  <a:picLocks noChangeAspect="1"/>
                                </pic:cNvPicPr>
                              </pic:nvPicPr>
                              <pic:blipFill>
                                <a:blip r:embed="rId14"/>
                                <a:stretch>
                                  <a:fillRect/>
                                </a:stretch>
                              </pic:blipFill>
                              <pic:spPr>
                                <a:xfrm>
                                  <a:off x="0" y="0"/>
                                  <a:ext cx="2529840" cy="1897380"/>
                                </a:xfrm>
                                <a:prstGeom prst="rect">
                                  <a:avLst/>
                                </a:prstGeom>
                              </pic:spPr>
                            </pic:pic>
                          </a:graphicData>
                        </a:graphic>
                      </wp:inline>
                    </w:drawing>
                  </w:r>
                </w:p>
              </w:tc>
              <w:tc>
                <w:tcPr>
                  <w:tcW w:w="4191" w:type="dxa"/>
                </w:tcPr>
                <w:p w14:paraId="6911228A">
                  <w:pPr>
                    <w:widowControl/>
                    <w:spacing w:line="360" w:lineRule="auto"/>
                    <w:ind w:left="0" w:leftChars="0" w:firstLine="0" w:firstLineChars="0"/>
                    <w:rPr>
                      <w:rFonts w:hint="eastAsia" w:eastAsia="宋体"/>
                      <w:b/>
                      <w:bCs/>
                      <w:vertAlign w:val="baseline"/>
                      <w:lang w:eastAsia="zh-CN"/>
                    </w:rPr>
                  </w:pPr>
                  <w:r>
                    <w:rPr>
                      <w:rFonts w:hint="eastAsia" w:eastAsia="宋体"/>
                      <w:b/>
                      <w:bCs/>
                      <w:vertAlign w:val="baseline"/>
                      <w:lang w:eastAsia="zh-CN"/>
                    </w:rPr>
                    <w:drawing>
                      <wp:inline distT="0" distB="0" distL="114300" distR="114300">
                        <wp:extent cx="2529840" cy="1897380"/>
                        <wp:effectExtent l="0" t="0" r="0" b="7620"/>
                        <wp:docPr id="23" name="图片 23" descr="1838264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838264523"/>
                                <pic:cNvPicPr>
                                  <a:picLocks noChangeAspect="1"/>
                                </pic:cNvPicPr>
                              </pic:nvPicPr>
                              <pic:blipFill>
                                <a:blip r:embed="rId15"/>
                                <a:stretch>
                                  <a:fillRect/>
                                </a:stretch>
                              </pic:blipFill>
                              <pic:spPr>
                                <a:xfrm>
                                  <a:off x="0" y="0"/>
                                  <a:ext cx="2529840" cy="1897380"/>
                                </a:xfrm>
                                <a:prstGeom prst="rect">
                                  <a:avLst/>
                                </a:prstGeom>
                              </pic:spPr>
                            </pic:pic>
                          </a:graphicData>
                        </a:graphic>
                      </wp:inline>
                    </w:drawing>
                  </w:r>
                </w:p>
              </w:tc>
            </w:tr>
            <w:tr w14:paraId="19D76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1" w:type="dxa"/>
                  <w:gridSpan w:val="2"/>
                </w:tcPr>
                <w:p w14:paraId="08963E11">
                  <w:pPr>
                    <w:widowControl/>
                    <w:spacing w:line="360" w:lineRule="auto"/>
                    <w:ind w:left="0" w:leftChars="0" w:firstLine="0" w:firstLineChars="0"/>
                    <w:jc w:val="center"/>
                    <w:rPr>
                      <w:rFonts w:hint="eastAsia" w:eastAsia="宋体"/>
                      <w:b/>
                      <w:bCs/>
                      <w:vertAlign w:val="baseline"/>
                      <w:lang w:eastAsia="zh-CN"/>
                    </w:rPr>
                  </w:pPr>
                  <w:r>
                    <w:rPr>
                      <w:rFonts w:hint="eastAsia"/>
                      <w:lang w:val="en-US" w:eastAsia="zh-CN"/>
                    </w:rPr>
                    <w:t>变电站预制“小十件”</w:t>
                  </w:r>
                </w:p>
              </w:tc>
            </w:tr>
          </w:tbl>
          <w:p w14:paraId="434A5599">
            <w:pPr>
              <w:widowControl/>
              <w:spacing w:line="360" w:lineRule="auto"/>
              <w:ind w:firstLine="482"/>
              <w:rPr>
                <w:b/>
                <w:bCs/>
              </w:rPr>
            </w:pPr>
            <w:r>
              <w:rPr>
                <w:rFonts w:hint="eastAsia"/>
                <w:b/>
                <w:bCs/>
              </w:rPr>
              <w:t>5、项目原辅材料</w:t>
            </w:r>
            <w:r>
              <w:rPr>
                <w:rFonts w:hint="eastAsia"/>
                <w:b/>
                <w:bCs/>
                <w:lang w:val="en-US" w:eastAsia="zh-CN"/>
              </w:rPr>
              <w:t>和能源</w:t>
            </w:r>
            <w:r>
              <w:rPr>
                <w:rFonts w:hint="eastAsia"/>
                <w:b/>
                <w:bCs/>
              </w:rPr>
              <w:t>消耗情况</w:t>
            </w:r>
          </w:p>
          <w:p w14:paraId="1A7D836B">
            <w:pPr>
              <w:keepNext w:val="0"/>
              <w:keepLines w:val="0"/>
              <w:pageBreakBefore w:val="0"/>
              <w:widowControl/>
              <w:kinsoku/>
              <w:wordWrap/>
              <w:overflowPunct/>
              <w:topLinePunct w:val="0"/>
              <w:autoSpaceDE/>
              <w:autoSpaceDN/>
              <w:bidi w:val="0"/>
              <w:adjustRightInd w:val="0"/>
              <w:snapToGrid w:val="0"/>
              <w:spacing w:line="240" w:lineRule="auto"/>
              <w:ind w:firstLine="480" w:firstLineChars="200"/>
              <w:textAlignment w:val="auto"/>
            </w:pPr>
            <w:r>
              <w:rPr>
                <w:rFonts w:hint="eastAsia"/>
              </w:rPr>
              <w:t>根据建设单位提供资料，</w:t>
            </w:r>
            <w:r>
              <w:t>项目主要原辅材料</w:t>
            </w:r>
            <w:r>
              <w:rPr>
                <w:rFonts w:hint="eastAsia"/>
                <w:lang w:val="en-US" w:eastAsia="zh-CN"/>
              </w:rPr>
              <w:t>和能源</w:t>
            </w:r>
            <w:r>
              <w:rPr>
                <w:rFonts w:hint="eastAsia"/>
              </w:rPr>
              <w:t>消耗</w:t>
            </w:r>
            <w:r>
              <w:t>情况见表</w:t>
            </w:r>
            <w:r>
              <w:rPr>
                <w:rFonts w:hint="eastAsia"/>
                <w:lang w:val="en-US" w:eastAsia="zh-CN"/>
              </w:rPr>
              <w:t>2-5</w:t>
            </w:r>
            <w:r>
              <w:t>。</w:t>
            </w:r>
          </w:p>
          <w:p w14:paraId="29B9E949">
            <w:pPr>
              <w:pStyle w:val="59"/>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240" w:lineRule="auto"/>
              <w:ind w:leftChars="0"/>
              <w:jc w:val="center"/>
              <w:textAlignment w:val="auto"/>
              <w:rPr>
                <w:rFonts w:hint="eastAsia" w:ascii="Times New Roman" w:hAnsi="Times New Roman" w:eastAsia="宋体" w:cs="Times New Roman"/>
                <w:b/>
                <w:bCs/>
                <w:lang w:val="en-US" w:eastAsia="zh-CN"/>
              </w:rPr>
            </w:pPr>
            <w:r>
              <w:rPr>
                <w:rFonts w:hint="eastAsia" w:ascii="Times New Roman" w:hAnsi="Times New Roman" w:eastAsia="宋体" w:cs="Times New Roman"/>
                <w:b/>
                <w:bCs/>
                <w:lang w:val="en-US" w:eastAsia="zh-CN"/>
              </w:rPr>
              <w:t>表2-</w:t>
            </w:r>
            <w:r>
              <w:rPr>
                <w:rFonts w:hint="eastAsia" w:cs="Times New Roman"/>
                <w:b/>
                <w:bCs/>
                <w:lang w:val="en-US" w:eastAsia="zh-CN"/>
              </w:rPr>
              <w:t>5</w:t>
            </w:r>
            <w:r>
              <w:rPr>
                <w:rFonts w:hint="eastAsia" w:ascii="Times New Roman" w:hAnsi="Times New Roman" w:eastAsia="宋体" w:cs="Times New Roman"/>
                <w:b/>
                <w:bCs/>
                <w:lang w:val="en-US" w:eastAsia="zh-CN"/>
              </w:rPr>
              <w:t xml:space="preserve"> 项目主要原辅材料</w:t>
            </w:r>
            <w:r>
              <w:rPr>
                <w:rFonts w:hint="eastAsia" w:cs="Times New Roman"/>
                <w:b/>
                <w:bCs/>
                <w:lang w:val="en-US" w:eastAsia="zh-CN"/>
              </w:rPr>
              <w:t>和能源</w:t>
            </w:r>
            <w:r>
              <w:rPr>
                <w:rFonts w:hint="eastAsia" w:ascii="Times New Roman" w:hAnsi="Times New Roman" w:eastAsia="宋体" w:cs="Times New Roman"/>
                <w:b/>
                <w:bCs/>
                <w:lang w:val="en-US" w:eastAsia="zh-CN"/>
              </w:rPr>
              <w:t>消耗情况一览表</w:t>
            </w:r>
          </w:p>
          <w:tbl>
            <w:tblPr>
              <w:tblStyle w:val="41"/>
              <w:tblW w:w="4994"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536"/>
              <w:gridCol w:w="730"/>
              <w:gridCol w:w="1510"/>
              <w:gridCol w:w="1130"/>
              <w:gridCol w:w="1001"/>
              <w:gridCol w:w="1729"/>
              <w:gridCol w:w="1729"/>
            </w:tblGrid>
            <w:tr w14:paraId="1BCAC4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9" w:hRule="atLeast"/>
                <w:tblHeader/>
                <w:jc w:val="center"/>
              </w:trPr>
              <w:tc>
                <w:tcPr>
                  <w:tcW w:w="320" w:type="pct"/>
                  <w:tcBorders>
                    <w:top w:val="single" w:color="auto" w:sz="6" w:space="0"/>
                    <w:left w:val="single" w:color="auto" w:sz="6" w:space="0"/>
                    <w:bottom w:val="single" w:color="auto" w:sz="6" w:space="0"/>
                    <w:right w:val="single" w:color="auto" w:sz="6" w:space="0"/>
                  </w:tcBorders>
                  <w:noWrap w:val="0"/>
                  <w:vAlign w:val="center"/>
                </w:tcPr>
                <w:p w14:paraId="3CAB07E5">
                  <w:pPr>
                    <w:pStyle w:val="56"/>
                    <w:bidi w:val="0"/>
                    <w:rPr>
                      <w:rFonts w:hint="eastAsia" w:ascii="Times New Roman" w:hAnsi="Times New Roman" w:eastAsia="宋体" w:cs="Times New Roman"/>
                      <w:szCs w:val="21"/>
                      <w:lang w:eastAsia="zh-CN"/>
                    </w:rPr>
                  </w:pPr>
                  <w:r>
                    <w:rPr>
                      <w:rFonts w:hint="eastAsia"/>
                      <w:lang w:eastAsia="zh-CN"/>
                    </w:rPr>
                    <w:t>序号</w:t>
                  </w:r>
                </w:p>
              </w:tc>
              <w:tc>
                <w:tcPr>
                  <w:tcW w:w="1338" w:type="pct"/>
                  <w:gridSpan w:val="2"/>
                  <w:tcBorders>
                    <w:top w:val="single" w:color="auto" w:sz="6" w:space="0"/>
                    <w:left w:val="single" w:color="auto" w:sz="6" w:space="0"/>
                    <w:bottom w:val="single" w:color="auto" w:sz="6" w:space="0"/>
                    <w:right w:val="single" w:color="auto" w:sz="6" w:space="0"/>
                  </w:tcBorders>
                  <w:noWrap w:val="0"/>
                  <w:vAlign w:val="center"/>
                </w:tcPr>
                <w:p w14:paraId="0684D5E7">
                  <w:pPr>
                    <w:pStyle w:val="56"/>
                    <w:bidi w:val="0"/>
                    <w:rPr>
                      <w:rFonts w:hint="eastAsia" w:ascii="Times New Roman" w:hAnsi="Times New Roman" w:eastAsia="宋体" w:cs="Times New Roman"/>
                      <w:szCs w:val="21"/>
                      <w:lang w:eastAsia="zh-CN"/>
                    </w:rPr>
                  </w:pPr>
                  <w:r>
                    <w:rPr>
                      <w:rFonts w:hint="eastAsia"/>
                      <w:lang w:eastAsia="zh-CN"/>
                    </w:rPr>
                    <w:t>原辅料名称</w:t>
                  </w:r>
                </w:p>
              </w:tc>
              <w:tc>
                <w:tcPr>
                  <w:tcW w:w="675" w:type="pct"/>
                  <w:tcBorders>
                    <w:top w:val="single" w:color="auto" w:sz="6" w:space="0"/>
                    <w:left w:val="single" w:color="auto" w:sz="6" w:space="0"/>
                    <w:bottom w:val="single" w:color="auto" w:sz="6" w:space="0"/>
                    <w:right w:val="single" w:color="auto" w:sz="6" w:space="0"/>
                  </w:tcBorders>
                  <w:noWrap w:val="0"/>
                  <w:vAlign w:val="center"/>
                </w:tcPr>
                <w:p w14:paraId="71518966">
                  <w:pPr>
                    <w:pStyle w:val="56"/>
                    <w:bidi w:val="0"/>
                    <w:rPr>
                      <w:rFonts w:hint="eastAsia" w:ascii="Times New Roman" w:hAnsi="Times New Roman" w:eastAsia="宋体" w:cs="Times New Roman"/>
                      <w:szCs w:val="21"/>
                      <w:lang w:eastAsia="zh-CN"/>
                    </w:rPr>
                  </w:pPr>
                  <w:r>
                    <w:rPr>
                      <w:rFonts w:hint="eastAsia"/>
                      <w:lang w:eastAsia="zh-CN"/>
                    </w:rPr>
                    <w:t>年用量（t</w:t>
                  </w:r>
                  <w:r>
                    <w:rPr>
                      <w:rFonts w:hint="eastAsia"/>
                      <w:lang w:val="en-US" w:eastAsia="zh-CN"/>
                    </w:rPr>
                    <w:t>/a</w:t>
                  </w:r>
                  <w:r>
                    <w:rPr>
                      <w:rFonts w:hint="eastAsia"/>
                      <w:lang w:eastAsia="zh-CN"/>
                    </w:rPr>
                    <w:t>）</w:t>
                  </w:r>
                </w:p>
              </w:tc>
              <w:tc>
                <w:tcPr>
                  <w:tcW w:w="598" w:type="pct"/>
                  <w:tcBorders>
                    <w:top w:val="single" w:color="auto" w:sz="6" w:space="0"/>
                    <w:left w:val="single" w:color="auto" w:sz="6" w:space="0"/>
                    <w:bottom w:val="single" w:color="auto" w:sz="6" w:space="0"/>
                    <w:right w:val="single" w:color="auto" w:sz="4" w:space="0"/>
                  </w:tcBorders>
                  <w:noWrap w:val="0"/>
                  <w:vAlign w:val="center"/>
                </w:tcPr>
                <w:p w14:paraId="08F225E8">
                  <w:pPr>
                    <w:pStyle w:val="56"/>
                    <w:bidi w:val="0"/>
                    <w:rPr>
                      <w:rFonts w:hint="eastAsia" w:ascii="Times New Roman" w:hAnsi="Times New Roman" w:eastAsia="宋体" w:cs="Times New Roman"/>
                      <w:szCs w:val="21"/>
                      <w:lang w:eastAsia="zh-CN"/>
                    </w:rPr>
                  </w:pPr>
                  <w:r>
                    <w:rPr>
                      <w:rFonts w:hint="eastAsia"/>
                      <w:lang w:eastAsia="zh-CN"/>
                    </w:rPr>
                    <w:t>包装形式</w:t>
                  </w:r>
                </w:p>
              </w:tc>
              <w:tc>
                <w:tcPr>
                  <w:tcW w:w="1033" w:type="pct"/>
                  <w:tcBorders>
                    <w:top w:val="single" w:color="auto" w:sz="6" w:space="0"/>
                    <w:left w:val="single" w:color="auto" w:sz="4" w:space="0"/>
                    <w:bottom w:val="single" w:color="auto" w:sz="6" w:space="0"/>
                    <w:right w:val="single" w:color="auto" w:sz="4" w:space="0"/>
                  </w:tcBorders>
                  <w:noWrap w:val="0"/>
                  <w:vAlign w:val="center"/>
                </w:tcPr>
                <w:p w14:paraId="54E9330A">
                  <w:pPr>
                    <w:pStyle w:val="56"/>
                    <w:bidi w:val="0"/>
                    <w:rPr>
                      <w:rFonts w:hint="default" w:ascii="Times New Roman" w:hAnsi="Times New Roman" w:eastAsia="宋体" w:cs="Times New Roman"/>
                      <w:color w:val="FF0000"/>
                      <w:szCs w:val="21"/>
                      <w:lang w:val="en-US" w:eastAsia="zh-CN"/>
                    </w:rPr>
                  </w:pPr>
                  <w:r>
                    <w:rPr>
                      <w:rFonts w:hint="eastAsia"/>
                      <w:color w:val="FF0000"/>
                      <w:lang w:eastAsia="zh-CN"/>
                    </w:rPr>
                    <w:t>存储方式</w:t>
                  </w:r>
                  <w:r>
                    <w:rPr>
                      <w:rFonts w:hint="eastAsia"/>
                      <w:color w:val="FF0000"/>
                      <w:lang w:val="en-US" w:eastAsia="zh-CN"/>
                    </w:rPr>
                    <w:t>及最大贮存量</w:t>
                  </w:r>
                </w:p>
              </w:tc>
              <w:tc>
                <w:tcPr>
                  <w:tcW w:w="1033" w:type="pct"/>
                  <w:tcBorders>
                    <w:top w:val="single" w:color="auto" w:sz="6" w:space="0"/>
                    <w:left w:val="single" w:color="auto" w:sz="4" w:space="0"/>
                    <w:bottom w:val="single" w:color="auto" w:sz="6" w:space="0"/>
                    <w:right w:val="single" w:color="auto" w:sz="4" w:space="0"/>
                  </w:tcBorders>
                  <w:noWrap w:val="0"/>
                  <w:vAlign w:val="center"/>
                </w:tcPr>
                <w:p w14:paraId="68CEE241">
                  <w:pPr>
                    <w:pStyle w:val="56"/>
                    <w:bidi w:val="0"/>
                    <w:rPr>
                      <w:rFonts w:hint="default"/>
                      <w:lang w:val="en-US" w:eastAsia="zh-CN"/>
                    </w:rPr>
                  </w:pPr>
                  <w:r>
                    <w:rPr>
                      <w:rFonts w:hint="eastAsia"/>
                      <w:lang w:val="en-US" w:eastAsia="zh-CN"/>
                    </w:rPr>
                    <w:t>备注</w:t>
                  </w:r>
                </w:p>
              </w:tc>
            </w:tr>
            <w:tr w14:paraId="157FCF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tblHeader/>
                <w:jc w:val="center"/>
              </w:trPr>
              <w:tc>
                <w:tcPr>
                  <w:tcW w:w="320" w:type="pct"/>
                  <w:tcBorders>
                    <w:top w:val="single" w:color="auto" w:sz="6" w:space="0"/>
                    <w:left w:val="single" w:color="auto" w:sz="6" w:space="0"/>
                    <w:bottom w:val="single" w:color="auto" w:sz="6" w:space="0"/>
                    <w:right w:val="single" w:color="auto" w:sz="6" w:space="0"/>
                  </w:tcBorders>
                  <w:noWrap w:val="0"/>
                  <w:vAlign w:val="center"/>
                </w:tcPr>
                <w:p w14:paraId="22840842">
                  <w:pPr>
                    <w:pStyle w:val="56"/>
                    <w:bidi w:val="0"/>
                    <w:rPr>
                      <w:rFonts w:hint="eastAsia" w:ascii="Times New Roman" w:hAnsi="Times New Roman" w:eastAsia="宋体" w:cs="Times New Roman"/>
                      <w:szCs w:val="21"/>
                      <w:lang w:eastAsia="zh-CN"/>
                    </w:rPr>
                  </w:pPr>
                  <w:r>
                    <w:rPr>
                      <w:rFonts w:hint="eastAsia"/>
                      <w:lang w:eastAsia="zh-CN"/>
                    </w:rPr>
                    <w:t>1</w:t>
                  </w:r>
                </w:p>
              </w:tc>
              <w:tc>
                <w:tcPr>
                  <w:tcW w:w="436" w:type="pct"/>
                  <w:vMerge w:val="restart"/>
                  <w:tcBorders>
                    <w:top w:val="single" w:color="auto" w:sz="6" w:space="0"/>
                    <w:left w:val="single" w:color="auto" w:sz="6" w:space="0"/>
                    <w:right w:val="single" w:color="auto" w:sz="4" w:space="0"/>
                  </w:tcBorders>
                  <w:noWrap w:val="0"/>
                  <w:vAlign w:val="center"/>
                </w:tcPr>
                <w:p w14:paraId="322148DF">
                  <w:pPr>
                    <w:pStyle w:val="56"/>
                    <w:bidi w:val="0"/>
                    <w:rPr>
                      <w:rFonts w:hint="eastAsia"/>
                      <w:lang w:eastAsia="zh-CN"/>
                    </w:rPr>
                  </w:pPr>
                  <w:r>
                    <w:rPr>
                      <w:rFonts w:hint="eastAsia"/>
                      <w:lang w:eastAsia="zh-CN"/>
                    </w:rPr>
                    <w:t>原辅</w:t>
                  </w:r>
                </w:p>
                <w:p w14:paraId="6C1B3890">
                  <w:pPr>
                    <w:pStyle w:val="56"/>
                    <w:bidi w:val="0"/>
                    <w:rPr>
                      <w:rFonts w:hint="eastAsia" w:ascii="Times New Roman" w:hAnsi="Times New Roman" w:eastAsia="宋体" w:cs="Times New Roman"/>
                      <w:szCs w:val="21"/>
                      <w:lang w:eastAsia="zh-CN"/>
                    </w:rPr>
                  </w:pPr>
                  <w:r>
                    <w:rPr>
                      <w:rFonts w:hint="eastAsia"/>
                      <w:lang w:eastAsia="zh-CN"/>
                    </w:rPr>
                    <w:t>材料</w:t>
                  </w:r>
                </w:p>
              </w:tc>
              <w:tc>
                <w:tcPr>
                  <w:tcW w:w="901" w:type="pct"/>
                  <w:tcBorders>
                    <w:top w:val="single" w:color="auto" w:sz="6" w:space="0"/>
                    <w:left w:val="single" w:color="auto" w:sz="4" w:space="0"/>
                    <w:bottom w:val="single" w:color="auto" w:sz="6" w:space="0"/>
                    <w:right w:val="single" w:color="auto" w:sz="6" w:space="0"/>
                  </w:tcBorders>
                  <w:noWrap w:val="0"/>
                  <w:vAlign w:val="center"/>
                </w:tcPr>
                <w:p w14:paraId="4CF71DC8">
                  <w:pPr>
                    <w:pStyle w:val="56"/>
                    <w:bidi w:val="0"/>
                    <w:rPr>
                      <w:rFonts w:hint="eastAsia" w:ascii="Times New Roman" w:hAnsi="Times New Roman" w:eastAsia="宋体" w:cs="Times New Roman"/>
                      <w:szCs w:val="21"/>
                      <w:lang w:eastAsia="zh-CN"/>
                    </w:rPr>
                  </w:pPr>
                  <w:r>
                    <w:rPr>
                      <w:rFonts w:hint="eastAsia"/>
                      <w:lang w:eastAsia="zh-CN"/>
                    </w:rPr>
                    <w:t>水泥</w:t>
                  </w:r>
                </w:p>
              </w:tc>
              <w:tc>
                <w:tcPr>
                  <w:tcW w:w="675" w:type="pct"/>
                  <w:tcBorders>
                    <w:top w:val="single" w:color="auto" w:sz="6" w:space="0"/>
                    <w:left w:val="single" w:color="auto" w:sz="6" w:space="0"/>
                    <w:bottom w:val="single" w:color="auto" w:sz="6" w:space="0"/>
                    <w:right w:val="single" w:color="auto" w:sz="6" w:space="0"/>
                  </w:tcBorders>
                  <w:noWrap w:val="0"/>
                  <w:vAlign w:val="center"/>
                </w:tcPr>
                <w:p w14:paraId="23FCF9A1">
                  <w:pPr>
                    <w:pStyle w:val="56"/>
                    <w:bidi w:val="0"/>
                    <w:rPr>
                      <w:rFonts w:hint="default" w:ascii="Times New Roman" w:hAnsi="Times New Roman" w:eastAsia="宋体" w:cs="Times New Roman"/>
                      <w:szCs w:val="21"/>
                      <w:lang w:val="en-US" w:eastAsia="zh-CN"/>
                    </w:rPr>
                  </w:pPr>
                  <w:r>
                    <w:rPr>
                      <w:rFonts w:hint="eastAsia"/>
                      <w:lang w:val="en-US" w:eastAsia="zh-CN"/>
                    </w:rPr>
                    <w:t>2322</w:t>
                  </w:r>
                </w:p>
              </w:tc>
              <w:tc>
                <w:tcPr>
                  <w:tcW w:w="598" w:type="pct"/>
                  <w:tcBorders>
                    <w:top w:val="single" w:color="auto" w:sz="6" w:space="0"/>
                    <w:left w:val="single" w:color="auto" w:sz="6" w:space="0"/>
                    <w:bottom w:val="single" w:color="auto" w:sz="6" w:space="0"/>
                    <w:right w:val="single" w:color="auto" w:sz="4" w:space="0"/>
                  </w:tcBorders>
                  <w:noWrap w:val="0"/>
                  <w:vAlign w:val="center"/>
                </w:tcPr>
                <w:p w14:paraId="427E0C93">
                  <w:pPr>
                    <w:pStyle w:val="56"/>
                    <w:bidi w:val="0"/>
                    <w:rPr>
                      <w:rFonts w:hint="eastAsia" w:ascii="Times New Roman" w:hAnsi="Times New Roman" w:eastAsia="宋体" w:cs="Times New Roman"/>
                      <w:szCs w:val="21"/>
                      <w:lang w:eastAsia="zh-CN"/>
                    </w:rPr>
                  </w:pPr>
                  <w:r>
                    <w:rPr>
                      <w:rFonts w:hint="eastAsia"/>
                      <w:lang w:eastAsia="zh-CN"/>
                    </w:rPr>
                    <w:t>/</w:t>
                  </w:r>
                </w:p>
              </w:tc>
              <w:tc>
                <w:tcPr>
                  <w:tcW w:w="1033" w:type="pct"/>
                  <w:tcBorders>
                    <w:top w:val="single" w:color="auto" w:sz="6" w:space="0"/>
                    <w:left w:val="single" w:color="auto" w:sz="4" w:space="0"/>
                    <w:bottom w:val="single" w:color="auto" w:sz="6" w:space="0"/>
                    <w:right w:val="single" w:color="auto" w:sz="4" w:space="0"/>
                  </w:tcBorders>
                  <w:noWrap w:val="0"/>
                  <w:vAlign w:val="top"/>
                </w:tcPr>
                <w:p w14:paraId="1ABBA275">
                  <w:pPr>
                    <w:pStyle w:val="56"/>
                    <w:bidi w:val="0"/>
                    <w:rPr>
                      <w:rFonts w:hint="default" w:ascii="Times New Roman" w:hAnsi="Times New Roman" w:eastAsia="宋体" w:cs="Times New Roman"/>
                      <w:color w:val="FF0000"/>
                      <w:szCs w:val="21"/>
                      <w:lang w:val="en-US" w:eastAsia="zh-CN"/>
                    </w:rPr>
                  </w:pPr>
                  <w:r>
                    <w:rPr>
                      <w:rFonts w:hint="eastAsia"/>
                      <w:color w:val="FF0000"/>
                      <w:lang w:eastAsia="zh-CN"/>
                    </w:rPr>
                    <w:t>筒仓</w:t>
                  </w:r>
                  <w:r>
                    <w:rPr>
                      <w:rFonts w:hint="eastAsia"/>
                      <w:color w:val="FF0000"/>
                      <w:lang w:val="en-US" w:eastAsia="zh-CN"/>
                    </w:rPr>
                    <w:t>100t</w:t>
                  </w:r>
                </w:p>
              </w:tc>
              <w:tc>
                <w:tcPr>
                  <w:tcW w:w="1033" w:type="pct"/>
                  <w:tcBorders>
                    <w:top w:val="single" w:color="auto" w:sz="6" w:space="0"/>
                    <w:left w:val="single" w:color="auto" w:sz="4" w:space="0"/>
                    <w:bottom w:val="single" w:color="auto" w:sz="6" w:space="0"/>
                    <w:right w:val="single" w:color="auto" w:sz="4" w:space="0"/>
                  </w:tcBorders>
                  <w:noWrap w:val="0"/>
                  <w:vAlign w:val="top"/>
                </w:tcPr>
                <w:p w14:paraId="72869AC8">
                  <w:pPr>
                    <w:pStyle w:val="56"/>
                    <w:bidi w:val="0"/>
                    <w:rPr>
                      <w:rFonts w:hint="default"/>
                      <w:color w:val="FF0000"/>
                      <w:lang w:val="en-US" w:eastAsia="zh-CN"/>
                    </w:rPr>
                  </w:pPr>
                  <w:r>
                    <w:rPr>
                      <w:rFonts w:hint="eastAsia"/>
                      <w:color w:val="FF0000"/>
                      <w:lang w:val="en-US" w:eastAsia="zh-CN"/>
                    </w:rPr>
                    <w:t>项目2个100t水泥筒仓，贮存能可满足需求</w:t>
                  </w:r>
                </w:p>
              </w:tc>
            </w:tr>
            <w:tr w14:paraId="38939D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tblHeader/>
                <w:jc w:val="center"/>
              </w:trPr>
              <w:tc>
                <w:tcPr>
                  <w:tcW w:w="320" w:type="pct"/>
                  <w:tcBorders>
                    <w:top w:val="single" w:color="auto" w:sz="6" w:space="0"/>
                    <w:left w:val="single" w:color="auto" w:sz="6" w:space="0"/>
                    <w:bottom w:val="single" w:color="auto" w:sz="6" w:space="0"/>
                    <w:right w:val="single" w:color="auto" w:sz="6" w:space="0"/>
                  </w:tcBorders>
                  <w:noWrap w:val="0"/>
                  <w:vAlign w:val="center"/>
                </w:tcPr>
                <w:p w14:paraId="15A6204C">
                  <w:pPr>
                    <w:pStyle w:val="56"/>
                    <w:bidi w:val="0"/>
                    <w:rPr>
                      <w:rFonts w:hint="eastAsia" w:ascii="Times New Roman" w:hAnsi="Times New Roman" w:eastAsia="宋体" w:cs="Times New Roman"/>
                      <w:szCs w:val="21"/>
                      <w:lang w:eastAsia="zh-CN"/>
                    </w:rPr>
                  </w:pPr>
                  <w:r>
                    <w:rPr>
                      <w:rFonts w:hint="eastAsia"/>
                      <w:lang w:eastAsia="zh-CN"/>
                    </w:rPr>
                    <w:t>2</w:t>
                  </w:r>
                </w:p>
              </w:tc>
              <w:tc>
                <w:tcPr>
                  <w:tcW w:w="436" w:type="pct"/>
                  <w:vMerge w:val="continue"/>
                  <w:tcBorders>
                    <w:left w:val="single" w:color="auto" w:sz="6" w:space="0"/>
                    <w:right w:val="single" w:color="auto" w:sz="4" w:space="0"/>
                  </w:tcBorders>
                  <w:noWrap w:val="0"/>
                  <w:vAlign w:val="center"/>
                </w:tcPr>
                <w:p w14:paraId="57233D30">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宋体" w:cs="Times New Roman"/>
                      <w:sz w:val="21"/>
                      <w:szCs w:val="21"/>
                      <w:lang w:eastAsia="zh-CN"/>
                    </w:rPr>
                  </w:pPr>
                </w:p>
              </w:tc>
              <w:tc>
                <w:tcPr>
                  <w:tcW w:w="901" w:type="pct"/>
                  <w:tcBorders>
                    <w:top w:val="single" w:color="auto" w:sz="6" w:space="0"/>
                    <w:left w:val="single" w:color="auto" w:sz="4" w:space="0"/>
                    <w:bottom w:val="single" w:color="auto" w:sz="6" w:space="0"/>
                    <w:right w:val="single" w:color="auto" w:sz="6" w:space="0"/>
                  </w:tcBorders>
                  <w:noWrap w:val="0"/>
                  <w:vAlign w:val="center"/>
                </w:tcPr>
                <w:p w14:paraId="5802C563">
                  <w:pPr>
                    <w:pStyle w:val="56"/>
                    <w:bidi w:val="0"/>
                    <w:rPr>
                      <w:rFonts w:hint="default" w:ascii="Times New Roman" w:hAnsi="Times New Roman" w:eastAsia="宋体" w:cs="Times New Roman"/>
                      <w:szCs w:val="21"/>
                      <w:lang w:val="en-US" w:eastAsia="zh-CN"/>
                    </w:rPr>
                  </w:pPr>
                  <w:r>
                    <w:rPr>
                      <w:rFonts w:hint="eastAsia"/>
                      <w:lang w:val="en-US" w:eastAsia="zh-CN"/>
                    </w:rPr>
                    <w:t>机制砂</w:t>
                  </w:r>
                </w:p>
              </w:tc>
              <w:tc>
                <w:tcPr>
                  <w:tcW w:w="675" w:type="pct"/>
                  <w:tcBorders>
                    <w:top w:val="single" w:color="auto" w:sz="6" w:space="0"/>
                    <w:left w:val="single" w:color="auto" w:sz="6" w:space="0"/>
                    <w:bottom w:val="single" w:color="auto" w:sz="6" w:space="0"/>
                    <w:right w:val="single" w:color="auto" w:sz="6" w:space="0"/>
                  </w:tcBorders>
                  <w:noWrap w:val="0"/>
                  <w:vAlign w:val="center"/>
                </w:tcPr>
                <w:p w14:paraId="666AB305">
                  <w:pPr>
                    <w:pStyle w:val="56"/>
                    <w:bidi w:val="0"/>
                    <w:rPr>
                      <w:rFonts w:hint="default" w:ascii="Times New Roman" w:hAnsi="Times New Roman" w:eastAsia="宋体" w:cs="Times New Roman"/>
                      <w:szCs w:val="21"/>
                      <w:lang w:val="en-US" w:eastAsia="zh-CN"/>
                    </w:rPr>
                  </w:pPr>
                  <w:r>
                    <w:rPr>
                      <w:rFonts w:hint="eastAsia"/>
                      <w:lang w:val="en-US" w:eastAsia="zh-CN"/>
                    </w:rPr>
                    <w:t>3297</w:t>
                  </w:r>
                </w:p>
              </w:tc>
              <w:tc>
                <w:tcPr>
                  <w:tcW w:w="598" w:type="pct"/>
                  <w:tcBorders>
                    <w:top w:val="single" w:color="auto" w:sz="6" w:space="0"/>
                    <w:left w:val="single" w:color="auto" w:sz="6" w:space="0"/>
                    <w:bottom w:val="single" w:color="auto" w:sz="6" w:space="0"/>
                    <w:right w:val="single" w:color="auto" w:sz="4" w:space="0"/>
                  </w:tcBorders>
                  <w:noWrap w:val="0"/>
                  <w:vAlign w:val="center"/>
                </w:tcPr>
                <w:p w14:paraId="79DA7F33">
                  <w:pPr>
                    <w:pStyle w:val="56"/>
                    <w:bidi w:val="0"/>
                    <w:rPr>
                      <w:rFonts w:hint="eastAsia" w:ascii="Times New Roman" w:hAnsi="Times New Roman" w:eastAsia="宋体" w:cs="Times New Roman"/>
                      <w:szCs w:val="21"/>
                      <w:lang w:eastAsia="zh-CN"/>
                    </w:rPr>
                  </w:pPr>
                  <w:r>
                    <w:rPr>
                      <w:rFonts w:hint="eastAsia"/>
                      <w:lang w:eastAsia="zh-CN"/>
                    </w:rPr>
                    <w:t>/</w:t>
                  </w:r>
                </w:p>
              </w:tc>
              <w:tc>
                <w:tcPr>
                  <w:tcW w:w="1033" w:type="pct"/>
                  <w:tcBorders>
                    <w:top w:val="single" w:color="auto" w:sz="6" w:space="0"/>
                    <w:left w:val="single" w:color="auto" w:sz="4" w:space="0"/>
                    <w:bottom w:val="single" w:color="auto" w:sz="6" w:space="0"/>
                    <w:right w:val="single" w:color="auto" w:sz="4" w:space="0"/>
                  </w:tcBorders>
                  <w:noWrap w:val="0"/>
                  <w:vAlign w:val="top"/>
                </w:tcPr>
                <w:p w14:paraId="649B7C2E">
                  <w:pPr>
                    <w:pStyle w:val="56"/>
                    <w:bidi w:val="0"/>
                    <w:rPr>
                      <w:rFonts w:hint="default" w:ascii="Times New Roman" w:hAnsi="Times New Roman" w:eastAsia="宋体" w:cs="Times New Roman"/>
                      <w:color w:val="FF0000"/>
                      <w:szCs w:val="21"/>
                      <w:lang w:val="en-US" w:eastAsia="zh-CN"/>
                    </w:rPr>
                  </w:pPr>
                  <w:r>
                    <w:rPr>
                      <w:rFonts w:hint="eastAsia"/>
                      <w:color w:val="FF0000"/>
                      <w:lang w:eastAsia="zh-CN"/>
                    </w:rPr>
                    <w:t>封闭式库房堆存</w:t>
                  </w:r>
                  <w:r>
                    <w:rPr>
                      <w:rFonts w:hint="eastAsia"/>
                      <w:color w:val="FF0000"/>
                      <w:lang w:val="en-US" w:eastAsia="zh-CN"/>
                    </w:rPr>
                    <w:t>120t</w:t>
                  </w:r>
                </w:p>
              </w:tc>
              <w:tc>
                <w:tcPr>
                  <w:tcW w:w="1033" w:type="pct"/>
                  <w:tcBorders>
                    <w:top w:val="single" w:color="auto" w:sz="6" w:space="0"/>
                    <w:left w:val="single" w:color="auto" w:sz="4" w:space="0"/>
                    <w:bottom w:val="single" w:color="auto" w:sz="6" w:space="0"/>
                    <w:right w:val="single" w:color="auto" w:sz="4" w:space="0"/>
                  </w:tcBorders>
                  <w:noWrap w:val="0"/>
                  <w:vAlign w:val="top"/>
                </w:tcPr>
                <w:p w14:paraId="0A1ED3EE">
                  <w:pPr>
                    <w:pStyle w:val="56"/>
                    <w:bidi w:val="0"/>
                    <w:rPr>
                      <w:rFonts w:hint="default"/>
                      <w:color w:val="FF0000"/>
                      <w:lang w:val="en-US" w:eastAsia="zh-CN"/>
                    </w:rPr>
                  </w:pPr>
                  <w:r>
                    <w:rPr>
                      <w:rFonts w:hint="eastAsia"/>
                      <w:color w:val="FF0000"/>
                      <w:lang w:val="en-US" w:eastAsia="zh-CN"/>
                    </w:rPr>
                    <w:t>符合</w:t>
                  </w:r>
                  <w:r>
                    <w:rPr>
                      <w:rFonts w:hint="eastAsia"/>
                      <w:color w:val="FF0000"/>
                      <w:lang w:eastAsia="zh-CN"/>
                    </w:rPr>
                    <w:t>GB/T 14684-2022《建设用砂》</w:t>
                  </w:r>
                  <w:r>
                    <w:rPr>
                      <w:rFonts w:hint="eastAsia"/>
                      <w:color w:val="FF0000"/>
                      <w:lang w:val="en-US" w:eastAsia="zh-CN"/>
                    </w:rPr>
                    <w:t>标准</w:t>
                  </w:r>
                </w:p>
              </w:tc>
            </w:tr>
            <w:tr w14:paraId="78EADB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9" w:hRule="atLeast"/>
                <w:tblHeader/>
                <w:jc w:val="center"/>
              </w:trPr>
              <w:tc>
                <w:tcPr>
                  <w:tcW w:w="320" w:type="pct"/>
                  <w:tcBorders>
                    <w:top w:val="single" w:color="auto" w:sz="6" w:space="0"/>
                    <w:left w:val="single" w:color="auto" w:sz="6" w:space="0"/>
                    <w:bottom w:val="single" w:color="auto" w:sz="6" w:space="0"/>
                    <w:right w:val="single" w:color="auto" w:sz="6" w:space="0"/>
                  </w:tcBorders>
                  <w:noWrap w:val="0"/>
                  <w:vAlign w:val="center"/>
                </w:tcPr>
                <w:p w14:paraId="2ADB0616">
                  <w:pPr>
                    <w:pStyle w:val="56"/>
                    <w:bidi w:val="0"/>
                    <w:rPr>
                      <w:rFonts w:hint="eastAsia" w:ascii="Times New Roman" w:hAnsi="Times New Roman" w:eastAsia="宋体" w:cs="Times New Roman"/>
                      <w:szCs w:val="21"/>
                      <w:lang w:eastAsia="zh-CN"/>
                    </w:rPr>
                  </w:pPr>
                  <w:r>
                    <w:rPr>
                      <w:rFonts w:hint="eastAsia"/>
                      <w:lang w:val="en-US" w:eastAsia="zh-CN"/>
                    </w:rPr>
                    <w:t>3</w:t>
                  </w:r>
                </w:p>
              </w:tc>
              <w:tc>
                <w:tcPr>
                  <w:tcW w:w="436" w:type="pct"/>
                  <w:vMerge w:val="continue"/>
                  <w:tcBorders>
                    <w:left w:val="single" w:color="auto" w:sz="6" w:space="0"/>
                    <w:right w:val="single" w:color="auto" w:sz="4" w:space="0"/>
                  </w:tcBorders>
                  <w:noWrap w:val="0"/>
                  <w:vAlign w:val="center"/>
                </w:tcPr>
                <w:p w14:paraId="112C82A7">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宋体" w:cs="Times New Roman"/>
                      <w:sz w:val="21"/>
                      <w:szCs w:val="21"/>
                      <w:lang w:eastAsia="zh-CN"/>
                    </w:rPr>
                  </w:pPr>
                </w:p>
              </w:tc>
              <w:tc>
                <w:tcPr>
                  <w:tcW w:w="901" w:type="pct"/>
                  <w:tcBorders>
                    <w:top w:val="single" w:color="auto" w:sz="6" w:space="0"/>
                    <w:left w:val="single" w:color="auto" w:sz="4" w:space="0"/>
                    <w:bottom w:val="single" w:color="auto" w:sz="6" w:space="0"/>
                    <w:right w:val="single" w:color="auto" w:sz="6" w:space="0"/>
                  </w:tcBorders>
                  <w:noWrap w:val="0"/>
                  <w:vAlign w:val="center"/>
                </w:tcPr>
                <w:p w14:paraId="6F1CBBD8">
                  <w:pPr>
                    <w:pStyle w:val="56"/>
                    <w:bidi w:val="0"/>
                    <w:rPr>
                      <w:rFonts w:hint="default" w:ascii="Times New Roman" w:hAnsi="Times New Roman" w:eastAsia="宋体" w:cs="Times New Roman"/>
                      <w:szCs w:val="21"/>
                      <w:lang w:val="en-US" w:eastAsia="zh-CN"/>
                    </w:rPr>
                  </w:pPr>
                  <w:r>
                    <w:rPr>
                      <w:rFonts w:hint="eastAsia"/>
                      <w:lang w:val="en-US" w:eastAsia="zh-CN"/>
                    </w:rPr>
                    <w:t>碎石</w:t>
                  </w:r>
                </w:p>
              </w:tc>
              <w:tc>
                <w:tcPr>
                  <w:tcW w:w="675" w:type="pct"/>
                  <w:tcBorders>
                    <w:top w:val="single" w:color="auto" w:sz="6" w:space="0"/>
                    <w:left w:val="single" w:color="auto" w:sz="6" w:space="0"/>
                    <w:bottom w:val="single" w:color="auto" w:sz="6" w:space="0"/>
                    <w:right w:val="single" w:color="auto" w:sz="6" w:space="0"/>
                  </w:tcBorders>
                  <w:noWrap w:val="0"/>
                  <w:vAlign w:val="center"/>
                </w:tcPr>
                <w:p w14:paraId="1D57EE6C">
                  <w:pPr>
                    <w:pStyle w:val="56"/>
                    <w:bidi w:val="0"/>
                    <w:rPr>
                      <w:rFonts w:hint="default" w:ascii="Times New Roman" w:hAnsi="Times New Roman" w:eastAsia="宋体" w:cs="Times New Roman"/>
                      <w:szCs w:val="21"/>
                      <w:lang w:val="en-US" w:eastAsia="zh-CN"/>
                    </w:rPr>
                  </w:pPr>
                  <w:r>
                    <w:rPr>
                      <w:rFonts w:hint="eastAsia"/>
                      <w:lang w:val="en-US" w:eastAsia="zh-CN"/>
                    </w:rPr>
                    <w:t>7360</w:t>
                  </w:r>
                </w:p>
              </w:tc>
              <w:tc>
                <w:tcPr>
                  <w:tcW w:w="598" w:type="pct"/>
                  <w:tcBorders>
                    <w:top w:val="single" w:color="auto" w:sz="6" w:space="0"/>
                    <w:left w:val="single" w:color="auto" w:sz="6" w:space="0"/>
                    <w:bottom w:val="single" w:color="auto" w:sz="6" w:space="0"/>
                    <w:right w:val="single" w:color="auto" w:sz="4" w:space="0"/>
                  </w:tcBorders>
                  <w:noWrap w:val="0"/>
                  <w:vAlign w:val="center"/>
                </w:tcPr>
                <w:p w14:paraId="5349F485">
                  <w:pPr>
                    <w:pStyle w:val="56"/>
                    <w:bidi w:val="0"/>
                    <w:rPr>
                      <w:rFonts w:hint="eastAsia" w:ascii="Times New Roman" w:hAnsi="Times New Roman" w:eastAsia="宋体" w:cs="Times New Roman"/>
                      <w:szCs w:val="21"/>
                      <w:lang w:eastAsia="zh-CN"/>
                    </w:rPr>
                  </w:pPr>
                  <w:r>
                    <w:rPr>
                      <w:rFonts w:hint="eastAsia"/>
                      <w:lang w:eastAsia="zh-CN"/>
                    </w:rPr>
                    <w:t>/</w:t>
                  </w:r>
                </w:p>
              </w:tc>
              <w:tc>
                <w:tcPr>
                  <w:tcW w:w="1033" w:type="pct"/>
                  <w:tcBorders>
                    <w:top w:val="single" w:color="auto" w:sz="6" w:space="0"/>
                    <w:left w:val="single" w:color="auto" w:sz="4" w:space="0"/>
                    <w:bottom w:val="single" w:color="auto" w:sz="6" w:space="0"/>
                    <w:right w:val="single" w:color="auto" w:sz="4" w:space="0"/>
                  </w:tcBorders>
                  <w:noWrap w:val="0"/>
                  <w:vAlign w:val="top"/>
                </w:tcPr>
                <w:p w14:paraId="2D4D367C">
                  <w:pPr>
                    <w:pStyle w:val="56"/>
                    <w:bidi w:val="0"/>
                    <w:rPr>
                      <w:rFonts w:hint="default" w:ascii="Times New Roman" w:hAnsi="Times New Roman" w:eastAsia="宋体" w:cs="Times New Roman"/>
                      <w:color w:val="FF0000"/>
                      <w:szCs w:val="21"/>
                      <w:lang w:val="en-US" w:eastAsia="zh-CN"/>
                    </w:rPr>
                  </w:pPr>
                  <w:r>
                    <w:rPr>
                      <w:rFonts w:hint="eastAsia"/>
                      <w:color w:val="FF0000"/>
                      <w:lang w:eastAsia="zh-CN"/>
                    </w:rPr>
                    <w:t>封闭式库房堆存</w:t>
                  </w:r>
                  <w:r>
                    <w:rPr>
                      <w:rFonts w:hint="eastAsia"/>
                      <w:color w:val="FF0000"/>
                      <w:lang w:val="en-US" w:eastAsia="zh-CN"/>
                    </w:rPr>
                    <w:t>250t</w:t>
                  </w:r>
                </w:p>
              </w:tc>
              <w:tc>
                <w:tcPr>
                  <w:tcW w:w="1730" w:type="dxa"/>
                  <w:tcBorders>
                    <w:top w:val="single" w:color="auto" w:sz="6" w:space="0"/>
                    <w:left w:val="single" w:color="auto" w:sz="4" w:space="0"/>
                    <w:bottom w:val="single" w:color="auto" w:sz="6" w:space="0"/>
                    <w:right w:val="single" w:color="auto" w:sz="4" w:space="0"/>
                  </w:tcBorders>
                  <w:noWrap w:val="0"/>
                  <w:vAlign w:val="center"/>
                </w:tcPr>
                <w:p w14:paraId="12919046">
                  <w:pPr>
                    <w:pStyle w:val="56"/>
                    <w:bidi w:val="0"/>
                    <w:ind w:firstLine="0" w:firstLineChars="0"/>
                    <w:rPr>
                      <w:rFonts w:hint="eastAsia"/>
                      <w:lang w:eastAsia="zh-CN"/>
                    </w:rPr>
                  </w:pPr>
                  <w:r>
                    <w:rPr>
                      <w:rFonts w:hint="eastAsia"/>
                      <w:lang w:eastAsia="zh-CN"/>
                    </w:rPr>
                    <w:t>/</w:t>
                  </w:r>
                </w:p>
              </w:tc>
            </w:tr>
            <w:tr w14:paraId="1082C0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9" w:hRule="atLeast"/>
                <w:tblHeader/>
                <w:jc w:val="center"/>
              </w:trPr>
              <w:tc>
                <w:tcPr>
                  <w:tcW w:w="320" w:type="pct"/>
                  <w:tcBorders>
                    <w:top w:val="single" w:color="auto" w:sz="6" w:space="0"/>
                    <w:left w:val="single" w:color="auto" w:sz="6" w:space="0"/>
                    <w:bottom w:val="single" w:color="auto" w:sz="6" w:space="0"/>
                    <w:right w:val="single" w:color="auto" w:sz="6" w:space="0"/>
                  </w:tcBorders>
                  <w:noWrap w:val="0"/>
                  <w:vAlign w:val="center"/>
                </w:tcPr>
                <w:p w14:paraId="2A04E3EF">
                  <w:pPr>
                    <w:pStyle w:val="56"/>
                    <w:bidi w:val="0"/>
                    <w:rPr>
                      <w:rFonts w:hint="eastAsia" w:ascii="Times New Roman" w:hAnsi="Times New Roman" w:eastAsia="宋体" w:cs="Times New Roman"/>
                      <w:szCs w:val="21"/>
                      <w:lang w:eastAsia="zh-CN"/>
                    </w:rPr>
                  </w:pPr>
                  <w:r>
                    <w:rPr>
                      <w:rFonts w:hint="eastAsia"/>
                      <w:lang w:val="en-US" w:eastAsia="zh-CN"/>
                    </w:rPr>
                    <w:t>4</w:t>
                  </w:r>
                </w:p>
              </w:tc>
              <w:tc>
                <w:tcPr>
                  <w:tcW w:w="436" w:type="pct"/>
                  <w:vMerge w:val="continue"/>
                  <w:tcBorders>
                    <w:left w:val="single" w:color="auto" w:sz="6" w:space="0"/>
                    <w:right w:val="single" w:color="auto" w:sz="4" w:space="0"/>
                  </w:tcBorders>
                  <w:noWrap w:val="0"/>
                  <w:vAlign w:val="center"/>
                </w:tcPr>
                <w:p w14:paraId="15C3D188">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宋体" w:cs="Times New Roman"/>
                      <w:sz w:val="21"/>
                      <w:szCs w:val="21"/>
                      <w:lang w:eastAsia="zh-CN"/>
                    </w:rPr>
                  </w:pPr>
                </w:p>
              </w:tc>
              <w:tc>
                <w:tcPr>
                  <w:tcW w:w="901" w:type="pct"/>
                  <w:tcBorders>
                    <w:top w:val="single" w:color="auto" w:sz="6" w:space="0"/>
                    <w:left w:val="single" w:color="auto" w:sz="4" w:space="0"/>
                    <w:bottom w:val="single" w:color="auto" w:sz="6" w:space="0"/>
                    <w:right w:val="single" w:color="auto" w:sz="6" w:space="0"/>
                  </w:tcBorders>
                  <w:noWrap w:val="0"/>
                  <w:vAlign w:val="center"/>
                </w:tcPr>
                <w:p w14:paraId="40CCBBC8">
                  <w:pPr>
                    <w:pStyle w:val="56"/>
                    <w:bidi w:val="0"/>
                    <w:rPr>
                      <w:rFonts w:hint="default" w:ascii="Times New Roman" w:hAnsi="Times New Roman" w:eastAsia="宋体" w:cs="Times New Roman"/>
                      <w:szCs w:val="21"/>
                      <w:lang w:val="en-US" w:eastAsia="zh-CN"/>
                    </w:rPr>
                  </w:pPr>
                  <w:r>
                    <w:rPr>
                      <w:rFonts w:hint="eastAsia"/>
                      <w:lang w:val="en-US" w:eastAsia="zh-CN"/>
                    </w:rPr>
                    <w:t>混凝土减水剂</w:t>
                  </w:r>
                </w:p>
              </w:tc>
              <w:tc>
                <w:tcPr>
                  <w:tcW w:w="675" w:type="pct"/>
                  <w:tcBorders>
                    <w:top w:val="single" w:color="auto" w:sz="6" w:space="0"/>
                    <w:left w:val="single" w:color="auto" w:sz="6" w:space="0"/>
                    <w:bottom w:val="single" w:color="auto" w:sz="6" w:space="0"/>
                    <w:right w:val="single" w:color="auto" w:sz="6" w:space="0"/>
                  </w:tcBorders>
                  <w:noWrap w:val="0"/>
                  <w:vAlign w:val="center"/>
                </w:tcPr>
                <w:p w14:paraId="2C856EC4">
                  <w:pPr>
                    <w:pStyle w:val="56"/>
                    <w:bidi w:val="0"/>
                    <w:rPr>
                      <w:rFonts w:hint="eastAsia" w:ascii="Times New Roman" w:hAnsi="Times New Roman" w:eastAsia="宋体" w:cs="Times New Roman"/>
                      <w:szCs w:val="21"/>
                      <w:lang w:eastAsia="zh-CN"/>
                    </w:rPr>
                  </w:pPr>
                  <w:r>
                    <w:rPr>
                      <w:rFonts w:hint="eastAsia"/>
                      <w:lang w:eastAsia="zh-CN"/>
                    </w:rPr>
                    <w:t>2</w:t>
                  </w:r>
                </w:p>
              </w:tc>
              <w:tc>
                <w:tcPr>
                  <w:tcW w:w="598" w:type="pct"/>
                  <w:tcBorders>
                    <w:top w:val="single" w:color="auto" w:sz="6" w:space="0"/>
                    <w:left w:val="single" w:color="auto" w:sz="6" w:space="0"/>
                    <w:bottom w:val="single" w:color="auto" w:sz="6" w:space="0"/>
                    <w:right w:val="single" w:color="auto" w:sz="4" w:space="0"/>
                  </w:tcBorders>
                  <w:noWrap w:val="0"/>
                  <w:vAlign w:val="center"/>
                </w:tcPr>
                <w:p w14:paraId="3746219E">
                  <w:pPr>
                    <w:pStyle w:val="56"/>
                    <w:bidi w:val="0"/>
                    <w:rPr>
                      <w:rFonts w:hint="eastAsia" w:ascii="Times New Roman" w:hAnsi="Times New Roman" w:eastAsia="宋体" w:cs="Times New Roman"/>
                      <w:szCs w:val="21"/>
                      <w:lang w:eastAsia="zh-CN"/>
                    </w:rPr>
                  </w:pPr>
                  <w:r>
                    <w:rPr>
                      <w:rFonts w:hint="eastAsia"/>
                      <w:lang w:eastAsia="zh-CN"/>
                    </w:rPr>
                    <w:t>塑料袋装</w:t>
                  </w:r>
                </w:p>
              </w:tc>
              <w:tc>
                <w:tcPr>
                  <w:tcW w:w="1033" w:type="pct"/>
                  <w:tcBorders>
                    <w:top w:val="single" w:color="auto" w:sz="6" w:space="0"/>
                    <w:left w:val="single" w:color="auto" w:sz="4" w:space="0"/>
                    <w:bottom w:val="single" w:color="auto" w:sz="6" w:space="0"/>
                    <w:right w:val="single" w:color="auto" w:sz="4" w:space="0"/>
                  </w:tcBorders>
                  <w:noWrap w:val="0"/>
                  <w:vAlign w:val="center"/>
                </w:tcPr>
                <w:p w14:paraId="18B8AFD0">
                  <w:pPr>
                    <w:pStyle w:val="56"/>
                    <w:bidi w:val="0"/>
                    <w:rPr>
                      <w:rFonts w:hint="default" w:ascii="Times New Roman" w:hAnsi="Times New Roman" w:eastAsia="宋体" w:cs="Times New Roman"/>
                      <w:color w:val="FF0000"/>
                      <w:szCs w:val="21"/>
                      <w:lang w:val="en-US" w:eastAsia="zh-CN"/>
                    </w:rPr>
                  </w:pPr>
                  <w:r>
                    <w:rPr>
                      <w:rFonts w:hint="eastAsia"/>
                      <w:color w:val="FF0000"/>
                      <w:lang w:eastAsia="zh-CN"/>
                    </w:rPr>
                    <w:t>库房</w:t>
                  </w:r>
                  <w:r>
                    <w:rPr>
                      <w:rFonts w:hint="eastAsia"/>
                      <w:color w:val="FF0000"/>
                      <w:lang w:val="en-US" w:eastAsia="zh-CN"/>
                    </w:rPr>
                    <w:t>堆存0.2t</w:t>
                  </w:r>
                </w:p>
              </w:tc>
              <w:tc>
                <w:tcPr>
                  <w:tcW w:w="1730" w:type="dxa"/>
                  <w:tcBorders>
                    <w:top w:val="single" w:color="auto" w:sz="6" w:space="0"/>
                    <w:left w:val="single" w:color="auto" w:sz="4" w:space="0"/>
                    <w:bottom w:val="single" w:color="auto" w:sz="6" w:space="0"/>
                    <w:right w:val="single" w:color="auto" w:sz="4" w:space="0"/>
                  </w:tcBorders>
                  <w:noWrap w:val="0"/>
                  <w:vAlign w:val="center"/>
                </w:tcPr>
                <w:p w14:paraId="063F2A4D">
                  <w:pPr>
                    <w:pStyle w:val="56"/>
                    <w:bidi w:val="0"/>
                    <w:ind w:firstLine="0" w:firstLineChars="0"/>
                    <w:rPr>
                      <w:rFonts w:hint="eastAsia"/>
                      <w:lang w:eastAsia="zh-CN"/>
                    </w:rPr>
                  </w:pPr>
                  <w:r>
                    <w:rPr>
                      <w:rFonts w:hint="eastAsia"/>
                      <w:lang w:eastAsia="zh-CN"/>
                    </w:rPr>
                    <w:t>/</w:t>
                  </w:r>
                </w:p>
              </w:tc>
            </w:tr>
            <w:tr w14:paraId="704B88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9" w:hRule="atLeast"/>
                <w:tblHeader/>
                <w:jc w:val="center"/>
              </w:trPr>
              <w:tc>
                <w:tcPr>
                  <w:tcW w:w="320" w:type="pct"/>
                  <w:tcBorders>
                    <w:top w:val="single" w:color="auto" w:sz="6" w:space="0"/>
                    <w:left w:val="single" w:color="auto" w:sz="6" w:space="0"/>
                    <w:bottom w:val="single" w:color="auto" w:sz="6" w:space="0"/>
                    <w:right w:val="single" w:color="auto" w:sz="6" w:space="0"/>
                  </w:tcBorders>
                  <w:noWrap w:val="0"/>
                  <w:vAlign w:val="center"/>
                </w:tcPr>
                <w:p w14:paraId="0B1A475E">
                  <w:pPr>
                    <w:pStyle w:val="56"/>
                    <w:bidi w:val="0"/>
                    <w:rPr>
                      <w:rFonts w:hint="default" w:cs="Times New Roman"/>
                      <w:szCs w:val="21"/>
                      <w:lang w:val="en-US" w:eastAsia="zh-CN"/>
                    </w:rPr>
                  </w:pPr>
                  <w:r>
                    <w:rPr>
                      <w:rFonts w:hint="eastAsia"/>
                      <w:lang w:val="en-US" w:eastAsia="zh-CN"/>
                    </w:rPr>
                    <w:t>5</w:t>
                  </w:r>
                </w:p>
              </w:tc>
              <w:tc>
                <w:tcPr>
                  <w:tcW w:w="436" w:type="pct"/>
                  <w:vMerge w:val="continue"/>
                  <w:tcBorders>
                    <w:left w:val="single" w:color="auto" w:sz="6" w:space="0"/>
                    <w:right w:val="single" w:color="auto" w:sz="4" w:space="0"/>
                  </w:tcBorders>
                  <w:noWrap w:val="0"/>
                  <w:vAlign w:val="center"/>
                </w:tcPr>
                <w:p w14:paraId="76603795">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宋体" w:cs="Times New Roman"/>
                      <w:sz w:val="21"/>
                      <w:szCs w:val="21"/>
                      <w:lang w:eastAsia="zh-CN"/>
                    </w:rPr>
                  </w:pPr>
                </w:p>
              </w:tc>
              <w:tc>
                <w:tcPr>
                  <w:tcW w:w="901" w:type="pct"/>
                  <w:tcBorders>
                    <w:top w:val="single" w:color="auto" w:sz="6" w:space="0"/>
                    <w:left w:val="single" w:color="auto" w:sz="4" w:space="0"/>
                    <w:bottom w:val="single" w:color="auto" w:sz="6" w:space="0"/>
                    <w:right w:val="single" w:color="auto" w:sz="6" w:space="0"/>
                  </w:tcBorders>
                  <w:noWrap w:val="0"/>
                  <w:vAlign w:val="center"/>
                </w:tcPr>
                <w:p w14:paraId="5A341FBC">
                  <w:pPr>
                    <w:pStyle w:val="56"/>
                    <w:bidi w:val="0"/>
                    <w:jc w:val="left"/>
                    <w:rPr>
                      <w:rFonts w:hint="default" w:cs="Times New Roman"/>
                      <w:szCs w:val="21"/>
                      <w:lang w:val="en-US" w:eastAsia="zh-CN"/>
                    </w:rPr>
                  </w:pPr>
                  <w:r>
                    <w:rPr>
                      <w:rFonts w:hint="eastAsia"/>
                      <w:lang w:val="en-US" w:eastAsia="zh-CN"/>
                    </w:rPr>
                    <w:t>混凝土脱模剂</w:t>
                  </w:r>
                  <w:r>
                    <w:rPr>
                      <w:rFonts w:hint="eastAsia"/>
                    </w:rPr>
                    <w:t>（硬脂酸钙）</w:t>
                  </w:r>
                </w:p>
              </w:tc>
              <w:tc>
                <w:tcPr>
                  <w:tcW w:w="675" w:type="pct"/>
                  <w:tcBorders>
                    <w:top w:val="single" w:color="auto" w:sz="6" w:space="0"/>
                    <w:left w:val="single" w:color="auto" w:sz="6" w:space="0"/>
                    <w:bottom w:val="single" w:color="auto" w:sz="6" w:space="0"/>
                    <w:right w:val="single" w:color="auto" w:sz="6" w:space="0"/>
                  </w:tcBorders>
                  <w:noWrap w:val="0"/>
                  <w:vAlign w:val="center"/>
                </w:tcPr>
                <w:p w14:paraId="5C492C19">
                  <w:pPr>
                    <w:pStyle w:val="56"/>
                    <w:bidi w:val="0"/>
                    <w:rPr>
                      <w:rFonts w:hint="default" w:ascii="Times New Roman" w:hAnsi="Times New Roman" w:eastAsia="宋体" w:cs="Times New Roman"/>
                      <w:szCs w:val="21"/>
                      <w:lang w:val="en-US" w:eastAsia="zh-CN"/>
                    </w:rPr>
                  </w:pPr>
                  <w:r>
                    <w:rPr>
                      <w:rFonts w:hint="eastAsia"/>
                      <w:lang w:val="en-US" w:eastAsia="zh-CN"/>
                    </w:rPr>
                    <w:t>2</w:t>
                  </w:r>
                </w:p>
              </w:tc>
              <w:tc>
                <w:tcPr>
                  <w:tcW w:w="598" w:type="pct"/>
                  <w:tcBorders>
                    <w:top w:val="single" w:color="auto" w:sz="6" w:space="0"/>
                    <w:left w:val="single" w:color="auto" w:sz="6" w:space="0"/>
                    <w:bottom w:val="single" w:color="auto" w:sz="6" w:space="0"/>
                    <w:right w:val="single" w:color="auto" w:sz="4" w:space="0"/>
                  </w:tcBorders>
                  <w:noWrap w:val="0"/>
                  <w:vAlign w:val="center"/>
                </w:tcPr>
                <w:p w14:paraId="208C73F4">
                  <w:pPr>
                    <w:pStyle w:val="56"/>
                    <w:bidi w:val="0"/>
                    <w:rPr>
                      <w:rFonts w:hint="eastAsia" w:ascii="Times New Roman" w:hAnsi="Times New Roman" w:eastAsia="宋体" w:cs="Times New Roman"/>
                      <w:szCs w:val="21"/>
                      <w:lang w:eastAsia="zh-CN"/>
                    </w:rPr>
                  </w:pPr>
                  <w:r>
                    <w:rPr>
                      <w:rFonts w:hint="eastAsia"/>
                      <w:lang w:eastAsia="zh-CN"/>
                    </w:rPr>
                    <w:t>塑料袋装</w:t>
                  </w:r>
                </w:p>
              </w:tc>
              <w:tc>
                <w:tcPr>
                  <w:tcW w:w="1033" w:type="pct"/>
                  <w:tcBorders>
                    <w:top w:val="single" w:color="auto" w:sz="6" w:space="0"/>
                    <w:left w:val="single" w:color="auto" w:sz="4" w:space="0"/>
                    <w:bottom w:val="single" w:color="auto" w:sz="6" w:space="0"/>
                    <w:right w:val="single" w:color="auto" w:sz="4" w:space="0"/>
                  </w:tcBorders>
                  <w:noWrap w:val="0"/>
                  <w:vAlign w:val="center"/>
                </w:tcPr>
                <w:p w14:paraId="070E0176">
                  <w:pPr>
                    <w:pStyle w:val="56"/>
                    <w:bidi w:val="0"/>
                    <w:rPr>
                      <w:rFonts w:hint="default" w:ascii="Times New Roman" w:hAnsi="Times New Roman" w:eastAsia="宋体" w:cs="Times New Roman"/>
                      <w:color w:val="FF0000"/>
                      <w:szCs w:val="21"/>
                      <w:lang w:val="en-US" w:eastAsia="zh-CN"/>
                    </w:rPr>
                  </w:pPr>
                  <w:r>
                    <w:rPr>
                      <w:rFonts w:hint="eastAsia"/>
                      <w:color w:val="FF0000"/>
                      <w:lang w:eastAsia="zh-CN"/>
                    </w:rPr>
                    <w:t>库房</w:t>
                  </w:r>
                  <w:r>
                    <w:rPr>
                      <w:rFonts w:hint="eastAsia"/>
                      <w:color w:val="FF0000"/>
                      <w:lang w:val="en-US" w:eastAsia="zh-CN"/>
                    </w:rPr>
                    <w:t>堆存0.2t</w:t>
                  </w:r>
                </w:p>
              </w:tc>
              <w:tc>
                <w:tcPr>
                  <w:tcW w:w="1730" w:type="dxa"/>
                  <w:tcBorders>
                    <w:top w:val="single" w:color="auto" w:sz="6" w:space="0"/>
                    <w:left w:val="single" w:color="auto" w:sz="4" w:space="0"/>
                    <w:bottom w:val="single" w:color="auto" w:sz="6" w:space="0"/>
                    <w:right w:val="single" w:color="auto" w:sz="4" w:space="0"/>
                  </w:tcBorders>
                  <w:noWrap w:val="0"/>
                  <w:vAlign w:val="center"/>
                </w:tcPr>
                <w:p w14:paraId="7B5E8612">
                  <w:pPr>
                    <w:pStyle w:val="56"/>
                    <w:bidi w:val="0"/>
                    <w:ind w:firstLine="0" w:firstLineChars="0"/>
                    <w:rPr>
                      <w:rFonts w:hint="eastAsia"/>
                      <w:lang w:eastAsia="zh-CN"/>
                    </w:rPr>
                  </w:pPr>
                  <w:r>
                    <w:rPr>
                      <w:rFonts w:hint="eastAsia"/>
                      <w:lang w:eastAsia="zh-CN"/>
                    </w:rPr>
                    <w:t>/</w:t>
                  </w:r>
                </w:p>
              </w:tc>
            </w:tr>
            <w:tr w14:paraId="1DF2D8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1" w:hRule="atLeast"/>
                <w:tblHeader/>
                <w:jc w:val="center"/>
              </w:trPr>
              <w:tc>
                <w:tcPr>
                  <w:tcW w:w="320" w:type="pct"/>
                  <w:tcBorders>
                    <w:top w:val="single" w:color="auto" w:sz="6" w:space="0"/>
                    <w:left w:val="single" w:color="auto" w:sz="6" w:space="0"/>
                    <w:bottom w:val="single" w:color="auto" w:sz="6" w:space="0"/>
                    <w:right w:val="single" w:color="auto" w:sz="6" w:space="0"/>
                  </w:tcBorders>
                  <w:noWrap w:val="0"/>
                  <w:vAlign w:val="center"/>
                </w:tcPr>
                <w:p w14:paraId="6722BE88">
                  <w:pPr>
                    <w:pStyle w:val="56"/>
                    <w:bidi w:val="0"/>
                    <w:rPr>
                      <w:rFonts w:hint="eastAsia" w:ascii="Times New Roman" w:hAnsi="Times New Roman" w:eastAsia="宋体" w:cs="Times New Roman"/>
                      <w:szCs w:val="21"/>
                      <w:lang w:eastAsia="zh-CN"/>
                    </w:rPr>
                  </w:pPr>
                  <w:r>
                    <w:rPr>
                      <w:rFonts w:hint="eastAsia"/>
                      <w:lang w:val="en-US" w:eastAsia="zh-CN"/>
                    </w:rPr>
                    <w:t>6</w:t>
                  </w:r>
                </w:p>
              </w:tc>
              <w:tc>
                <w:tcPr>
                  <w:tcW w:w="436" w:type="pct"/>
                  <w:vMerge w:val="continue"/>
                  <w:tcBorders>
                    <w:left w:val="single" w:color="auto" w:sz="6" w:space="0"/>
                    <w:right w:val="single" w:color="auto" w:sz="4" w:space="0"/>
                  </w:tcBorders>
                  <w:noWrap w:val="0"/>
                  <w:vAlign w:val="center"/>
                </w:tcPr>
                <w:p w14:paraId="6B4F489D">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宋体" w:cs="Times New Roman"/>
                      <w:sz w:val="21"/>
                      <w:szCs w:val="21"/>
                      <w:lang w:eastAsia="zh-CN"/>
                    </w:rPr>
                  </w:pPr>
                </w:p>
              </w:tc>
              <w:tc>
                <w:tcPr>
                  <w:tcW w:w="901" w:type="pct"/>
                  <w:tcBorders>
                    <w:top w:val="single" w:color="auto" w:sz="6" w:space="0"/>
                    <w:left w:val="single" w:color="auto" w:sz="4" w:space="0"/>
                    <w:bottom w:val="single" w:color="auto" w:sz="6" w:space="0"/>
                    <w:right w:val="single" w:color="auto" w:sz="6" w:space="0"/>
                  </w:tcBorders>
                  <w:noWrap w:val="0"/>
                  <w:vAlign w:val="center"/>
                </w:tcPr>
                <w:p w14:paraId="381B2360">
                  <w:pPr>
                    <w:pStyle w:val="56"/>
                    <w:bidi w:val="0"/>
                    <w:rPr>
                      <w:rFonts w:hint="eastAsia" w:ascii="Times New Roman" w:hAnsi="Times New Roman" w:eastAsia="宋体" w:cs="Times New Roman"/>
                      <w:szCs w:val="21"/>
                      <w:lang w:eastAsia="zh-CN"/>
                    </w:rPr>
                  </w:pPr>
                  <w:r>
                    <w:rPr>
                      <w:rFonts w:hint="eastAsia"/>
                      <w:lang w:eastAsia="zh-CN"/>
                    </w:rPr>
                    <w:t>钢筋</w:t>
                  </w:r>
                </w:p>
              </w:tc>
              <w:tc>
                <w:tcPr>
                  <w:tcW w:w="675" w:type="pct"/>
                  <w:tcBorders>
                    <w:top w:val="single" w:color="auto" w:sz="6" w:space="0"/>
                    <w:left w:val="single" w:color="auto" w:sz="6" w:space="0"/>
                    <w:bottom w:val="single" w:color="auto" w:sz="6" w:space="0"/>
                    <w:right w:val="single" w:color="auto" w:sz="6" w:space="0"/>
                  </w:tcBorders>
                  <w:noWrap w:val="0"/>
                  <w:vAlign w:val="center"/>
                </w:tcPr>
                <w:p w14:paraId="121431B4">
                  <w:pPr>
                    <w:pStyle w:val="56"/>
                    <w:bidi w:val="0"/>
                    <w:rPr>
                      <w:rFonts w:hint="default" w:ascii="Times New Roman" w:hAnsi="Times New Roman" w:eastAsia="宋体" w:cs="Times New Roman"/>
                      <w:szCs w:val="21"/>
                      <w:lang w:val="en-US" w:eastAsia="zh-CN"/>
                    </w:rPr>
                  </w:pPr>
                  <w:r>
                    <w:rPr>
                      <w:rFonts w:hint="eastAsia" w:cs="Times New Roman"/>
                      <w:color w:val="auto"/>
                      <w:sz w:val="21"/>
                      <w:lang w:val="en-US" w:eastAsia="zh-CN"/>
                    </w:rPr>
                    <w:t>约1419</w:t>
                  </w:r>
                </w:p>
              </w:tc>
              <w:tc>
                <w:tcPr>
                  <w:tcW w:w="598" w:type="pct"/>
                  <w:tcBorders>
                    <w:top w:val="single" w:color="auto" w:sz="6" w:space="0"/>
                    <w:left w:val="single" w:color="auto" w:sz="6" w:space="0"/>
                    <w:bottom w:val="single" w:color="auto" w:sz="6" w:space="0"/>
                    <w:right w:val="single" w:color="auto" w:sz="4" w:space="0"/>
                  </w:tcBorders>
                  <w:noWrap w:val="0"/>
                  <w:vAlign w:val="center"/>
                </w:tcPr>
                <w:p w14:paraId="18AD0D82">
                  <w:pPr>
                    <w:pStyle w:val="56"/>
                    <w:bidi w:val="0"/>
                    <w:rPr>
                      <w:rFonts w:hint="eastAsia" w:ascii="Times New Roman" w:hAnsi="Times New Roman" w:eastAsia="宋体" w:cs="Times New Roman"/>
                      <w:szCs w:val="21"/>
                      <w:lang w:eastAsia="zh-CN"/>
                    </w:rPr>
                  </w:pPr>
                  <w:r>
                    <w:rPr>
                      <w:rFonts w:hint="eastAsia"/>
                      <w:lang w:eastAsia="zh-CN"/>
                    </w:rPr>
                    <w:t>/</w:t>
                  </w:r>
                </w:p>
              </w:tc>
              <w:tc>
                <w:tcPr>
                  <w:tcW w:w="1033" w:type="pct"/>
                  <w:tcBorders>
                    <w:top w:val="single" w:color="auto" w:sz="6" w:space="0"/>
                    <w:left w:val="single" w:color="auto" w:sz="4" w:space="0"/>
                    <w:bottom w:val="single" w:color="auto" w:sz="6" w:space="0"/>
                    <w:right w:val="single" w:color="auto" w:sz="4" w:space="0"/>
                  </w:tcBorders>
                  <w:noWrap w:val="0"/>
                  <w:vAlign w:val="center"/>
                </w:tcPr>
                <w:p w14:paraId="07464F03">
                  <w:pPr>
                    <w:pStyle w:val="56"/>
                    <w:bidi w:val="0"/>
                    <w:rPr>
                      <w:rFonts w:hint="default" w:ascii="Times New Roman" w:hAnsi="Times New Roman" w:eastAsia="宋体" w:cs="Times New Roman"/>
                      <w:color w:val="FF0000"/>
                      <w:szCs w:val="21"/>
                      <w:lang w:val="en-US" w:eastAsia="zh-CN"/>
                    </w:rPr>
                  </w:pPr>
                  <w:r>
                    <w:rPr>
                      <w:rFonts w:hint="eastAsia"/>
                      <w:color w:val="FF0000"/>
                      <w:lang w:eastAsia="zh-CN"/>
                    </w:rPr>
                    <w:t>库房</w:t>
                  </w:r>
                  <w:r>
                    <w:rPr>
                      <w:rFonts w:hint="eastAsia"/>
                      <w:color w:val="FF0000"/>
                      <w:lang w:val="en-US" w:eastAsia="zh-CN"/>
                    </w:rPr>
                    <w:t>堆存100t</w:t>
                  </w:r>
                </w:p>
              </w:tc>
              <w:tc>
                <w:tcPr>
                  <w:tcW w:w="1730" w:type="dxa"/>
                  <w:tcBorders>
                    <w:top w:val="single" w:color="auto" w:sz="6" w:space="0"/>
                    <w:left w:val="single" w:color="auto" w:sz="4" w:space="0"/>
                    <w:bottom w:val="single" w:color="auto" w:sz="6" w:space="0"/>
                    <w:right w:val="single" w:color="auto" w:sz="4" w:space="0"/>
                  </w:tcBorders>
                  <w:noWrap w:val="0"/>
                  <w:vAlign w:val="center"/>
                </w:tcPr>
                <w:p w14:paraId="33585EFF">
                  <w:pPr>
                    <w:pStyle w:val="56"/>
                    <w:bidi w:val="0"/>
                    <w:ind w:firstLine="0" w:firstLineChars="0"/>
                    <w:rPr>
                      <w:rFonts w:hint="eastAsia"/>
                      <w:lang w:eastAsia="zh-CN"/>
                    </w:rPr>
                  </w:pPr>
                  <w:r>
                    <w:rPr>
                      <w:rFonts w:hint="eastAsia"/>
                      <w:lang w:eastAsia="zh-CN"/>
                    </w:rPr>
                    <w:t>/</w:t>
                  </w:r>
                </w:p>
              </w:tc>
            </w:tr>
            <w:tr w14:paraId="73C838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9" w:hRule="atLeast"/>
                <w:tblHeader/>
                <w:jc w:val="center"/>
              </w:trPr>
              <w:tc>
                <w:tcPr>
                  <w:tcW w:w="320" w:type="pct"/>
                  <w:tcBorders>
                    <w:top w:val="single" w:color="auto" w:sz="6" w:space="0"/>
                    <w:left w:val="single" w:color="auto" w:sz="6" w:space="0"/>
                    <w:bottom w:val="single" w:color="auto" w:sz="6" w:space="0"/>
                    <w:right w:val="single" w:color="auto" w:sz="6" w:space="0"/>
                  </w:tcBorders>
                  <w:noWrap w:val="0"/>
                  <w:vAlign w:val="center"/>
                </w:tcPr>
                <w:p w14:paraId="4E5571C4">
                  <w:pPr>
                    <w:pStyle w:val="56"/>
                    <w:bidi w:val="0"/>
                    <w:rPr>
                      <w:rFonts w:hint="default" w:cs="Times New Roman"/>
                      <w:szCs w:val="21"/>
                      <w:lang w:val="en-US" w:eastAsia="zh-CN"/>
                    </w:rPr>
                  </w:pPr>
                  <w:r>
                    <w:rPr>
                      <w:rFonts w:hint="eastAsia"/>
                      <w:lang w:val="en-US" w:eastAsia="zh-CN"/>
                    </w:rPr>
                    <w:t>7</w:t>
                  </w:r>
                </w:p>
              </w:tc>
              <w:tc>
                <w:tcPr>
                  <w:tcW w:w="436" w:type="pct"/>
                  <w:vMerge w:val="continue"/>
                  <w:tcBorders>
                    <w:left w:val="single" w:color="auto" w:sz="6" w:space="0"/>
                    <w:right w:val="single" w:color="auto" w:sz="4" w:space="0"/>
                  </w:tcBorders>
                  <w:noWrap w:val="0"/>
                  <w:vAlign w:val="center"/>
                </w:tcPr>
                <w:p w14:paraId="08E5738E">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宋体" w:cs="Times New Roman"/>
                      <w:sz w:val="21"/>
                      <w:szCs w:val="21"/>
                      <w:lang w:eastAsia="zh-CN"/>
                    </w:rPr>
                  </w:pPr>
                </w:p>
              </w:tc>
              <w:tc>
                <w:tcPr>
                  <w:tcW w:w="901" w:type="pct"/>
                  <w:tcBorders>
                    <w:top w:val="single" w:color="auto" w:sz="6" w:space="0"/>
                    <w:left w:val="single" w:color="auto" w:sz="4" w:space="0"/>
                    <w:bottom w:val="single" w:color="auto" w:sz="6" w:space="0"/>
                    <w:right w:val="single" w:color="auto" w:sz="6" w:space="0"/>
                  </w:tcBorders>
                  <w:noWrap w:val="0"/>
                  <w:vAlign w:val="center"/>
                </w:tcPr>
                <w:p w14:paraId="0DEA2618">
                  <w:pPr>
                    <w:pStyle w:val="56"/>
                    <w:bidi w:val="0"/>
                    <w:jc w:val="left"/>
                    <w:rPr>
                      <w:rFonts w:hint="default" w:ascii="Times New Roman" w:hAnsi="Times New Roman" w:eastAsia="宋体" w:cs="Times New Roman"/>
                      <w:szCs w:val="21"/>
                      <w:lang w:val="en-US" w:eastAsia="zh-CN"/>
                    </w:rPr>
                  </w:pPr>
                  <w:r>
                    <w:rPr>
                      <w:rFonts w:hint="eastAsia"/>
                      <w:lang w:val="en-US" w:eastAsia="zh-CN"/>
                    </w:rPr>
                    <w:t>钢板及配套零部件</w:t>
                  </w:r>
                </w:p>
              </w:tc>
              <w:tc>
                <w:tcPr>
                  <w:tcW w:w="675" w:type="pct"/>
                  <w:tcBorders>
                    <w:top w:val="single" w:color="auto" w:sz="6" w:space="0"/>
                    <w:left w:val="single" w:color="auto" w:sz="6" w:space="0"/>
                    <w:bottom w:val="single" w:color="auto" w:sz="6" w:space="0"/>
                    <w:right w:val="single" w:color="auto" w:sz="6" w:space="0"/>
                  </w:tcBorders>
                  <w:noWrap w:val="0"/>
                  <w:vAlign w:val="center"/>
                </w:tcPr>
                <w:p w14:paraId="334F566A">
                  <w:pPr>
                    <w:pStyle w:val="56"/>
                    <w:bidi w:val="0"/>
                    <w:rPr>
                      <w:rFonts w:hint="default" w:ascii="Times New Roman" w:hAnsi="Times New Roman" w:eastAsia="宋体" w:cs="Times New Roman"/>
                      <w:szCs w:val="21"/>
                      <w:lang w:val="en-US" w:eastAsia="zh-CN"/>
                    </w:rPr>
                  </w:pPr>
                  <w:r>
                    <w:rPr>
                      <w:rFonts w:hint="eastAsia"/>
                      <w:lang w:val="en-US" w:eastAsia="zh-CN"/>
                    </w:rPr>
                    <w:t>8320</w:t>
                  </w:r>
                </w:p>
              </w:tc>
              <w:tc>
                <w:tcPr>
                  <w:tcW w:w="598" w:type="pct"/>
                  <w:tcBorders>
                    <w:top w:val="single" w:color="auto" w:sz="6" w:space="0"/>
                    <w:left w:val="single" w:color="auto" w:sz="6" w:space="0"/>
                    <w:bottom w:val="single" w:color="auto" w:sz="6" w:space="0"/>
                    <w:right w:val="single" w:color="auto" w:sz="4" w:space="0"/>
                  </w:tcBorders>
                  <w:noWrap w:val="0"/>
                  <w:vAlign w:val="center"/>
                </w:tcPr>
                <w:p w14:paraId="2530164A">
                  <w:pPr>
                    <w:pStyle w:val="56"/>
                    <w:bidi w:val="0"/>
                    <w:rPr>
                      <w:rFonts w:hint="eastAsia" w:ascii="Times New Roman" w:hAnsi="Times New Roman" w:eastAsia="宋体" w:cs="Times New Roman"/>
                      <w:szCs w:val="21"/>
                      <w:lang w:eastAsia="zh-CN"/>
                    </w:rPr>
                  </w:pPr>
                  <w:r>
                    <w:rPr>
                      <w:rFonts w:hint="eastAsia"/>
                      <w:lang w:eastAsia="zh-CN"/>
                    </w:rPr>
                    <w:t>/</w:t>
                  </w:r>
                </w:p>
              </w:tc>
              <w:tc>
                <w:tcPr>
                  <w:tcW w:w="1033" w:type="pct"/>
                  <w:tcBorders>
                    <w:top w:val="single" w:color="auto" w:sz="6" w:space="0"/>
                    <w:left w:val="single" w:color="auto" w:sz="4" w:space="0"/>
                    <w:bottom w:val="single" w:color="auto" w:sz="6" w:space="0"/>
                    <w:right w:val="single" w:color="auto" w:sz="4" w:space="0"/>
                  </w:tcBorders>
                  <w:noWrap w:val="0"/>
                  <w:vAlign w:val="center"/>
                </w:tcPr>
                <w:p w14:paraId="6F48B474">
                  <w:pPr>
                    <w:pStyle w:val="56"/>
                    <w:bidi w:val="0"/>
                    <w:jc w:val="left"/>
                    <w:rPr>
                      <w:rFonts w:hint="default" w:ascii="Times New Roman" w:hAnsi="Times New Roman" w:eastAsia="宋体" w:cs="Times New Roman"/>
                      <w:color w:val="FF0000"/>
                      <w:szCs w:val="21"/>
                      <w:lang w:val="en-US" w:eastAsia="zh-CN"/>
                    </w:rPr>
                  </w:pPr>
                  <w:r>
                    <w:rPr>
                      <w:rFonts w:hint="eastAsia"/>
                      <w:color w:val="FF0000"/>
                      <w:lang w:val="en-US" w:eastAsia="zh-CN"/>
                    </w:rPr>
                    <w:t>采购定制钢板组装光伏发电折叠房屋300t</w:t>
                  </w:r>
                </w:p>
              </w:tc>
              <w:tc>
                <w:tcPr>
                  <w:tcW w:w="1730" w:type="dxa"/>
                  <w:tcBorders>
                    <w:top w:val="single" w:color="auto" w:sz="6" w:space="0"/>
                    <w:left w:val="single" w:color="auto" w:sz="4" w:space="0"/>
                    <w:bottom w:val="single" w:color="auto" w:sz="6" w:space="0"/>
                    <w:right w:val="single" w:color="auto" w:sz="4" w:space="0"/>
                  </w:tcBorders>
                  <w:noWrap w:val="0"/>
                  <w:vAlign w:val="center"/>
                </w:tcPr>
                <w:p w14:paraId="6306A14E">
                  <w:pPr>
                    <w:pStyle w:val="56"/>
                    <w:bidi w:val="0"/>
                    <w:ind w:firstLine="0" w:firstLineChars="0"/>
                    <w:rPr>
                      <w:rFonts w:hint="eastAsia"/>
                      <w:lang w:val="en-US" w:eastAsia="zh-CN"/>
                    </w:rPr>
                  </w:pPr>
                  <w:r>
                    <w:rPr>
                      <w:rFonts w:hint="eastAsia"/>
                      <w:lang w:eastAsia="zh-CN"/>
                    </w:rPr>
                    <w:t>/</w:t>
                  </w:r>
                </w:p>
              </w:tc>
            </w:tr>
            <w:tr w14:paraId="0346A8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9" w:hRule="atLeast"/>
                <w:tblHeader/>
                <w:jc w:val="center"/>
              </w:trPr>
              <w:tc>
                <w:tcPr>
                  <w:tcW w:w="320" w:type="pct"/>
                  <w:tcBorders>
                    <w:top w:val="single" w:color="auto" w:sz="6" w:space="0"/>
                    <w:left w:val="single" w:color="auto" w:sz="6" w:space="0"/>
                    <w:bottom w:val="single" w:color="auto" w:sz="6" w:space="0"/>
                    <w:right w:val="single" w:color="auto" w:sz="6" w:space="0"/>
                  </w:tcBorders>
                  <w:noWrap w:val="0"/>
                  <w:vAlign w:val="center"/>
                </w:tcPr>
                <w:p w14:paraId="4F64AE80">
                  <w:pPr>
                    <w:pStyle w:val="56"/>
                    <w:bidi w:val="0"/>
                    <w:rPr>
                      <w:rFonts w:hint="default" w:cs="Times New Roman"/>
                      <w:szCs w:val="21"/>
                      <w:lang w:val="en-US" w:eastAsia="zh-CN"/>
                    </w:rPr>
                  </w:pPr>
                  <w:r>
                    <w:rPr>
                      <w:rFonts w:hint="eastAsia"/>
                      <w:lang w:val="en-US" w:eastAsia="zh-CN"/>
                    </w:rPr>
                    <w:t>8</w:t>
                  </w:r>
                </w:p>
              </w:tc>
              <w:tc>
                <w:tcPr>
                  <w:tcW w:w="436" w:type="pct"/>
                  <w:vMerge w:val="continue"/>
                  <w:tcBorders>
                    <w:left w:val="single" w:color="auto" w:sz="6" w:space="0"/>
                    <w:right w:val="single" w:color="auto" w:sz="4" w:space="0"/>
                  </w:tcBorders>
                  <w:noWrap w:val="0"/>
                  <w:vAlign w:val="center"/>
                </w:tcPr>
                <w:p w14:paraId="74F07096">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宋体" w:cs="Times New Roman"/>
                      <w:sz w:val="21"/>
                      <w:szCs w:val="21"/>
                      <w:lang w:eastAsia="zh-CN"/>
                    </w:rPr>
                  </w:pPr>
                </w:p>
              </w:tc>
              <w:tc>
                <w:tcPr>
                  <w:tcW w:w="901" w:type="pct"/>
                  <w:tcBorders>
                    <w:top w:val="single" w:color="auto" w:sz="6" w:space="0"/>
                    <w:left w:val="single" w:color="auto" w:sz="4" w:space="0"/>
                    <w:bottom w:val="single" w:color="auto" w:sz="6" w:space="0"/>
                    <w:right w:val="single" w:color="auto" w:sz="6" w:space="0"/>
                  </w:tcBorders>
                  <w:noWrap w:val="0"/>
                  <w:vAlign w:val="center"/>
                </w:tcPr>
                <w:p w14:paraId="0C3FC93F">
                  <w:pPr>
                    <w:pStyle w:val="56"/>
                    <w:bidi w:val="0"/>
                    <w:rPr>
                      <w:rFonts w:hint="default" w:cs="Times New Roman"/>
                      <w:szCs w:val="21"/>
                      <w:lang w:val="en-US" w:eastAsia="zh-CN"/>
                    </w:rPr>
                  </w:pPr>
                  <w:r>
                    <w:rPr>
                      <w:rFonts w:hint="eastAsia"/>
                      <w:lang w:val="en-US" w:eastAsia="zh-CN"/>
                    </w:rPr>
                    <w:t>木质纤维</w:t>
                  </w:r>
                </w:p>
              </w:tc>
              <w:tc>
                <w:tcPr>
                  <w:tcW w:w="675" w:type="pct"/>
                  <w:tcBorders>
                    <w:top w:val="single" w:color="auto" w:sz="6" w:space="0"/>
                    <w:left w:val="single" w:color="auto" w:sz="6" w:space="0"/>
                    <w:bottom w:val="single" w:color="auto" w:sz="6" w:space="0"/>
                    <w:right w:val="single" w:color="auto" w:sz="6" w:space="0"/>
                  </w:tcBorders>
                  <w:noWrap w:val="0"/>
                  <w:vAlign w:val="center"/>
                </w:tcPr>
                <w:p w14:paraId="2937C9A3">
                  <w:pPr>
                    <w:pStyle w:val="56"/>
                    <w:bidi w:val="0"/>
                    <w:rPr>
                      <w:rFonts w:hint="default" w:cs="Times New Roman"/>
                      <w:szCs w:val="21"/>
                      <w:lang w:val="en-US" w:eastAsia="zh-CN"/>
                    </w:rPr>
                  </w:pPr>
                  <w:r>
                    <w:rPr>
                      <w:rFonts w:hint="eastAsia"/>
                      <w:lang w:val="en-US" w:eastAsia="zh-CN"/>
                    </w:rPr>
                    <w:t>25</w:t>
                  </w:r>
                </w:p>
              </w:tc>
              <w:tc>
                <w:tcPr>
                  <w:tcW w:w="598" w:type="pct"/>
                  <w:tcBorders>
                    <w:top w:val="single" w:color="auto" w:sz="6" w:space="0"/>
                    <w:left w:val="single" w:color="auto" w:sz="6" w:space="0"/>
                    <w:bottom w:val="single" w:color="auto" w:sz="6" w:space="0"/>
                    <w:right w:val="single" w:color="auto" w:sz="4" w:space="0"/>
                  </w:tcBorders>
                  <w:noWrap w:val="0"/>
                  <w:vAlign w:val="center"/>
                </w:tcPr>
                <w:p w14:paraId="6756AC84">
                  <w:pPr>
                    <w:pStyle w:val="56"/>
                    <w:bidi w:val="0"/>
                    <w:rPr>
                      <w:rFonts w:hint="eastAsia" w:ascii="Times New Roman" w:hAnsi="Times New Roman" w:eastAsia="宋体" w:cs="Times New Roman"/>
                      <w:szCs w:val="21"/>
                      <w:lang w:eastAsia="zh-CN"/>
                    </w:rPr>
                  </w:pPr>
                  <w:r>
                    <w:rPr>
                      <w:rFonts w:hint="eastAsia"/>
                      <w:lang w:eastAsia="zh-CN"/>
                    </w:rPr>
                    <w:t>塑料袋</w:t>
                  </w:r>
                  <w:r>
                    <w:rPr>
                      <w:rFonts w:hint="eastAsia"/>
                      <w:lang w:val="en-US" w:eastAsia="zh-CN"/>
                    </w:rPr>
                    <w:t>装</w:t>
                  </w:r>
                </w:p>
              </w:tc>
              <w:tc>
                <w:tcPr>
                  <w:tcW w:w="1033" w:type="pct"/>
                  <w:tcBorders>
                    <w:top w:val="single" w:color="auto" w:sz="6" w:space="0"/>
                    <w:left w:val="single" w:color="auto" w:sz="4" w:space="0"/>
                    <w:bottom w:val="single" w:color="auto" w:sz="6" w:space="0"/>
                    <w:right w:val="single" w:color="auto" w:sz="4" w:space="0"/>
                  </w:tcBorders>
                  <w:noWrap w:val="0"/>
                  <w:vAlign w:val="center"/>
                </w:tcPr>
                <w:p w14:paraId="74AEA516">
                  <w:pPr>
                    <w:pStyle w:val="56"/>
                    <w:bidi w:val="0"/>
                    <w:rPr>
                      <w:rFonts w:hint="default" w:cs="Times New Roman"/>
                      <w:color w:val="FF0000"/>
                      <w:szCs w:val="21"/>
                      <w:lang w:val="en-US" w:eastAsia="zh-CN"/>
                    </w:rPr>
                  </w:pPr>
                  <w:r>
                    <w:rPr>
                      <w:rFonts w:hint="eastAsia"/>
                      <w:color w:val="FF0000"/>
                      <w:lang w:val="en-US" w:eastAsia="zh-CN"/>
                    </w:rPr>
                    <w:t>混凝土保温模板用2t</w:t>
                  </w:r>
                </w:p>
              </w:tc>
              <w:tc>
                <w:tcPr>
                  <w:tcW w:w="1730" w:type="dxa"/>
                  <w:tcBorders>
                    <w:top w:val="single" w:color="auto" w:sz="6" w:space="0"/>
                    <w:left w:val="single" w:color="auto" w:sz="4" w:space="0"/>
                    <w:bottom w:val="single" w:color="auto" w:sz="6" w:space="0"/>
                    <w:right w:val="single" w:color="auto" w:sz="4" w:space="0"/>
                  </w:tcBorders>
                  <w:noWrap w:val="0"/>
                  <w:vAlign w:val="center"/>
                </w:tcPr>
                <w:p w14:paraId="77A14EB3">
                  <w:pPr>
                    <w:pStyle w:val="56"/>
                    <w:bidi w:val="0"/>
                    <w:ind w:firstLine="0" w:firstLineChars="0"/>
                    <w:rPr>
                      <w:rFonts w:hint="eastAsia"/>
                      <w:lang w:val="en-US" w:eastAsia="zh-CN"/>
                    </w:rPr>
                  </w:pPr>
                  <w:r>
                    <w:rPr>
                      <w:rFonts w:hint="eastAsia"/>
                      <w:lang w:eastAsia="zh-CN"/>
                    </w:rPr>
                    <w:t>/</w:t>
                  </w:r>
                </w:p>
              </w:tc>
            </w:tr>
            <w:tr w14:paraId="0A9128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9" w:hRule="atLeast"/>
                <w:tblHeader/>
                <w:jc w:val="center"/>
              </w:trPr>
              <w:tc>
                <w:tcPr>
                  <w:tcW w:w="320" w:type="pct"/>
                  <w:tcBorders>
                    <w:top w:val="single" w:color="auto" w:sz="6" w:space="0"/>
                    <w:left w:val="single" w:color="auto" w:sz="6" w:space="0"/>
                    <w:bottom w:val="single" w:color="auto" w:sz="6" w:space="0"/>
                    <w:right w:val="single" w:color="auto" w:sz="6" w:space="0"/>
                  </w:tcBorders>
                  <w:noWrap w:val="0"/>
                  <w:vAlign w:val="center"/>
                </w:tcPr>
                <w:p w14:paraId="3EED95CE">
                  <w:pPr>
                    <w:pStyle w:val="56"/>
                    <w:bidi w:val="0"/>
                    <w:rPr>
                      <w:rFonts w:hint="default" w:cs="Times New Roman"/>
                      <w:szCs w:val="21"/>
                      <w:lang w:val="en-US" w:eastAsia="zh-CN"/>
                    </w:rPr>
                  </w:pPr>
                  <w:r>
                    <w:rPr>
                      <w:rFonts w:hint="eastAsia"/>
                      <w:lang w:val="en-US" w:eastAsia="zh-CN"/>
                    </w:rPr>
                    <w:t>9</w:t>
                  </w:r>
                </w:p>
              </w:tc>
              <w:tc>
                <w:tcPr>
                  <w:tcW w:w="436" w:type="pct"/>
                  <w:vMerge w:val="continue"/>
                  <w:tcBorders>
                    <w:left w:val="single" w:color="auto" w:sz="6" w:space="0"/>
                    <w:right w:val="single" w:color="auto" w:sz="4" w:space="0"/>
                  </w:tcBorders>
                  <w:noWrap w:val="0"/>
                  <w:vAlign w:val="center"/>
                </w:tcPr>
                <w:p w14:paraId="1EF8F454">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宋体" w:cs="Times New Roman"/>
                      <w:sz w:val="21"/>
                      <w:szCs w:val="21"/>
                      <w:lang w:eastAsia="zh-CN"/>
                    </w:rPr>
                  </w:pPr>
                </w:p>
              </w:tc>
              <w:tc>
                <w:tcPr>
                  <w:tcW w:w="901" w:type="pct"/>
                  <w:tcBorders>
                    <w:top w:val="single" w:color="auto" w:sz="6" w:space="0"/>
                    <w:left w:val="single" w:color="auto" w:sz="4" w:space="0"/>
                    <w:bottom w:val="single" w:color="auto" w:sz="6" w:space="0"/>
                    <w:right w:val="single" w:color="auto" w:sz="6" w:space="0"/>
                  </w:tcBorders>
                  <w:noWrap w:val="0"/>
                  <w:vAlign w:val="center"/>
                </w:tcPr>
                <w:p w14:paraId="019E3F5F">
                  <w:pPr>
                    <w:pStyle w:val="56"/>
                    <w:bidi w:val="0"/>
                    <w:rPr>
                      <w:rFonts w:hint="default" w:cs="Times New Roman"/>
                      <w:color w:val="FF0000"/>
                      <w:szCs w:val="21"/>
                      <w:lang w:val="en-US" w:eastAsia="zh-CN"/>
                    </w:rPr>
                  </w:pPr>
                  <w:r>
                    <w:rPr>
                      <w:rFonts w:hint="eastAsia"/>
                      <w:color w:val="FF0000"/>
                      <w:lang w:val="en-US" w:eastAsia="zh-CN"/>
                    </w:rPr>
                    <w:t>不锈钢焊条</w:t>
                  </w:r>
                </w:p>
              </w:tc>
              <w:tc>
                <w:tcPr>
                  <w:tcW w:w="675" w:type="pct"/>
                  <w:tcBorders>
                    <w:top w:val="single" w:color="auto" w:sz="6" w:space="0"/>
                    <w:left w:val="single" w:color="auto" w:sz="6" w:space="0"/>
                    <w:bottom w:val="single" w:color="auto" w:sz="6" w:space="0"/>
                    <w:right w:val="single" w:color="auto" w:sz="6" w:space="0"/>
                  </w:tcBorders>
                  <w:noWrap w:val="0"/>
                  <w:vAlign w:val="center"/>
                </w:tcPr>
                <w:p w14:paraId="0210DD18">
                  <w:pPr>
                    <w:pStyle w:val="56"/>
                    <w:bidi w:val="0"/>
                    <w:rPr>
                      <w:rFonts w:hint="default" w:cs="Times New Roman"/>
                      <w:color w:val="FF0000"/>
                      <w:szCs w:val="21"/>
                      <w:lang w:val="en-US" w:eastAsia="zh-CN"/>
                    </w:rPr>
                  </w:pPr>
                  <w:r>
                    <w:rPr>
                      <w:rFonts w:hint="eastAsia"/>
                      <w:color w:val="FF0000"/>
                      <w:lang w:val="en-US" w:eastAsia="zh-CN"/>
                    </w:rPr>
                    <w:t>1</w:t>
                  </w:r>
                </w:p>
              </w:tc>
              <w:tc>
                <w:tcPr>
                  <w:tcW w:w="598" w:type="pct"/>
                  <w:tcBorders>
                    <w:top w:val="single" w:color="auto" w:sz="6" w:space="0"/>
                    <w:left w:val="single" w:color="auto" w:sz="6" w:space="0"/>
                    <w:bottom w:val="single" w:color="auto" w:sz="6" w:space="0"/>
                    <w:right w:val="single" w:color="auto" w:sz="4" w:space="0"/>
                  </w:tcBorders>
                  <w:noWrap w:val="0"/>
                  <w:vAlign w:val="center"/>
                </w:tcPr>
                <w:p w14:paraId="1CA1554C">
                  <w:pPr>
                    <w:pStyle w:val="56"/>
                    <w:bidi w:val="0"/>
                    <w:rPr>
                      <w:rFonts w:hint="default" w:ascii="Times New Roman" w:hAnsi="Times New Roman" w:eastAsia="宋体" w:cs="Times New Roman"/>
                      <w:color w:val="FF0000"/>
                      <w:szCs w:val="21"/>
                      <w:lang w:val="en-US" w:eastAsia="zh-CN"/>
                    </w:rPr>
                  </w:pPr>
                  <w:r>
                    <w:rPr>
                      <w:rFonts w:hint="eastAsia"/>
                      <w:color w:val="FF0000"/>
                      <w:lang w:val="en-US" w:eastAsia="zh-CN"/>
                    </w:rPr>
                    <w:t>袋装</w:t>
                  </w:r>
                </w:p>
              </w:tc>
              <w:tc>
                <w:tcPr>
                  <w:tcW w:w="1033" w:type="pct"/>
                  <w:tcBorders>
                    <w:top w:val="single" w:color="auto" w:sz="6" w:space="0"/>
                    <w:left w:val="single" w:color="auto" w:sz="4" w:space="0"/>
                    <w:bottom w:val="single" w:color="auto" w:sz="6" w:space="0"/>
                    <w:right w:val="single" w:color="auto" w:sz="4" w:space="0"/>
                  </w:tcBorders>
                  <w:noWrap w:val="0"/>
                  <w:vAlign w:val="center"/>
                </w:tcPr>
                <w:p w14:paraId="710D19E9">
                  <w:pPr>
                    <w:pStyle w:val="56"/>
                    <w:bidi w:val="0"/>
                    <w:rPr>
                      <w:rFonts w:hint="default"/>
                      <w:color w:val="FF0000"/>
                      <w:szCs w:val="21"/>
                      <w:lang w:val="en-US" w:eastAsia="zh-CN"/>
                    </w:rPr>
                  </w:pPr>
                  <w:r>
                    <w:rPr>
                      <w:rFonts w:hint="eastAsia"/>
                      <w:color w:val="FF0000"/>
                      <w:lang w:val="en-US" w:eastAsia="zh-CN"/>
                    </w:rPr>
                    <w:t>堆存0.1t</w:t>
                  </w:r>
                </w:p>
              </w:tc>
              <w:tc>
                <w:tcPr>
                  <w:tcW w:w="1730" w:type="dxa"/>
                  <w:tcBorders>
                    <w:top w:val="single" w:color="auto" w:sz="6" w:space="0"/>
                    <w:left w:val="single" w:color="auto" w:sz="4" w:space="0"/>
                    <w:bottom w:val="single" w:color="auto" w:sz="6" w:space="0"/>
                    <w:right w:val="single" w:color="auto" w:sz="4" w:space="0"/>
                  </w:tcBorders>
                  <w:noWrap w:val="0"/>
                  <w:vAlign w:val="center"/>
                </w:tcPr>
                <w:p w14:paraId="173C623C">
                  <w:pPr>
                    <w:pStyle w:val="56"/>
                    <w:bidi w:val="0"/>
                    <w:ind w:firstLine="0" w:firstLineChars="0"/>
                    <w:rPr>
                      <w:rFonts w:hint="default"/>
                      <w:color w:val="FF0000"/>
                      <w:lang w:val="en-US" w:eastAsia="zh-CN"/>
                    </w:rPr>
                  </w:pPr>
                  <w:r>
                    <w:rPr>
                      <w:rFonts w:hint="eastAsia"/>
                      <w:lang w:eastAsia="zh-CN"/>
                    </w:rPr>
                    <w:t>/</w:t>
                  </w:r>
                </w:p>
              </w:tc>
            </w:tr>
            <w:tr w14:paraId="55A847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 w:hRule="atLeast"/>
                <w:tblHeader/>
                <w:jc w:val="center"/>
              </w:trPr>
              <w:tc>
                <w:tcPr>
                  <w:tcW w:w="320" w:type="pct"/>
                  <w:tcBorders>
                    <w:top w:val="single" w:color="auto" w:sz="6" w:space="0"/>
                    <w:left w:val="single" w:color="auto" w:sz="6" w:space="0"/>
                    <w:bottom w:val="single" w:color="auto" w:sz="6" w:space="0"/>
                    <w:right w:val="single" w:color="auto" w:sz="6" w:space="0"/>
                  </w:tcBorders>
                  <w:noWrap w:val="0"/>
                  <w:vAlign w:val="center"/>
                </w:tcPr>
                <w:p w14:paraId="479F6E88">
                  <w:pPr>
                    <w:pStyle w:val="56"/>
                    <w:bidi w:val="0"/>
                    <w:rPr>
                      <w:rFonts w:hint="default" w:ascii="Times New Roman" w:hAnsi="Times New Roman" w:eastAsia="宋体" w:cs="Times New Roman"/>
                      <w:szCs w:val="21"/>
                      <w:lang w:val="en-US" w:eastAsia="zh-CN"/>
                    </w:rPr>
                  </w:pPr>
                  <w:r>
                    <w:rPr>
                      <w:rFonts w:hint="eastAsia"/>
                      <w:lang w:val="en-US" w:eastAsia="zh-CN"/>
                    </w:rPr>
                    <w:t>10</w:t>
                  </w:r>
                </w:p>
              </w:tc>
              <w:tc>
                <w:tcPr>
                  <w:tcW w:w="436" w:type="pct"/>
                  <w:vMerge w:val="continue"/>
                  <w:tcBorders>
                    <w:left w:val="single" w:color="auto" w:sz="6" w:space="0"/>
                    <w:right w:val="single" w:color="auto" w:sz="4" w:space="0"/>
                  </w:tcBorders>
                  <w:noWrap w:val="0"/>
                  <w:vAlign w:val="center"/>
                </w:tcPr>
                <w:p w14:paraId="4C2BAC9A">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宋体" w:cs="Times New Roman"/>
                      <w:sz w:val="21"/>
                      <w:szCs w:val="21"/>
                      <w:lang w:eastAsia="zh-CN"/>
                    </w:rPr>
                  </w:pPr>
                </w:p>
              </w:tc>
              <w:tc>
                <w:tcPr>
                  <w:tcW w:w="901" w:type="pct"/>
                  <w:tcBorders>
                    <w:top w:val="single" w:color="auto" w:sz="6" w:space="0"/>
                    <w:left w:val="single" w:color="auto" w:sz="4" w:space="0"/>
                    <w:bottom w:val="single" w:color="auto" w:sz="6" w:space="0"/>
                    <w:right w:val="single" w:color="auto" w:sz="6" w:space="0"/>
                  </w:tcBorders>
                  <w:noWrap w:val="0"/>
                  <w:vAlign w:val="center"/>
                </w:tcPr>
                <w:p w14:paraId="3F569CE3">
                  <w:pPr>
                    <w:pStyle w:val="56"/>
                    <w:bidi w:val="0"/>
                    <w:rPr>
                      <w:rFonts w:hint="eastAsia" w:ascii="Times New Roman" w:hAnsi="Times New Roman" w:eastAsia="宋体" w:cs="Times New Roman"/>
                      <w:szCs w:val="21"/>
                      <w:lang w:eastAsia="zh-CN"/>
                    </w:rPr>
                  </w:pPr>
                  <w:r>
                    <w:rPr>
                      <w:rFonts w:hint="eastAsia"/>
                      <w:lang w:eastAsia="zh-CN"/>
                    </w:rPr>
                    <w:t>机油</w:t>
                  </w:r>
                </w:p>
              </w:tc>
              <w:tc>
                <w:tcPr>
                  <w:tcW w:w="675" w:type="pct"/>
                  <w:tcBorders>
                    <w:top w:val="single" w:color="auto" w:sz="6" w:space="0"/>
                    <w:left w:val="single" w:color="auto" w:sz="6" w:space="0"/>
                    <w:bottom w:val="single" w:color="auto" w:sz="6" w:space="0"/>
                    <w:right w:val="single" w:color="auto" w:sz="6" w:space="0"/>
                  </w:tcBorders>
                  <w:noWrap w:val="0"/>
                  <w:vAlign w:val="center"/>
                </w:tcPr>
                <w:p w14:paraId="33CF93EE">
                  <w:pPr>
                    <w:pStyle w:val="56"/>
                    <w:bidi w:val="0"/>
                    <w:rPr>
                      <w:rFonts w:hint="eastAsia" w:ascii="Times New Roman" w:hAnsi="Times New Roman" w:eastAsia="宋体" w:cs="Times New Roman"/>
                      <w:szCs w:val="21"/>
                      <w:lang w:eastAsia="zh-CN"/>
                    </w:rPr>
                  </w:pPr>
                  <w:r>
                    <w:rPr>
                      <w:rFonts w:hint="eastAsia"/>
                      <w:lang w:eastAsia="zh-CN"/>
                    </w:rPr>
                    <w:t>0.2</w:t>
                  </w:r>
                </w:p>
              </w:tc>
              <w:tc>
                <w:tcPr>
                  <w:tcW w:w="598" w:type="pct"/>
                  <w:tcBorders>
                    <w:top w:val="single" w:color="auto" w:sz="6" w:space="0"/>
                    <w:left w:val="single" w:color="auto" w:sz="6" w:space="0"/>
                    <w:bottom w:val="single" w:color="auto" w:sz="6" w:space="0"/>
                    <w:right w:val="single" w:color="auto" w:sz="4" w:space="0"/>
                  </w:tcBorders>
                  <w:noWrap w:val="0"/>
                  <w:vAlign w:val="center"/>
                </w:tcPr>
                <w:p w14:paraId="34786C00">
                  <w:pPr>
                    <w:pStyle w:val="56"/>
                    <w:bidi w:val="0"/>
                    <w:rPr>
                      <w:rFonts w:hint="eastAsia" w:ascii="Times New Roman" w:hAnsi="Times New Roman" w:eastAsia="宋体" w:cs="Times New Roman"/>
                      <w:szCs w:val="21"/>
                      <w:lang w:eastAsia="zh-CN"/>
                    </w:rPr>
                  </w:pPr>
                  <w:r>
                    <w:rPr>
                      <w:rFonts w:hint="eastAsia"/>
                      <w:lang w:eastAsia="zh-CN"/>
                    </w:rPr>
                    <w:t>桶装</w:t>
                  </w:r>
                </w:p>
              </w:tc>
              <w:tc>
                <w:tcPr>
                  <w:tcW w:w="1033" w:type="pct"/>
                  <w:tcBorders>
                    <w:top w:val="single" w:color="auto" w:sz="6" w:space="0"/>
                    <w:left w:val="single" w:color="auto" w:sz="4" w:space="0"/>
                    <w:bottom w:val="single" w:color="auto" w:sz="6" w:space="0"/>
                    <w:right w:val="single" w:color="auto" w:sz="4" w:space="0"/>
                  </w:tcBorders>
                  <w:noWrap w:val="0"/>
                  <w:vAlign w:val="center"/>
                </w:tcPr>
                <w:p w14:paraId="6F65BB6F">
                  <w:pPr>
                    <w:pStyle w:val="56"/>
                    <w:bidi w:val="0"/>
                    <w:rPr>
                      <w:rFonts w:hint="default" w:ascii="Times New Roman" w:hAnsi="Times New Roman" w:eastAsia="宋体" w:cs="Times New Roman"/>
                      <w:color w:val="FF0000"/>
                      <w:szCs w:val="21"/>
                      <w:lang w:val="en-US" w:eastAsia="zh-CN"/>
                    </w:rPr>
                  </w:pPr>
                  <w:r>
                    <w:rPr>
                      <w:rFonts w:hint="eastAsia"/>
                      <w:color w:val="FF0000"/>
                      <w:lang w:val="en-US" w:eastAsia="zh-CN"/>
                    </w:rPr>
                    <w:t>库房堆存0.02t</w:t>
                  </w:r>
                </w:p>
              </w:tc>
              <w:tc>
                <w:tcPr>
                  <w:tcW w:w="1730" w:type="dxa"/>
                  <w:tcBorders>
                    <w:top w:val="single" w:color="auto" w:sz="6" w:space="0"/>
                    <w:left w:val="single" w:color="auto" w:sz="4" w:space="0"/>
                    <w:bottom w:val="single" w:color="auto" w:sz="6" w:space="0"/>
                    <w:right w:val="single" w:color="auto" w:sz="4" w:space="0"/>
                  </w:tcBorders>
                  <w:noWrap w:val="0"/>
                  <w:vAlign w:val="center"/>
                </w:tcPr>
                <w:p w14:paraId="4A5F38C4">
                  <w:pPr>
                    <w:pStyle w:val="56"/>
                    <w:bidi w:val="0"/>
                    <w:ind w:firstLine="0" w:firstLineChars="0"/>
                    <w:rPr>
                      <w:rFonts w:hint="eastAsia"/>
                      <w:lang w:val="en-US" w:eastAsia="zh-CN"/>
                    </w:rPr>
                  </w:pPr>
                  <w:r>
                    <w:rPr>
                      <w:rFonts w:hint="eastAsia"/>
                      <w:lang w:eastAsia="zh-CN"/>
                    </w:rPr>
                    <w:t>/</w:t>
                  </w:r>
                </w:p>
              </w:tc>
            </w:tr>
            <w:tr w14:paraId="7F6228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9" w:hRule="atLeast"/>
                <w:tblHeader/>
                <w:jc w:val="center"/>
              </w:trPr>
              <w:tc>
                <w:tcPr>
                  <w:tcW w:w="320" w:type="pct"/>
                  <w:tcBorders>
                    <w:top w:val="single" w:color="auto" w:sz="6" w:space="0"/>
                    <w:left w:val="single" w:color="auto" w:sz="6" w:space="0"/>
                    <w:bottom w:val="single" w:color="auto" w:sz="6" w:space="0"/>
                    <w:right w:val="single" w:color="auto" w:sz="6" w:space="0"/>
                  </w:tcBorders>
                  <w:noWrap w:val="0"/>
                  <w:vAlign w:val="center"/>
                </w:tcPr>
                <w:p w14:paraId="215FD5F4">
                  <w:pPr>
                    <w:pStyle w:val="56"/>
                    <w:bidi w:val="0"/>
                    <w:rPr>
                      <w:rFonts w:hint="default" w:ascii="Times New Roman" w:hAnsi="Times New Roman" w:eastAsia="宋体" w:cs="Times New Roman"/>
                      <w:szCs w:val="21"/>
                      <w:lang w:val="en-US" w:eastAsia="zh-CN"/>
                    </w:rPr>
                  </w:pPr>
                  <w:r>
                    <w:rPr>
                      <w:rFonts w:hint="eastAsia"/>
                      <w:lang w:val="en-US" w:eastAsia="zh-CN"/>
                    </w:rPr>
                    <w:t>11</w:t>
                  </w:r>
                </w:p>
              </w:tc>
              <w:tc>
                <w:tcPr>
                  <w:tcW w:w="436" w:type="pct"/>
                  <w:vMerge w:val="restart"/>
                  <w:tcBorders>
                    <w:top w:val="single" w:color="auto" w:sz="6" w:space="0"/>
                    <w:left w:val="single" w:color="auto" w:sz="6" w:space="0"/>
                    <w:right w:val="single" w:color="auto" w:sz="4" w:space="0"/>
                  </w:tcBorders>
                  <w:noWrap w:val="0"/>
                  <w:vAlign w:val="center"/>
                </w:tcPr>
                <w:p w14:paraId="4628DFB9">
                  <w:pPr>
                    <w:pStyle w:val="56"/>
                    <w:bidi w:val="0"/>
                    <w:rPr>
                      <w:rFonts w:hint="eastAsia" w:ascii="Times New Roman" w:hAnsi="Times New Roman" w:eastAsia="宋体" w:cs="Times New Roman"/>
                      <w:szCs w:val="21"/>
                      <w:lang w:eastAsia="zh-CN"/>
                    </w:rPr>
                  </w:pPr>
                  <w:r>
                    <w:rPr>
                      <w:rFonts w:hint="eastAsia"/>
                      <w:lang w:eastAsia="zh-CN"/>
                    </w:rPr>
                    <w:t>能源</w:t>
                  </w:r>
                </w:p>
              </w:tc>
              <w:tc>
                <w:tcPr>
                  <w:tcW w:w="901" w:type="pct"/>
                  <w:tcBorders>
                    <w:top w:val="single" w:color="auto" w:sz="6" w:space="0"/>
                    <w:left w:val="single" w:color="auto" w:sz="4" w:space="0"/>
                    <w:bottom w:val="single" w:color="auto" w:sz="6" w:space="0"/>
                    <w:right w:val="single" w:color="auto" w:sz="6" w:space="0"/>
                  </w:tcBorders>
                  <w:noWrap w:val="0"/>
                  <w:vAlign w:val="center"/>
                </w:tcPr>
                <w:p w14:paraId="2A3E22C7">
                  <w:pPr>
                    <w:pStyle w:val="56"/>
                    <w:bidi w:val="0"/>
                    <w:rPr>
                      <w:rFonts w:hint="eastAsia" w:ascii="Times New Roman" w:hAnsi="Times New Roman" w:eastAsia="宋体" w:cs="Times New Roman"/>
                      <w:color w:val="FF0000"/>
                      <w:szCs w:val="21"/>
                      <w:lang w:eastAsia="zh-CN"/>
                    </w:rPr>
                  </w:pPr>
                  <w:r>
                    <w:rPr>
                      <w:rFonts w:hint="eastAsia"/>
                      <w:color w:val="FF0000"/>
                      <w:lang w:val="en-US" w:eastAsia="zh-CN"/>
                    </w:rPr>
                    <w:t>新鲜</w:t>
                  </w:r>
                  <w:r>
                    <w:rPr>
                      <w:rFonts w:hint="eastAsia"/>
                      <w:color w:val="FF0000"/>
                      <w:lang w:eastAsia="zh-CN"/>
                    </w:rPr>
                    <w:t>水</w:t>
                  </w:r>
                </w:p>
              </w:tc>
              <w:tc>
                <w:tcPr>
                  <w:tcW w:w="675" w:type="pct"/>
                  <w:tcBorders>
                    <w:top w:val="single" w:color="auto" w:sz="6" w:space="0"/>
                    <w:left w:val="single" w:color="auto" w:sz="6" w:space="0"/>
                    <w:bottom w:val="single" w:color="auto" w:sz="6" w:space="0"/>
                    <w:right w:val="single" w:color="auto" w:sz="6" w:space="0"/>
                  </w:tcBorders>
                  <w:noWrap w:val="0"/>
                  <w:vAlign w:val="center"/>
                </w:tcPr>
                <w:p w14:paraId="1FE3AE0F">
                  <w:pPr>
                    <w:pStyle w:val="56"/>
                    <w:bidi w:val="0"/>
                    <w:rPr>
                      <w:rFonts w:hint="eastAsia" w:ascii="Times New Roman" w:hAnsi="Times New Roman" w:eastAsia="宋体" w:cs="Times New Roman"/>
                      <w:color w:val="FF0000"/>
                      <w:szCs w:val="21"/>
                      <w:lang w:eastAsia="zh-CN"/>
                    </w:rPr>
                  </w:pPr>
                  <w:r>
                    <w:rPr>
                      <w:rFonts w:hint="eastAsia"/>
                      <w:color w:val="FF0000"/>
                      <w:lang w:val="en-US" w:eastAsia="zh-CN"/>
                    </w:rPr>
                    <w:t>288</w:t>
                  </w:r>
                  <w:r>
                    <w:rPr>
                      <w:rFonts w:hint="eastAsia"/>
                      <w:color w:val="FF0000"/>
                      <w:lang w:eastAsia="zh-CN"/>
                    </w:rPr>
                    <w:t>m</w:t>
                  </w:r>
                  <w:r>
                    <w:rPr>
                      <w:rFonts w:hint="eastAsia"/>
                      <w:color w:val="FF0000"/>
                      <w:vertAlign w:val="superscript"/>
                      <w:lang w:eastAsia="zh-CN"/>
                    </w:rPr>
                    <w:t>3</w:t>
                  </w:r>
                  <w:r>
                    <w:rPr>
                      <w:rFonts w:hint="eastAsia"/>
                      <w:color w:val="FF0000"/>
                      <w:lang w:eastAsia="zh-CN"/>
                    </w:rPr>
                    <w:t>/a</w:t>
                  </w:r>
                </w:p>
              </w:tc>
              <w:tc>
                <w:tcPr>
                  <w:tcW w:w="598" w:type="pct"/>
                  <w:tcBorders>
                    <w:top w:val="single" w:color="auto" w:sz="6" w:space="0"/>
                    <w:left w:val="single" w:color="auto" w:sz="6" w:space="0"/>
                    <w:bottom w:val="single" w:color="auto" w:sz="6" w:space="0"/>
                    <w:right w:val="single" w:color="auto" w:sz="4" w:space="0"/>
                  </w:tcBorders>
                  <w:noWrap w:val="0"/>
                  <w:vAlign w:val="center"/>
                </w:tcPr>
                <w:p w14:paraId="21587FCB">
                  <w:pPr>
                    <w:pStyle w:val="56"/>
                    <w:bidi w:val="0"/>
                    <w:rPr>
                      <w:rFonts w:hint="eastAsia" w:ascii="Times New Roman" w:hAnsi="Times New Roman" w:eastAsia="宋体" w:cs="Times New Roman"/>
                      <w:color w:val="FF0000"/>
                      <w:szCs w:val="21"/>
                      <w:lang w:eastAsia="zh-CN"/>
                    </w:rPr>
                  </w:pPr>
                  <w:r>
                    <w:rPr>
                      <w:rFonts w:hint="eastAsia"/>
                      <w:color w:val="FF0000"/>
                      <w:lang w:eastAsia="zh-CN"/>
                    </w:rPr>
                    <w:t>/</w:t>
                  </w:r>
                </w:p>
              </w:tc>
              <w:tc>
                <w:tcPr>
                  <w:tcW w:w="1033" w:type="pct"/>
                  <w:tcBorders>
                    <w:top w:val="single" w:color="auto" w:sz="6" w:space="0"/>
                    <w:left w:val="single" w:color="auto" w:sz="4" w:space="0"/>
                    <w:bottom w:val="single" w:color="auto" w:sz="6" w:space="0"/>
                    <w:right w:val="single" w:color="auto" w:sz="4" w:space="0"/>
                  </w:tcBorders>
                  <w:noWrap w:val="0"/>
                  <w:vAlign w:val="center"/>
                </w:tcPr>
                <w:p w14:paraId="5E14F125">
                  <w:pPr>
                    <w:pStyle w:val="56"/>
                    <w:bidi w:val="0"/>
                    <w:jc w:val="center"/>
                    <w:rPr>
                      <w:rFonts w:hint="default" w:ascii="Times New Roman" w:hAnsi="Times New Roman" w:eastAsia="宋体" w:cs="Times New Roman"/>
                      <w:color w:val="FF0000"/>
                      <w:szCs w:val="21"/>
                      <w:lang w:val="en-US" w:eastAsia="zh-CN"/>
                    </w:rPr>
                  </w:pPr>
                  <w:r>
                    <w:rPr>
                      <w:rFonts w:hint="eastAsia"/>
                      <w:color w:val="FF0000"/>
                      <w:lang w:eastAsia="zh-CN"/>
                    </w:rPr>
                    <w:t>/</w:t>
                  </w:r>
                </w:p>
              </w:tc>
              <w:tc>
                <w:tcPr>
                  <w:tcW w:w="1730" w:type="dxa"/>
                  <w:tcBorders>
                    <w:top w:val="single" w:color="auto" w:sz="6" w:space="0"/>
                    <w:left w:val="single" w:color="auto" w:sz="4" w:space="0"/>
                    <w:bottom w:val="single" w:color="auto" w:sz="6" w:space="0"/>
                    <w:right w:val="single" w:color="auto" w:sz="4" w:space="0"/>
                  </w:tcBorders>
                  <w:noWrap w:val="0"/>
                  <w:vAlign w:val="center"/>
                </w:tcPr>
                <w:p w14:paraId="041A7AA6">
                  <w:pPr>
                    <w:pStyle w:val="56"/>
                    <w:bidi w:val="0"/>
                    <w:ind w:firstLine="0" w:firstLineChars="0"/>
                    <w:rPr>
                      <w:rFonts w:hint="eastAsia"/>
                      <w:color w:val="FF0000"/>
                      <w:lang w:val="en-US" w:eastAsia="zh-CN"/>
                    </w:rPr>
                  </w:pPr>
                  <w:r>
                    <w:rPr>
                      <w:rFonts w:hint="eastAsia"/>
                      <w:color w:val="FF0000"/>
                      <w:lang w:eastAsia="zh-CN"/>
                    </w:rPr>
                    <w:t>/</w:t>
                  </w:r>
                </w:p>
              </w:tc>
            </w:tr>
            <w:tr w14:paraId="262507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9" w:hRule="atLeast"/>
                <w:tblHeader/>
                <w:jc w:val="center"/>
              </w:trPr>
              <w:tc>
                <w:tcPr>
                  <w:tcW w:w="320" w:type="pct"/>
                  <w:tcBorders>
                    <w:top w:val="single" w:color="auto" w:sz="6" w:space="0"/>
                    <w:left w:val="single" w:color="auto" w:sz="6" w:space="0"/>
                    <w:bottom w:val="single" w:color="auto" w:sz="6" w:space="0"/>
                    <w:right w:val="single" w:color="auto" w:sz="6" w:space="0"/>
                  </w:tcBorders>
                  <w:noWrap w:val="0"/>
                  <w:vAlign w:val="center"/>
                </w:tcPr>
                <w:p w14:paraId="0D714B4B">
                  <w:pPr>
                    <w:pStyle w:val="56"/>
                    <w:bidi w:val="0"/>
                    <w:rPr>
                      <w:rFonts w:hint="default" w:ascii="Times New Roman" w:hAnsi="Times New Roman" w:eastAsia="宋体" w:cs="Times New Roman"/>
                      <w:szCs w:val="21"/>
                      <w:lang w:val="en-US" w:eastAsia="zh-CN"/>
                    </w:rPr>
                  </w:pPr>
                  <w:r>
                    <w:rPr>
                      <w:rFonts w:hint="eastAsia"/>
                      <w:lang w:val="en-US" w:eastAsia="zh-CN"/>
                    </w:rPr>
                    <w:t>12</w:t>
                  </w:r>
                </w:p>
              </w:tc>
              <w:tc>
                <w:tcPr>
                  <w:tcW w:w="436" w:type="pct"/>
                  <w:vMerge w:val="continue"/>
                  <w:tcBorders>
                    <w:left w:val="single" w:color="auto" w:sz="6" w:space="0"/>
                    <w:right w:val="single" w:color="auto" w:sz="4" w:space="0"/>
                  </w:tcBorders>
                  <w:noWrap w:val="0"/>
                  <w:vAlign w:val="center"/>
                </w:tcPr>
                <w:p w14:paraId="1452DC5C">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宋体" w:cs="Times New Roman"/>
                      <w:sz w:val="21"/>
                      <w:szCs w:val="21"/>
                      <w:lang w:eastAsia="zh-CN"/>
                    </w:rPr>
                  </w:pPr>
                </w:p>
              </w:tc>
              <w:tc>
                <w:tcPr>
                  <w:tcW w:w="901" w:type="pct"/>
                  <w:tcBorders>
                    <w:top w:val="single" w:color="auto" w:sz="6" w:space="0"/>
                    <w:left w:val="single" w:color="auto" w:sz="4" w:space="0"/>
                    <w:bottom w:val="single" w:color="auto" w:sz="6" w:space="0"/>
                    <w:right w:val="single" w:color="auto" w:sz="6" w:space="0"/>
                  </w:tcBorders>
                  <w:noWrap w:val="0"/>
                  <w:vAlign w:val="center"/>
                </w:tcPr>
                <w:p w14:paraId="00D46A86">
                  <w:pPr>
                    <w:pStyle w:val="56"/>
                    <w:bidi w:val="0"/>
                    <w:rPr>
                      <w:rFonts w:hint="eastAsia" w:ascii="Times New Roman" w:hAnsi="Times New Roman" w:eastAsia="宋体" w:cs="Times New Roman"/>
                      <w:szCs w:val="21"/>
                      <w:lang w:eastAsia="zh-CN"/>
                    </w:rPr>
                  </w:pPr>
                  <w:r>
                    <w:rPr>
                      <w:rFonts w:hint="eastAsia"/>
                      <w:lang w:eastAsia="zh-CN"/>
                    </w:rPr>
                    <w:t>电</w:t>
                  </w:r>
                </w:p>
              </w:tc>
              <w:tc>
                <w:tcPr>
                  <w:tcW w:w="675" w:type="pct"/>
                  <w:tcBorders>
                    <w:top w:val="single" w:color="auto" w:sz="6" w:space="0"/>
                    <w:left w:val="single" w:color="auto" w:sz="6" w:space="0"/>
                    <w:bottom w:val="single" w:color="auto" w:sz="6" w:space="0"/>
                    <w:right w:val="single" w:color="auto" w:sz="6" w:space="0"/>
                  </w:tcBorders>
                  <w:noWrap w:val="0"/>
                  <w:vAlign w:val="center"/>
                </w:tcPr>
                <w:p w14:paraId="630DDB47">
                  <w:pPr>
                    <w:pStyle w:val="56"/>
                    <w:bidi w:val="0"/>
                    <w:rPr>
                      <w:rFonts w:hint="eastAsia" w:ascii="Times New Roman" w:hAnsi="Times New Roman" w:eastAsia="宋体" w:cs="Times New Roman"/>
                      <w:szCs w:val="21"/>
                      <w:lang w:eastAsia="zh-CN"/>
                    </w:rPr>
                  </w:pPr>
                  <w:r>
                    <w:rPr>
                      <w:rFonts w:hint="eastAsia"/>
                      <w:lang w:val="en-US" w:eastAsia="zh-CN"/>
                    </w:rPr>
                    <w:t>50</w:t>
                  </w:r>
                  <w:r>
                    <w:rPr>
                      <w:rFonts w:hint="eastAsia"/>
                      <w:lang w:eastAsia="zh-CN"/>
                    </w:rPr>
                    <w:t>万</w:t>
                  </w:r>
                  <w:r>
                    <w:rPr>
                      <w:rFonts w:hint="eastAsia"/>
                      <w:lang w:val="en-US" w:eastAsia="zh-CN"/>
                    </w:rPr>
                    <w:t>k</w:t>
                  </w:r>
                  <w:r>
                    <w:rPr>
                      <w:rFonts w:hint="eastAsia"/>
                      <w:lang w:eastAsia="zh-CN"/>
                    </w:rPr>
                    <w:t>Wh/a</w:t>
                  </w:r>
                  <w:r>
                    <w:rPr>
                      <w:rFonts w:hint="eastAsia"/>
                      <w:lang w:eastAsia="zh-CN"/>
                    </w:rPr>
                    <w:cr/>
                  </w:r>
                </w:p>
              </w:tc>
              <w:tc>
                <w:tcPr>
                  <w:tcW w:w="598" w:type="pct"/>
                  <w:tcBorders>
                    <w:top w:val="single" w:color="auto" w:sz="6" w:space="0"/>
                    <w:left w:val="single" w:color="auto" w:sz="6" w:space="0"/>
                    <w:bottom w:val="single" w:color="auto" w:sz="6" w:space="0"/>
                    <w:right w:val="single" w:color="auto" w:sz="4" w:space="0"/>
                  </w:tcBorders>
                  <w:noWrap w:val="0"/>
                  <w:vAlign w:val="center"/>
                </w:tcPr>
                <w:p w14:paraId="7C8CC166">
                  <w:pPr>
                    <w:pStyle w:val="56"/>
                    <w:bidi w:val="0"/>
                    <w:rPr>
                      <w:rFonts w:hint="eastAsia" w:ascii="Times New Roman" w:hAnsi="Times New Roman" w:eastAsia="宋体" w:cs="Times New Roman"/>
                      <w:szCs w:val="21"/>
                      <w:lang w:eastAsia="zh-CN"/>
                    </w:rPr>
                  </w:pPr>
                  <w:r>
                    <w:rPr>
                      <w:rFonts w:hint="eastAsia"/>
                      <w:lang w:eastAsia="zh-CN"/>
                    </w:rPr>
                    <w:t>/</w:t>
                  </w:r>
                </w:p>
              </w:tc>
              <w:tc>
                <w:tcPr>
                  <w:tcW w:w="1033" w:type="pct"/>
                  <w:tcBorders>
                    <w:top w:val="single" w:color="auto" w:sz="6" w:space="0"/>
                    <w:left w:val="single" w:color="auto" w:sz="4" w:space="0"/>
                    <w:bottom w:val="single" w:color="auto" w:sz="6" w:space="0"/>
                    <w:right w:val="single" w:color="auto" w:sz="4" w:space="0"/>
                  </w:tcBorders>
                  <w:noWrap w:val="0"/>
                  <w:vAlign w:val="center"/>
                </w:tcPr>
                <w:p w14:paraId="58B6EC74">
                  <w:pPr>
                    <w:pStyle w:val="56"/>
                    <w:bidi w:val="0"/>
                    <w:rPr>
                      <w:rFonts w:hint="eastAsia" w:ascii="Times New Roman" w:hAnsi="Times New Roman" w:eastAsia="宋体" w:cs="Times New Roman"/>
                      <w:szCs w:val="21"/>
                      <w:lang w:eastAsia="zh-CN"/>
                    </w:rPr>
                  </w:pPr>
                  <w:r>
                    <w:rPr>
                      <w:rFonts w:hint="eastAsia"/>
                      <w:lang w:eastAsia="zh-CN"/>
                    </w:rPr>
                    <w:t>/</w:t>
                  </w:r>
                </w:p>
              </w:tc>
              <w:tc>
                <w:tcPr>
                  <w:tcW w:w="1730" w:type="dxa"/>
                  <w:tcBorders>
                    <w:top w:val="single" w:color="auto" w:sz="6" w:space="0"/>
                    <w:left w:val="single" w:color="auto" w:sz="4" w:space="0"/>
                    <w:bottom w:val="single" w:color="auto" w:sz="6" w:space="0"/>
                    <w:right w:val="single" w:color="auto" w:sz="4" w:space="0"/>
                  </w:tcBorders>
                  <w:noWrap w:val="0"/>
                  <w:vAlign w:val="center"/>
                </w:tcPr>
                <w:p w14:paraId="5AE72E93">
                  <w:pPr>
                    <w:pStyle w:val="56"/>
                    <w:bidi w:val="0"/>
                    <w:ind w:firstLine="0" w:firstLineChars="0"/>
                    <w:rPr>
                      <w:rFonts w:hint="eastAsia"/>
                      <w:lang w:eastAsia="zh-CN"/>
                    </w:rPr>
                  </w:pPr>
                  <w:r>
                    <w:rPr>
                      <w:rFonts w:hint="eastAsia"/>
                      <w:lang w:eastAsia="zh-CN"/>
                    </w:rPr>
                    <w:t>/</w:t>
                  </w:r>
                </w:p>
              </w:tc>
            </w:tr>
          </w:tbl>
          <w:p w14:paraId="2A96384F">
            <w:pPr>
              <w:pStyle w:val="160"/>
              <w:keepNext w:val="0"/>
              <w:keepLines w:val="0"/>
              <w:pageBreakBefore w:val="0"/>
              <w:widowControl w:val="0"/>
              <w:kinsoku/>
              <w:wordWrap/>
              <w:overflowPunct/>
              <w:topLinePunct w:val="0"/>
              <w:autoSpaceDE/>
              <w:autoSpaceDN/>
              <w:bidi w:val="0"/>
              <w:adjustRightInd w:val="0"/>
              <w:snapToGrid w:val="0"/>
              <w:spacing w:line="360" w:lineRule="auto"/>
              <w:ind w:firstLine="440"/>
              <w:textAlignment w:val="auto"/>
              <w:rPr>
                <w:rFonts w:ascii="Times New Roman" w:hAnsi="Times New Roman" w:cs="Times New Roman"/>
                <w:bCs/>
                <w:kern w:val="2"/>
                <w:sz w:val="22"/>
                <w:szCs w:val="24"/>
              </w:rPr>
            </w:pPr>
            <w:r>
              <w:rPr>
                <w:rFonts w:hint="eastAsia" w:ascii="Times New Roman" w:hAnsi="Times New Roman" w:cs="Times New Roman"/>
                <w:bCs/>
                <w:kern w:val="2"/>
                <w:sz w:val="22"/>
                <w:szCs w:val="24"/>
                <w:lang w:val="en-US" w:eastAsia="zh-CN"/>
              </w:rPr>
              <w:t>注：</w:t>
            </w:r>
            <w:r>
              <w:rPr>
                <w:rFonts w:hint="eastAsia" w:ascii="Times New Roman" w:hAnsi="Times New Roman" w:cs="Times New Roman"/>
                <w:bCs/>
                <w:color w:val="FF0000"/>
                <w:kern w:val="2"/>
                <w:sz w:val="22"/>
                <w:szCs w:val="24"/>
                <w:lang w:val="en-US" w:eastAsia="zh-CN"/>
              </w:rPr>
              <w:t>本项目混凝土制备比例为水0.44：水泥1：机制砂1.42：碎石（石粉）3.17：减水剂0.001。</w:t>
            </w:r>
            <w:r>
              <w:rPr>
                <w:rFonts w:ascii="Times New Roman" w:hAnsi="Times New Roman" w:cs="Times New Roman"/>
                <w:bCs/>
                <w:kern w:val="2"/>
                <w:sz w:val="22"/>
                <w:szCs w:val="24"/>
              </w:rPr>
              <w:t>本项目主要原</w:t>
            </w:r>
            <w:r>
              <w:rPr>
                <w:rFonts w:hint="eastAsia" w:ascii="Times New Roman" w:hAnsi="Times New Roman" w:cs="Times New Roman"/>
                <w:bCs/>
                <w:kern w:val="2"/>
                <w:sz w:val="22"/>
                <w:szCs w:val="24"/>
              </w:rPr>
              <w:t>辅</w:t>
            </w:r>
            <w:r>
              <w:rPr>
                <w:rFonts w:ascii="Times New Roman" w:hAnsi="Times New Roman" w:cs="Times New Roman"/>
                <w:bCs/>
                <w:kern w:val="2"/>
                <w:sz w:val="22"/>
                <w:szCs w:val="24"/>
              </w:rPr>
              <w:t>料理化性质</w:t>
            </w:r>
            <w:r>
              <w:rPr>
                <w:rFonts w:hint="eastAsia" w:ascii="Times New Roman" w:hAnsi="Times New Roman" w:cs="Times New Roman"/>
                <w:bCs/>
                <w:kern w:val="2"/>
                <w:sz w:val="22"/>
                <w:szCs w:val="24"/>
              </w:rPr>
              <w:t>见</w:t>
            </w:r>
            <w:r>
              <w:rPr>
                <w:rFonts w:ascii="Times New Roman" w:hAnsi="Times New Roman" w:cs="Times New Roman"/>
                <w:bCs/>
                <w:kern w:val="2"/>
                <w:sz w:val="22"/>
                <w:szCs w:val="24"/>
              </w:rPr>
              <w:t>表</w:t>
            </w:r>
            <w:r>
              <w:rPr>
                <w:rFonts w:hint="eastAsia" w:ascii="Times New Roman" w:hAnsi="Times New Roman" w:cs="Times New Roman"/>
                <w:bCs/>
                <w:kern w:val="2"/>
                <w:sz w:val="22"/>
                <w:szCs w:val="24"/>
              </w:rPr>
              <w:t>2</w:t>
            </w:r>
            <w:r>
              <w:rPr>
                <w:rFonts w:hint="eastAsia" w:ascii="Times New Roman" w:hAnsi="Times New Roman" w:cs="Times New Roman"/>
                <w:bCs/>
                <w:kern w:val="2"/>
                <w:sz w:val="22"/>
                <w:szCs w:val="24"/>
                <w:lang w:val="en-US" w:eastAsia="zh-CN"/>
              </w:rPr>
              <w:t>-6</w:t>
            </w:r>
            <w:r>
              <w:rPr>
                <w:rFonts w:ascii="Times New Roman" w:hAnsi="Times New Roman" w:cs="Times New Roman"/>
                <w:bCs/>
                <w:kern w:val="2"/>
                <w:sz w:val="22"/>
                <w:szCs w:val="24"/>
              </w:rPr>
              <w:t>。</w:t>
            </w:r>
          </w:p>
          <w:p w14:paraId="08B28ACE">
            <w:pPr>
              <w:pStyle w:val="59"/>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240" w:lineRule="auto"/>
              <w:ind w:leftChars="0"/>
              <w:jc w:val="center"/>
              <w:textAlignment w:val="auto"/>
              <w:rPr>
                <w:rFonts w:hint="eastAsia" w:ascii="Times New Roman" w:hAnsi="Times New Roman" w:eastAsia="宋体" w:cs="Times New Roman"/>
                <w:b/>
                <w:bCs/>
                <w:lang w:val="en-US" w:eastAsia="zh-CN"/>
              </w:rPr>
            </w:pPr>
            <w:r>
              <w:rPr>
                <w:rFonts w:hint="eastAsia" w:ascii="Times New Roman" w:hAnsi="Times New Roman" w:eastAsia="宋体" w:cs="Times New Roman"/>
                <w:b/>
                <w:bCs/>
                <w:lang w:val="en-US" w:eastAsia="zh-CN"/>
              </w:rPr>
              <w:t>表2-</w:t>
            </w:r>
            <w:r>
              <w:rPr>
                <w:rFonts w:hint="eastAsia" w:cs="Times New Roman"/>
                <w:b/>
                <w:bCs/>
                <w:lang w:val="en-US" w:eastAsia="zh-CN"/>
              </w:rPr>
              <w:t>6</w:t>
            </w:r>
            <w:r>
              <w:rPr>
                <w:rFonts w:hint="eastAsia" w:ascii="Times New Roman" w:hAnsi="Times New Roman" w:eastAsia="宋体" w:cs="Times New Roman"/>
                <w:b/>
                <w:bCs/>
                <w:lang w:val="en-US" w:eastAsia="zh-CN"/>
              </w:rPr>
              <w:t xml:space="preserve"> 主要原辅料理化性质表</w:t>
            </w:r>
          </w:p>
          <w:tbl>
            <w:tblPr>
              <w:tblStyle w:val="41"/>
              <w:tblW w:w="4999"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71"/>
              <w:gridCol w:w="756"/>
              <w:gridCol w:w="6746"/>
            </w:tblGrid>
            <w:tr w14:paraId="4E2890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9" w:hRule="atLeast"/>
                <w:tblHeader/>
                <w:jc w:val="center"/>
              </w:trPr>
              <w:tc>
                <w:tcPr>
                  <w:tcW w:w="520" w:type="pct"/>
                  <w:tcBorders>
                    <w:top w:val="single" w:color="auto" w:sz="6" w:space="0"/>
                    <w:left w:val="single" w:color="auto" w:sz="6" w:space="0"/>
                    <w:bottom w:val="single" w:color="auto" w:sz="6" w:space="0"/>
                    <w:right w:val="single" w:color="auto" w:sz="6" w:space="0"/>
                  </w:tcBorders>
                  <w:noWrap w:val="0"/>
                  <w:vAlign w:val="center"/>
                </w:tcPr>
                <w:p w14:paraId="071D9E6E">
                  <w:pPr>
                    <w:pStyle w:val="56"/>
                    <w:bidi w:val="0"/>
                    <w:rPr>
                      <w:rFonts w:hint="eastAsia" w:ascii="Times New Roman" w:hAnsi="Times New Roman" w:eastAsia="宋体" w:cs="Times New Roman"/>
                      <w:szCs w:val="21"/>
                      <w:lang w:eastAsia="zh-CN"/>
                    </w:rPr>
                  </w:pPr>
                  <w:r>
                    <w:rPr>
                      <w:rFonts w:hint="eastAsia"/>
                      <w:lang w:eastAsia="zh-CN"/>
                    </w:rPr>
                    <w:t>序号</w:t>
                  </w:r>
                </w:p>
              </w:tc>
              <w:tc>
                <w:tcPr>
                  <w:tcW w:w="451" w:type="pct"/>
                  <w:tcBorders>
                    <w:top w:val="single" w:color="auto" w:sz="6" w:space="0"/>
                    <w:left w:val="single" w:color="auto" w:sz="6" w:space="0"/>
                    <w:bottom w:val="single" w:color="auto" w:sz="6" w:space="0"/>
                    <w:right w:val="single" w:color="auto" w:sz="6" w:space="0"/>
                  </w:tcBorders>
                  <w:noWrap w:val="0"/>
                  <w:vAlign w:val="center"/>
                </w:tcPr>
                <w:p w14:paraId="0F5921EA">
                  <w:pPr>
                    <w:pStyle w:val="56"/>
                    <w:bidi w:val="0"/>
                    <w:rPr>
                      <w:rFonts w:hint="eastAsia" w:ascii="Times New Roman" w:hAnsi="Times New Roman" w:eastAsia="宋体" w:cs="Times New Roman"/>
                      <w:szCs w:val="21"/>
                      <w:lang w:eastAsia="zh-CN"/>
                    </w:rPr>
                  </w:pPr>
                  <w:r>
                    <w:rPr>
                      <w:rFonts w:hint="eastAsia"/>
                      <w:lang w:eastAsia="zh-CN"/>
                    </w:rPr>
                    <w:t>名称</w:t>
                  </w:r>
                </w:p>
              </w:tc>
              <w:tc>
                <w:tcPr>
                  <w:tcW w:w="4027" w:type="pct"/>
                  <w:tcBorders>
                    <w:top w:val="single" w:color="auto" w:sz="6" w:space="0"/>
                    <w:left w:val="single" w:color="auto" w:sz="6" w:space="0"/>
                    <w:bottom w:val="single" w:color="auto" w:sz="6" w:space="0"/>
                    <w:right w:val="single" w:color="auto" w:sz="6" w:space="0"/>
                  </w:tcBorders>
                  <w:noWrap w:val="0"/>
                  <w:vAlign w:val="center"/>
                </w:tcPr>
                <w:p w14:paraId="630ADE3F">
                  <w:pPr>
                    <w:pStyle w:val="56"/>
                    <w:bidi w:val="0"/>
                    <w:rPr>
                      <w:rFonts w:hint="eastAsia" w:ascii="Times New Roman" w:hAnsi="Times New Roman" w:eastAsia="宋体" w:cs="Times New Roman"/>
                      <w:szCs w:val="21"/>
                      <w:lang w:eastAsia="zh-CN"/>
                    </w:rPr>
                  </w:pPr>
                  <w:r>
                    <w:rPr>
                      <w:rFonts w:hint="eastAsia"/>
                      <w:lang w:eastAsia="zh-CN"/>
                    </w:rPr>
                    <w:t>理化性质</w:t>
                  </w:r>
                </w:p>
              </w:tc>
            </w:tr>
            <w:tr w14:paraId="11F07A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9" w:hRule="atLeast"/>
                <w:tblHeader/>
                <w:jc w:val="center"/>
              </w:trPr>
              <w:tc>
                <w:tcPr>
                  <w:tcW w:w="520" w:type="pct"/>
                  <w:tcBorders>
                    <w:top w:val="single" w:color="auto" w:sz="6" w:space="0"/>
                    <w:left w:val="single" w:color="auto" w:sz="6" w:space="0"/>
                    <w:bottom w:val="single" w:color="auto" w:sz="6" w:space="0"/>
                    <w:right w:val="single" w:color="auto" w:sz="6" w:space="0"/>
                  </w:tcBorders>
                  <w:noWrap w:val="0"/>
                  <w:vAlign w:val="center"/>
                </w:tcPr>
                <w:p w14:paraId="043F7176">
                  <w:pPr>
                    <w:pStyle w:val="56"/>
                    <w:bidi w:val="0"/>
                    <w:rPr>
                      <w:rFonts w:hint="eastAsia" w:ascii="Times New Roman" w:hAnsi="Times New Roman" w:eastAsia="宋体" w:cs="Times New Roman"/>
                      <w:color w:val="FF0000"/>
                      <w:szCs w:val="21"/>
                      <w:lang w:eastAsia="zh-CN"/>
                    </w:rPr>
                  </w:pPr>
                  <w:r>
                    <w:rPr>
                      <w:rFonts w:hint="eastAsia"/>
                      <w:color w:val="FF0000"/>
                      <w:lang w:eastAsia="zh-CN"/>
                    </w:rPr>
                    <w:t>1</w:t>
                  </w:r>
                </w:p>
              </w:tc>
              <w:tc>
                <w:tcPr>
                  <w:tcW w:w="451" w:type="pct"/>
                  <w:tcBorders>
                    <w:top w:val="single" w:color="auto" w:sz="6" w:space="0"/>
                    <w:left w:val="single" w:color="auto" w:sz="6" w:space="0"/>
                    <w:bottom w:val="single" w:color="auto" w:sz="6" w:space="0"/>
                    <w:right w:val="single" w:color="auto" w:sz="6" w:space="0"/>
                  </w:tcBorders>
                  <w:noWrap w:val="0"/>
                  <w:vAlign w:val="center"/>
                </w:tcPr>
                <w:p w14:paraId="1E8EA41E">
                  <w:pPr>
                    <w:pStyle w:val="56"/>
                    <w:bidi w:val="0"/>
                    <w:rPr>
                      <w:rFonts w:hint="eastAsia" w:ascii="Times New Roman" w:hAnsi="Times New Roman" w:eastAsia="宋体" w:cs="Times New Roman"/>
                      <w:color w:val="FF0000"/>
                      <w:szCs w:val="21"/>
                      <w:lang w:eastAsia="zh-CN"/>
                    </w:rPr>
                  </w:pPr>
                  <w:r>
                    <w:rPr>
                      <w:rFonts w:hint="eastAsia"/>
                      <w:color w:val="FF0000"/>
                      <w:lang w:eastAsia="zh-CN"/>
                    </w:rPr>
                    <w:t>硬脂酸钙</w:t>
                  </w:r>
                </w:p>
              </w:tc>
              <w:tc>
                <w:tcPr>
                  <w:tcW w:w="4027" w:type="pct"/>
                  <w:tcBorders>
                    <w:top w:val="single" w:color="auto" w:sz="6" w:space="0"/>
                    <w:left w:val="single" w:color="auto" w:sz="6" w:space="0"/>
                    <w:bottom w:val="single" w:color="auto" w:sz="6" w:space="0"/>
                    <w:right w:val="single" w:color="auto" w:sz="6" w:space="0"/>
                  </w:tcBorders>
                  <w:noWrap w:val="0"/>
                  <w:vAlign w:val="center"/>
                </w:tcPr>
                <w:p w14:paraId="5158EE1A">
                  <w:pPr>
                    <w:pStyle w:val="56"/>
                    <w:bidi w:val="0"/>
                    <w:jc w:val="left"/>
                    <w:rPr>
                      <w:rFonts w:hint="eastAsia" w:ascii="Times New Roman" w:hAnsi="Times New Roman" w:eastAsia="宋体" w:cs="Times New Roman"/>
                      <w:color w:val="FF0000"/>
                      <w:szCs w:val="21"/>
                      <w:lang w:eastAsia="zh-CN"/>
                    </w:rPr>
                  </w:pPr>
                  <w:r>
                    <w:rPr>
                      <w:rFonts w:hint="eastAsia"/>
                      <w:color w:val="FF0000"/>
                      <w:lang w:eastAsia="zh-CN"/>
                    </w:rPr>
                    <w:t>硬脂酸钙是一种有机化合物，分子式为C</w:t>
                  </w:r>
                  <w:r>
                    <w:rPr>
                      <w:rFonts w:hint="eastAsia"/>
                      <w:color w:val="FF0000"/>
                      <w:vertAlign w:val="subscript"/>
                      <w:lang w:eastAsia="zh-CN"/>
                    </w:rPr>
                    <w:t>36</w:t>
                  </w:r>
                  <w:r>
                    <w:rPr>
                      <w:rFonts w:hint="eastAsia"/>
                      <w:color w:val="FF0000"/>
                      <w:lang w:eastAsia="zh-CN"/>
                    </w:rPr>
                    <w:t>H</w:t>
                  </w:r>
                  <w:r>
                    <w:rPr>
                      <w:rFonts w:hint="eastAsia"/>
                      <w:color w:val="FF0000"/>
                      <w:vertAlign w:val="subscript"/>
                      <w:lang w:eastAsia="zh-CN"/>
                    </w:rPr>
                    <w:t>70</w:t>
                  </w:r>
                  <w:r>
                    <w:rPr>
                      <w:rFonts w:hint="eastAsia"/>
                      <w:color w:val="FF0000"/>
                      <w:lang w:eastAsia="zh-CN"/>
                    </w:rPr>
                    <w:t>CaO</w:t>
                  </w:r>
                  <w:r>
                    <w:rPr>
                      <w:rFonts w:hint="eastAsia"/>
                      <w:color w:val="FF0000"/>
                      <w:vertAlign w:val="subscript"/>
                      <w:lang w:eastAsia="zh-CN"/>
                    </w:rPr>
                    <w:t>4</w:t>
                  </w:r>
                  <w:r>
                    <w:rPr>
                      <w:rFonts w:hint="eastAsia"/>
                      <w:color w:val="FF0000"/>
                      <w:lang w:eastAsia="zh-CN"/>
                    </w:rPr>
                    <w:t>，白色粉末，不溶于水，可用作防水剂、润滑剂和塑料助剂等。冷的乙醇和乙醚，溶于热苯、苯和松节油等有机溶剂，微溶于热的乙醇和乙醚。加热至400℃时缓缓分解，可燃，遇强酸分解为硬脂酸和相应的钙盐，有吸湿性。</w:t>
                  </w:r>
                </w:p>
              </w:tc>
            </w:tr>
            <w:tr w14:paraId="5BC3BD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61" w:hRule="atLeast"/>
                <w:tblHeader/>
                <w:jc w:val="center"/>
              </w:trPr>
              <w:tc>
                <w:tcPr>
                  <w:tcW w:w="520" w:type="pct"/>
                  <w:tcBorders>
                    <w:top w:val="single" w:color="auto" w:sz="6" w:space="0"/>
                    <w:left w:val="single" w:color="auto" w:sz="6" w:space="0"/>
                    <w:bottom w:val="single" w:color="auto" w:sz="6" w:space="0"/>
                    <w:right w:val="single" w:color="auto" w:sz="6" w:space="0"/>
                  </w:tcBorders>
                  <w:noWrap w:val="0"/>
                  <w:vAlign w:val="center"/>
                </w:tcPr>
                <w:p w14:paraId="1201E9B6">
                  <w:pPr>
                    <w:pStyle w:val="56"/>
                    <w:bidi w:val="0"/>
                    <w:rPr>
                      <w:rFonts w:hint="default" w:ascii="Times New Roman" w:hAnsi="Times New Roman" w:eastAsia="宋体" w:cs="Times New Roman"/>
                      <w:color w:val="FF0000"/>
                      <w:szCs w:val="21"/>
                      <w:lang w:val="en-US" w:eastAsia="zh-CN"/>
                    </w:rPr>
                  </w:pPr>
                  <w:r>
                    <w:rPr>
                      <w:rFonts w:hint="eastAsia"/>
                      <w:color w:val="FF0000"/>
                      <w:lang w:val="en-US" w:eastAsia="zh-CN"/>
                    </w:rPr>
                    <w:t>2</w:t>
                  </w:r>
                </w:p>
              </w:tc>
              <w:tc>
                <w:tcPr>
                  <w:tcW w:w="451" w:type="pct"/>
                  <w:tcBorders>
                    <w:top w:val="single" w:color="auto" w:sz="6" w:space="0"/>
                    <w:left w:val="single" w:color="auto" w:sz="6" w:space="0"/>
                    <w:bottom w:val="single" w:color="auto" w:sz="6" w:space="0"/>
                    <w:right w:val="single" w:color="auto" w:sz="6" w:space="0"/>
                  </w:tcBorders>
                  <w:noWrap w:val="0"/>
                  <w:vAlign w:val="center"/>
                </w:tcPr>
                <w:p w14:paraId="738269E0">
                  <w:pPr>
                    <w:pStyle w:val="56"/>
                    <w:bidi w:val="0"/>
                    <w:rPr>
                      <w:rFonts w:hint="eastAsia" w:ascii="Times New Roman" w:hAnsi="Times New Roman" w:eastAsia="宋体" w:cs="Times New Roman"/>
                      <w:color w:val="FF0000"/>
                      <w:szCs w:val="21"/>
                      <w:lang w:eastAsia="zh-CN"/>
                    </w:rPr>
                  </w:pPr>
                  <w:r>
                    <w:rPr>
                      <w:rFonts w:hint="eastAsia"/>
                      <w:color w:val="FF0000"/>
                      <w:lang w:val="en-US" w:eastAsia="zh-CN"/>
                    </w:rPr>
                    <w:t>混凝土减水剂</w:t>
                  </w:r>
                </w:p>
              </w:tc>
              <w:tc>
                <w:tcPr>
                  <w:tcW w:w="4027" w:type="pct"/>
                  <w:tcBorders>
                    <w:top w:val="single" w:color="auto" w:sz="6" w:space="0"/>
                    <w:left w:val="single" w:color="auto" w:sz="6" w:space="0"/>
                    <w:bottom w:val="single" w:color="auto" w:sz="6" w:space="0"/>
                    <w:right w:val="single" w:color="auto" w:sz="6" w:space="0"/>
                  </w:tcBorders>
                  <w:noWrap w:val="0"/>
                  <w:vAlign w:val="center"/>
                </w:tcPr>
                <w:p w14:paraId="2B43EC67">
                  <w:pPr>
                    <w:pStyle w:val="56"/>
                    <w:bidi w:val="0"/>
                    <w:jc w:val="left"/>
                    <w:rPr>
                      <w:rFonts w:hint="eastAsia" w:ascii="Times New Roman" w:hAnsi="Times New Roman" w:eastAsia="宋体" w:cs="Times New Roman"/>
                      <w:color w:val="FF0000"/>
                      <w:szCs w:val="21"/>
                      <w:lang w:eastAsia="zh-CN"/>
                    </w:rPr>
                  </w:pPr>
                  <w:r>
                    <w:rPr>
                      <w:rFonts w:hint="eastAsia"/>
                      <w:color w:val="FF0000"/>
                      <w:lang w:eastAsia="zh-CN"/>
                    </w:rPr>
                    <w:t>混凝土减水剂是建材的一种，化学助剂类，目前应用广泛，用于混凝土的减水剂，化学名称为：亚甲基二甲基二萘磺酸钠聚合物。不仅能满足各种强度等级的现浇、预拌蒸养混凝土而且与水泥相溶性好。减水率大，早强和增强效果显著。使用本产品可满足有延缓凝结时间要求的混凝土工程，能降低水化热延缓温峰。要增加混凝土的流动性，改善混凝土的和易性，提高工程质量。</w:t>
                  </w:r>
                </w:p>
              </w:tc>
            </w:tr>
          </w:tbl>
          <w:p w14:paraId="7694736F">
            <w:pPr>
              <w:spacing w:line="360" w:lineRule="auto"/>
              <w:ind w:firstLine="482"/>
              <w:rPr>
                <w:b/>
                <w:bCs/>
              </w:rPr>
            </w:pPr>
            <w:r>
              <w:rPr>
                <w:rFonts w:hint="eastAsia"/>
                <w:b/>
                <w:bCs/>
              </w:rPr>
              <w:t>6、</w:t>
            </w:r>
            <w:r>
              <w:rPr>
                <w:b/>
                <w:bCs/>
              </w:rPr>
              <w:t>公用工程</w:t>
            </w:r>
          </w:p>
          <w:p w14:paraId="5C115ED8">
            <w:pPr>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pPr>
            <w:r>
              <w:rPr>
                <w:rFonts w:hint="eastAsia"/>
              </w:rPr>
              <w:t>（1）</w:t>
            </w:r>
            <w:r>
              <w:t>给水</w:t>
            </w:r>
          </w:p>
          <w:p w14:paraId="0EF315D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szCs w:val="24"/>
              </w:rPr>
            </w:pPr>
            <w:r>
              <w:rPr>
                <w:rFonts w:hint="eastAsia" w:ascii="宋体" w:hAnsi="宋体" w:cs="宋体"/>
                <w:sz w:val="24"/>
                <w:szCs w:val="24"/>
              </w:rPr>
              <w:t>①</w:t>
            </w:r>
            <w:r>
              <w:rPr>
                <w:rFonts w:hint="eastAsia"/>
                <w:sz w:val="24"/>
                <w:szCs w:val="24"/>
              </w:rPr>
              <w:t>混凝土搅拌用水</w:t>
            </w:r>
          </w:p>
          <w:p w14:paraId="159B82C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kern w:val="0"/>
                <w:sz w:val="24"/>
                <w:szCs w:val="24"/>
              </w:rPr>
            </w:pPr>
            <w:r>
              <w:rPr>
                <w:kern w:val="0"/>
                <w:sz w:val="24"/>
                <w:szCs w:val="24"/>
              </w:rPr>
              <w:t>根据</w:t>
            </w:r>
            <w:r>
              <w:rPr>
                <w:rFonts w:hint="eastAsia"/>
                <w:color w:val="FF0000"/>
                <w:kern w:val="0"/>
                <w:sz w:val="24"/>
                <w:szCs w:val="24"/>
                <w:lang w:val="en-US" w:eastAsia="zh-CN"/>
              </w:rPr>
              <w:t>前文各物料配比计算</w:t>
            </w:r>
            <w:r>
              <w:rPr>
                <w:kern w:val="0"/>
                <w:sz w:val="24"/>
                <w:szCs w:val="24"/>
              </w:rPr>
              <w:t>，混凝土搅拌用水</w:t>
            </w:r>
            <w:r>
              <w:rPr>
                <w:rFonts w:hint="eastAsia"/>
                <w:kern w:val="0"/>
                <w:sz w:val="24"/>
                <w:szCs w:val="24"/>
                <w:lang w:val="en-US" w:eastAsia="zh-CN"/>
              </w:rPr>
              <w:t>约1022m</w:t>
            </w:r>
            <w:r>
              <w:rPr>
                <w:rFonts w:hint="eastAsia"/>
                <w:kern w:val="0"/>
                <w:sz w:val="24"/>
                <w:szCs w:val="24"/>
                <w:vertAlign w:val="superscript"/>
                <w:lang w:val="en-US" w:eastAsia="zh-CN"/>
              </w:rPr>
              <w:t>3</w:t>
            </w:r>
            <w:r>
              <w:rPr>
                <w:rFonts w:hint="eastAsia"/>
                <w:kern w:val="0"/>
                <w:sz w:val="24"/>
                <w:szCs w:val="24"/>
                <w:lang w:val="en-US" w:eastAsia="zh-CN"/>
              </w:rPr>
              <w:t>/a，混凝土搅拌用水进入产品不外排</w:t>
            </w:r>
            <w:r>
              <w:rPr>
                <w:kern w:val="0"/>
                <w:sz w:val="24"/>
                <w:szCs w:val="24"/>
              </w:rPr>
              <w:t>。</w:t>
            </w:r>
          </w:p>
          <w:p w14:paraId="5C8BF34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szCs w:val="24"/>
              </w:rPr>
            </w:pPr>
            <w:r>
              <w:rPr>
                <w:rFonts w:hint="eastAsia" w:ascii="宋体" w:hAnsi="宋体" w:cs="宋体"/>
                <w:sz w:val="24"/>
                <w:szCs w:val="24"/>
              </w:rPr>
              <w:t>②</w:t>
            </w:r>
            <w:r>
              <w:rPr>
                <w:rFonts w:hint="eastAsia"/>
                <w:sz w:val="24"/>
                <w:szCs w:val="24"/>
              </w:rPr>
              <w:t>设备冲洗用水</w:t>
            </w:r>
          </w:p>
          <w:p w14:paraId="6BA2FA6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kern w:val="0"/>
                <w:sz w:val="24"/>
                <w:szCs w:val="24"/>
                <w:lang w:val="en-US"/>
              </w:rPr>
            </w:pPr>
            <w:r>
              <w:rPr>
                <w:rFonts w:hint="eastAsia"/>
                <w:kern w:val="0"/>
                <w:sz w:val="24"/>
                <w:szCs w:val="24"/>
              </w:rPr>
              <w:t>项目</w:t>
            </w:r>
            <w:r>
              <w:rPr>
                <w:kern w:val="0"/>
                <w:sz w:val="24"/>
                <w:szCs w:val="24"/>
              </w:rPr>
              <w:t>搅拌机暂停生产时须冲洗干净，以防机内混凝土结块，本项目设</w:t>
            </w:r>
            <w:r>
              <w:rPr>
                <w:rFonts w:hint="eastAsia"/>
                <w:kern w:val="0"/>
                <w:sz w:val="24"/>
                <w:szCs w:val="24"/>
              </w:rPr>
              <w:t>有1</w:t>
            </w:r>
            <w:r>
              <w:rPr>
                <w:kern w:val="0"/>
                <w:sz w:val="24"/>
                <w:szCs w:val="24"/>
              </w:rPr>
              <w:t>台搅拌机，参考《混凝土搅拌机》（GB/T9142-2000），每天冲洗</w:t>
            </w:r>
            <w:r>
              <w:rPr>
                <w:rFonts w:hint="eastAsia"/>
                <w:kern w:val="0"/>
                <w:sz w:val="24"/>
                <w:szCs w:val="24"/>
              </w:rPr>
              <w:t>1</w:t>
            </w:r>
            <w:r>
              <w:rPr>
                <w:kern w:val="0"/>
                <w:sz w:val="24"/>
                <w:szCs w:val="24"/>
              </w:rPr>
              <w:t>次</w:t>
            </w:r>
            <w:r>
              <w:rPr>
                <w:rFonts w:hint="eastAsia"/>
                <w:kern w:val="0"/>
                <w:sz w:val="24"/>
                <w:szCs w:val="24"/>
              </w:rPr>
              <w:t>，</w:t>
            </w:r>
            <w:r>
              <w:rPr>
                <w:kern w:val="0"/>
                <w:sz w:val="24"/>
                <w:szCs w:val="24"/>
              </w:rPr>
              <w:t>每次约用水</w:t>
            </w:r>
            <w:r>
              <w:rPr>
                <w:rFonts w:hint="eastAsia"/>
                <w:kern w:val="0"/>
                <w:sz w:val="24"/>
                <w:szCs w:val="24"/>
              </w:rPr>
              <w:t>1</w:t>
            </w:r>
            <w:r>
              <w:rPr>
                <w:kern w:val="0"/>
                <w:sz w:val="24"/>
                <w:szCs w:val="24"/>
              </w:rPr>
              <w:t>m</w:t>
            </w:r>
            <w:r>
              <w:rPr>
                <w:kern w:val="0"/>
                <w:sz w:val="24"/>
                <w:szCs w:val="24"/>
                <w:vertAlign w:val="superscript"/>
              </w:rPr>
              <w:t>3</w:t>
            </w:r>
            <w:r>
              <w:rPr>
                <w:kern w:val="0"/>
                <w:sz w:val="24"/>
                <w:szCs w:val="24"/>
              </w:rPr>
              <w:t>，则搅拌机的冲洗用水量为</w:t>
            </w:r>
            <w:r>
              <w:rPr>
                <w:rFonts w:hint="eastAsia"/>
                <w:kern w:val="0"/>
                <w:sz w:val="24"/>
                <w:szCs w:val="24"/>
              </w:rPr>
              <w:t>1</w:t>
            </w:r>
            <w:r>
              <w:rPr>
                <w:kern w:val="0"/>
                <w:sz w:val="24"/>
                <w:szCs w:val="24"/>
              </w:rPr>
              <w:t>m</w:t>
            </w:r>
            <w:r>
              <w:rPr>
                <w:kern w:val="0"/>
                <w:sz w:val="24"/>
                <w:szCs w:val="24"/>
                <w:vertAlign w:val="superscript"/>
              </w:rPr>
              <w:t>3</w:t>
            </w:r>
            <w:r>
              <w:rPr>
                <w:kern w:val="0"/>
                <w:sz w:val="24"/>
                <w:szCs w:val="24"/>
              </w:rPr>
              <w:t>/d，</w:t>
            </w:r>
            <w:r>
              <w:rPr>
                <w:rFonts w:hint="eastAsia"/>
                <w:kern w:val="0"/>
                <w:sz w:val="24"/>
                <w:szCs w:val="24"/>
                <w:lang w:val="en-US" w:eastAsia="zh-CN"/>
              </w:rPr>
              <w:t>300</w:t>
            </w:r>
            <w:r>
              <w:rPr>
                <w:kern w:val="0"/>
                <w:sz w:val="24"/>
                <w:szCs w:val="24"/>
              </w:rPr>
              <w:t>m</w:t>
            </w:r>
            <w:r>
              <w:rPr>
                <w:kern w:val="0"/>
                <w:sz w:val="24"/>
                <w:szCs w:val="24"/>
                <w:vertAlign w:val="superscript"/>
              </w:rPr>
              <w:t>3</w:t>
            </w:r>
            <w:r>
              <w:rPr>
                <w:kern w:val="0"/>
                <w:sz w:val="24"/>
                <w:szCs w:val="24"/>
              </w:rPr>
              <w:t>/</w:t>
            </w:r>
            <w:r>
              <w:rPr>
                <w:rFonts w:hint="eastAsia"/>
                <w:kern w:val="0"/>
                <w:sz w:val="24"/>
                <w:szCs w:val="24"/>
              </w:rPr>
              <w:t>a</w:t>
            </w:r>
            <w:r>
              <w:rPr>
                <w:kern w:val="0"/>
                <w:sz w:val="24"/>
                <w:szCs w:val="24"/>
              </w:rPr>
              <w:t>。</w:t>
            </w:r>
            <w:r>
              <w:rPr>
                <w:rFonts w:hint="eastAsia"/>
                <w:kern w:val="0"/>
                <w:sz w:val="24"/>
                <w:szCs w:val="24"/>
              </w:rPr>
              <w:t>每日损耗量</w:t>
            </w:r>
            <w:r>
              <w:rPr>
                <w:rFonts w:hint="eastAsia" w:ascii="Times New Roman" w:hAnsi="Times New Roman" w:eastAsia="宋体" w:cs="Times New Roman"/>
                <w:bCs/>
                <w:sz w:val="24"/>
                <w:szCs w:val="24"/>
              </w:rPr>
              <w:t>取</w:t>
            </w:r>
            <w:r>
              <w:rPr>
                <w:rFonts w:hint="eastAsia" w:ascii="Times New Roman" w:hAnsi="Times New Roman" w:eastAsia="宋体" w:cs="Times New Roman"/>
                <w:bCs/>
                <w:sz w:val="24"/>
                <w:szCs w:val="24"/>
                <w:lang w:val="en-US" w:eastAsia="zh-CN"/>
              </w:rPr>
              <w:t>10%</w:t>
            </w:r>
            <w:r>
              <w:rPr>
                <w:rFonts w:hint="eastAsia" w:ascii="Times New Roman" w:hAnsi="Times New Roman" w:eastAsia="宋体" w:cs="Times New Roman"/>
                <w:bCs/>
                <w:sz w:val="24"/>
                <w:szCs w:val="24"/>
              </w:rPr>
              <w:t>，则冲洗废水产生量为0.9m</w:t>
            </w:r>
            <w:r>
              <w:rPr>
                <w:rFonts w:hint="eastAsia" w:ascii="Times New Roman" w:hAnsi="Times New Roman" w:eastAsia="宋体" w:cs="Times New Roman"/>
                <w:bCs/>
                <w:sz w:val="24"/>
                <w:szCs w:val="24"/>
                <w:vertAlign w:val="superscript"/>
              </w:rPr>
              <w:t>3</w:t>
            </w:r>
            <w:r>
              <w:rPr>
                <w:rFonts w:hint="eastAsia" w:ascii="Times New Roman" w:hAnsi="Times New Roman" w:eastAsia="宋体" w:cs="Times New Roman"/>
                <w:bCs/>
                <w:sz w:val="24"/>
                <w:szCs w:val="24"/>
              </w:rPr>
              <w:t>/d</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lang w:val="en-US" w:eastAsia="zh-CN"/>
              </w:rPr>
              <w:t>270</w:t>
            </w:r>
            <w:r>
              <w:rPr>
                <w:rFonts w:hint="eastAsia" w:ascii="Times New Roman" w:hAnsi="Times New Roman" w:eastAsia="宋体" w:cs="Times New Roman"/>
                <w:bCs/>
                <w:sz w:val="24"/>
                <w:szCs w:val="24"/>
              </w:rPr>
              <w:t>m</w:t>
            </w:r>
            <w:r>
              <w:rPr>
                <w:rFonts w:hint="eastAsia" w:ascii="Times New Roman" w:hAnsi="Times New Roman" w:eastAsia="宋体" w:cs="Times New Roman"/>
                <w:bCs/>
                <w:sz w:val="24"/>
                <w:szCs w:val="24"/>
                <w:vertAlign w:val="superscript"/>
              </w:rPr>
              <w:t>3</w:t>
            </w:r>
            <w:r>
              <w:rPr>
                <w:rFonts w:hint="eastAsia" w:ascii="Times New Roman" w:hAnsi="Times New Roman" w:eastAsia="宋体" w:cs="Times New Roman"/>
                <w:bCs/>
                <w:sz w:val="24"/>
                <w:szCs w:val="24"/>
              </w:rPr>
              <w:t>/</w:t>
            </w:r>
            <w:r>
              <w:rPr>
                <w:rFonts w:hint="eastAsia" w:ascii="Times New Roman" w:hAnsi="Times New Roman" w:eastAsia="宋体" w:cs="Times New Roman"/>
                <w:bCs/>
                <w:sz w:val="24"/>
                <w:szCs w:val="24"/>
                <w:lang w:val="en-US" w:eastAsia="zh-CN"/>
              </w:rPr>
              <w:t>a，</w:t>
            </w:r>
            <w:r>
              <w:rPr>
                <w:rFonts w:hint="eastAsia" w:ascii="Times New Roman" w:hAnsi="Times New Roman" w:eastAsia="宋体" w:cs="Times New Roman"/>
                <w:bCs/>
                <w:sz w:val="24"/>
                <w:szCs w:val="24"/>
              </w:rPr>
              <w:t>设备冲洗废水经沉淀处理后，回用作搅拌用水</w:t>
            </w:r>
            <w:r>
              <w:rPr>
                <w:rFonts w:hint="eastAsia" w:ascii="Times New Roman" w:hAnsi="Times New Roman" w:eastAsia="宋体" w:cs="Times New Roman"/>
                <w:bCs/>
                <w:sz w:val="24"/>
                <w:szCs w:val="24"/>
                <w:lang w:val="en-US" w:eastAsia="zh-CN"/>
              </w:rPr>
              <w:t>。</w:t>
            </w:r>
          </w:p>
          <w:p w14:paraId="1C61860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kern w:val="0"/>
                <w:sz w:val="24"/>
                <w:szCs w:val="24"/>
              </w:rPr>
            </w:pPr>
            <w:r>
              <w:rPr>
                <w:rFonts w:hint="eastAsia" w:ascii="宋体" w:hAnsi="宋体" w:cs="宋体"/>
                <w:kern w:val="0"/>
                <w:sz w:val="24"/>
                <w:szCs w:val="24"/>
              </w:rPr>
              <w:t>③产品养护用水</w:t>
            </w:r>
          </w:p>
          <w:p w14:paraId="4652CFD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FF0000"/>
                <w:kern w:val="0"/>
                <w:sz w:val="24"/>
                <w:szCs w:val="24"/>
              </w:rPr>
            </w:pPr>
            <w:r>
              <w:rPr>
                <w:rFonts w:hint="eastAsia" w:ascii="宋体" w:hAnsi="宋体" w:cs="宋体"/>
                <w:color w:val="FF0000"/>
                <w:kern w:val="0"/>
                <w:sz w:val="24"/>
                <w:szCs w:val="24"/>
              </w:rPr>
              <w:t>根据</w:t>
            </w:r>
            <w:r>
              <w:rPr>
                <w:rFonts w:hint="eastAsia" w:ascii="宋体" w:hAnsi="宋体" w:cs="宋体"/>
                <w:color w:val="FF0000"/>
                <w:kern w:val="0"/>
                <w:sz w:val="24"/>
                <w:szCs w:val="24"/>
                <w:lang w:val="en-US" w:eastAsia="zh-CN"/>
              </w:rPr>
              <w:t>查询资料</w:t>
            </w:r>
            <w:r>
              <w:rPr>
                <w:color w:val="FF0000"/>
                <w:kern w:val="0"/>
                <w:sz w:val="24"/>
                <w:szCs w:val="24"/>
              </w:rPr>
              <w:t>，养护用水为20～</w:t>
            </w:r>
            <w:r>
              <w:rPr>
                <w:rFonts w:hint="eastAsia"/>
                <w:color w:val="FF0000"/>
                <w:kern w:val="0"/>
                <w:sz w:val="24"/>
                <w:szCs w:val="24"/>
                <w:lang w:val="en-US" w:eastAsia="zh-CN"/>
              </w:rPr>
              <w:t>80</w:t>
            </w:r>
            <w:r>
              <w:rPr>
                <w:color w:val="FF0000"/>
                <w:kern w:val="0"/>
                <w:sz w:val="24"/>
                <w:szCs w:val="24"/>
              </w:rPr>
              <w:t>L/m</w:t>
            </w:r>
            <w:r>
              <w:rPr>
                <w:color w:val="FF0000"/>
                <w:kern w:val="0"/>
                <w:sz w:val="24"/>
                <w:szCs w:val="24"/>
                <w:vertAlign w:val="superscript"/>
              </w:rPr>
              <w:t>3</w:t>
            </w:r>
            <w:r>
              <w:rPr>
                <w:color w:val="FF0000"/>
                <w:kern w:val="0"/>
                <w:sz w:val="24"/>
                <w:szCs w:val="24"/>
              </w:rPr>
              <w:t>，本项目取</w:t>
            </w:r>
            <w:r>
              <w:rPr>
                <w:rFonts w:hint="eastAsia"/>
                <w:color w:val="FF0000"/>
                <w:kern w:val="0"/>
                <w:sz w:val="24"/>
                <w:szCs w:val="24"/>
                <w:lang w:val="en-US" w:eastAsia="zh-CN"/>
              </w:rPr>
              <w:t>80</w:t>
            </w:r>
            <w:r>
              <w:rPr>
                <w:color w:val="FF0000"/>
                <w:kern w:val="0"/>
                <w:sz w:val="24"/>
                <w:szCs w:val="24"/>
              </w:rPr>
              <w:t>L/m</w:t>
            </w:r>
            <w:r>
              <w:rPr>
                <w:color w:val="FF0000"/>
                <w:kern w:val="0"/>
                <w:sz w:val="24"/>
                <w:szCs w:val="24"/>
                <w:vertAlign w:val="superscript"/>
              </w:rPr>
              <w:t>3</w:t>
            </w:r>
            <w:r>
              <w:rPr>
                <w:color w:val="FF0000"/>
                <w:kern w:val="0"/>
                <w:sz w:val="24"/>
                <w:szCs w:val="24"/>
              </w:rPr>
              <w:t>。</w:t>
            </w:r>
            <w:r>
              <w:rPr>
                <w:rFonts w:hint="eastAsia"/>
                <w:color w:val="FF0000"/>
                <w:kern w:val="0"/>
                <w:sz w:val="24"/>
                <w:szCs w:val="24"/>
              </w:rPr>
              <w:t>本项目</w:t>
            </w:r>
            <w:r>
              <w:rPr>
                <w:color w:val="FF0000"/>
                <w:kern w:val="0"/>
                <w:sz w:val="24"/>
                <w:szCs w:val="24"/>
              </w:rPr>
              <w:t>预制构件年产量</w:t>
            </w:r>
            <w:r>
              <w:rPr>
                <w:rFonts w:hint="eastAsia"/>
                <w:color w:val="FF0000"/>
                <w:kern w:val="0"/>
                <w:sz w:val="24"/>
                <w:szCs w:val="24"/>
                <w:lang w:val="en-US" w:eastAsia="zh-CN"/>
              </w:rPr>
              <w:t>约15420t，混凝土密度约2.4t/m</w:t>
            </w:r>
            <w:r>
              <w:rPr>
                <w:rFonts w:hint="eastAsia"/>
                <w:color w:val="FF0000"/>
                <w:kern w:val="0"/>
                <w:sz w:val="24"/>
                <w:szCs w:val="24"/>
                <w:vertAlign w:val="superscript"/>
                <w:lang w:val="en-US" w:eastAsia="zh-CN"/>
              </w:rPr>
              <w:t>3</w:t>
            </w:r>
            <w:r>
              <w:rPr>
                <w:color w:val="FF0000"/>
                <w:kern w:val="0"/>
                <w:sz w:val="24"/>
                <w:szCs w:val="24"/>
              </w:rPr>
              <w:t>，则预制构件养护用水量为</w:t>
            </w:r>
            <w:r>
              <w:rPr>
                <w:rFonts w:hint="eastAsia"/>
                <w:color w:val="FF0000"/>
                <w:kern w:val="0"/>
                <w:sz w:val="24"/>
                <w:szCs w:val="24"/>
                <w:lang w:val="en-US" w:eastAsia="zh-CN"/>
              </w:rPr>
              <w:t>514</w:t>
            </w:r>
            <w:r>
              <w:rPr>
                <w:color w:val="FF0000"/>
                <w:kern w:val="0"/>
                <w:sz w:val="24"/>
                <w:szCs w:val="24"/>
              </w:rPr>
              <w:t>m</w:t>
            </w:r>
            <w:r>
              <w:rPr>
                <w:color w:val="FF0000"/>
                <w:kern w:val="0"/>
                <w:sz w:val="24"/>
                <w:szCs w:val="24"/>
                <w:vertAlign w:val="superscript"/>
              </w:rPr>
              <w:t>3</w:t>
            </w:r>
            <w:r>
              <w:rPr>
                <w:color w:val="FF0000"/>
                <w:kern w:val="0"/>
                <w:sz w:val="24"/>
                <w:szCs w:val="24"/>
              </w:rPr>
              <w:t>/a。养护时产生的养护用水全部损耗，无废水</w:t>
            </w:r>
            <w:r>
              <w:rPr>
                <w:rFonts w:hint="eastAsia"/>
                <w:color w:val="FF0000"/>
                <w:kern w:val="0"/>
                <w:sz w:val="24"/>
                <w:szCs w:val="24"/>
              </w:rPr>
              <w:t>产生</w:t>
            </w:r>
            <w:r>
              <w:rPr>
                <w:color w:val="FF0000"/>
                <w:kern w:val="0"/>
                <w:sz w:val="24"/>
                <w:szCs w:val="24"/>
              </w:rPr>
              <w:t>。</w:t>
            </w:r>
          </w:p>
          <w:p w14:paraId="3340357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FF0000"/>
                <w:kern w:val="0"/>
                <w:sz w:val="24"/>
                <w:szCs w:val="24"/>
                <w:lang w:val="en-US" w:eastAsia="zh-CN"/>
              </w:rPr>
            </w:pPr>
            <w:r>
              <w:rPr>
                <w:rFonts w:hint="default" w:ascii="Times New Roman" w:hAnsi="Times New Roman" w:eastAsia="宋体" w:cs="Times New Roman"/>
                <w:color w:val="FF0000"/>
                <w:kern w:val="0"/>
                <w:sz w:val="24"/>
                <w:szCs w:val="24"/>
                <w:lang w:val="en-US" w:eastAsia="zh-CN"/>
              </w:rPr>
              <w:t>④</w:t>
            </w:r>
            <w:r>
              <w:rPr>
                <w:rFonts w:hint="default" w:ascii="Times New Roman" w:hAnsi="Times New Roman" w:eastAsia="宋体" w:cs="Times New Roman"/>
                <w:color w:val="FF0000"/>
                <w:kern w:val="0"/>
                <w:sz w:val="24"/>
                <w:szCs w:val="24"/>
              </w:rPr>
              <w:t>喷雾降尘</w:t>
            </w:r>
            <w:r>
              <w:rPr>
                <w:rFonts w:hint="eastAsia" w:cs="Times New Roman"/>
                <w:color w:val="FF0000"/>
                <w:kern w:val="0"/>
                <w:sz w:val="24"/>
                <w:szCs w:val="24"/>
                <w:lang w:val="en-US" w:eastAsia="zh-CN"/>
              </w:rPr>
              <w:t>及厂区绿化</w:t>
            </w:r>
            <w:r>
              <w:rPr>
                <w:rFonts w:hint="default" w:ascii="Times New Roman" w:hAnsi="Times New Roman" w:eastAsia="宋体" w:cs="Times New Roman"/>
                <w:color w:val="FF0000"/>
                <w:kern w:val="0"/>
                <w:sz w:val="24"/>
                <w:szCs w:val="24"/>
              </w:rPr>
              <w:t>用水：项目</w:t>
            </w:r>
            <w:r>
              <w:rPr>
                <w:rFonts w:hint="default" w:ascii="Times New Roman" w:hAnsi="Times New Roman" w:eastAsia="宋体" w:cs="Times New Roman"/>
                <w:color w:val="FF0000"/>
                <w:kern w:val="0"/>
                <w:sz w:val="24"/>
                <w:szCs w:val="24"/>
                <w:lang w:val="en-US" w:eastAsia="zh-CN"/>
              </w:rPr>
              <w:t>厂区露天区域、砂石原料区，混凝土制备区等需降尘区域</w:t>
            </w:r>
            <w:r>
              <w:rPr>
                <w:rFonts w:hint="default" w:ascii="Times New Roman" w:hAnsi="Times New Roman" w:eastAsia="宋体" w:cs="Times New Roman"/>
                <w:color w:val="FF0000"/>
                <w:kern w:val="0"/>
                <w:sz w:val="24"/>
                <w:szCs w:val="24"/>
              </w:rPr>
              <w:t>约</w:t>
            </w:r>
            <w:r>
              <w:rPr>
                <w:rFonts w:hint="default" w:ascii="Times New Roman" w:hAnsi="Times New Roman" w:eastAsia="宋体" w:cs="Times New Roman"/>
                <w:color w:val="FF0000"/>
                <w:kern w:val="0"/>
                <w:sz w:val="24"/>
                <w:szCs w:val="24"/>
                <w:lang w:val="en-US" w:eastAsia="zh-CN"/>
              </w:rPr>
              <w:t>4500</w:t>
            </w:r>
            <w:r>
              <w:rPr>
                <w:rFonts w:hint="default" w:ascii="Times New Roman" w:hAnsi="Times New Roman" w:eastAsia="宋体" w:cs="Times New Roman"/>
                <w:color w:val="FF0000"/>
                <w:kern w:val="0"/>
                <w:sz w:val="24"/>
                <w:szCs w:val="24"/>
              </w:rPr>
              <w:t>m</w:t>
            </w:r>
            <w:r>
              <w:rPr>
                <w:rFonts w:hint="default" w:ascii="Times New Roman" w:hAnsi="Times New Roman" w:eastAsia="宋体" w:cs="Times New Roman"/>
                <w:color w:val="FF0000"/>
                <w:kern w:val="0"/>
                <w:sz w:val="24"/>
                <w:szCs w:val="24"/>
                <w:vertAlign w:val="superscript"/>
              </w:rPr>
              <w:t>2</w:t>
            </w:r>
            <w:r>
              <w:rPr>
                <w:rFonts w:hint="default" w:ascii="Times New Roman" w:hAnsi="Times New Roman" w:eastAsia="宋体" w:cs="Times New Roman"/>
                <w:color w:val="FF0000"/>
                <w:kern w:val="0"/>
                <w:sz w:val="24"/>
                <w:szCs w:val="24"/>
              </w:rPr>
              <w:t>，按照降尘洒水平均</w:t>
            </w:r>
            <w:r>
              <w:rPr>
                <w:rFonts w:hint="eastAsia" w:cs="Times New Roman"/>
                <w:color w:val="FF0000"/>
                <w:kern w:val="0"/>
                <w:sz w:val="24"/>
                <w:szCs w:val="24"/>
                <w:lang w:val="en-US" w:eastAsia="zh-CN"/>
              </w:rPr>
              <w:t>2</w:t>
            </w:r>
            <w:r>
              <w:rPr>
                <w:rFonts w:hint="default" w:ascii="Times New Roman" w:hAnsi="Times New Roman" w:eastAsia="宋体" w:cs="Times New Roman"/>
                <w:color w:val="FF0000"/>
                <w:kern w:val="0"/>
                <w:sz w:val="24"/>
                <w:szCs w:val="24"/>
              </w:rPr>
              <w:t>L/m</w:t>
            </w:r>
            <w:r>
              <w:rPr>
                <w:rFonts w:hint="default" w:ascii="Times New Roman" w:hAnsi="Times New Roman" w:eastAsia="宋体" w:cs="Times New Roman"/>
                <w:color w:val="FF0000"/>
                <w:kern w:val="0"/>
                <w:sz w:val="24"/>
                <w:szCs w:val="24"/>
                <w:vertAlign w:val="superscript"/>
                <w:lang w:val="en-US" w:eastAsia="zh-CN"/>
              </w:rPr>
              <w:t>2</w:t>
            </w:r>
            <w:r>
              <w:rPr>
                <w:rFonts w:hint="default" w:ascii="Times New Roman" w:hAnsi="Times New Roman" w:eastAsia="宋体" w:cs="Times New Roman"/>
                <w:color w:val="FF0000"/>
                <w:kern w:val="0"/>
                <w:sz w:val="24"/>
                <w:szCs w:val="24"/>
              </w:rPr>
              <w:t>计算，每天洒水</w:t>
            </w:r>
            <w:r>
              <w:rPr>
                <w:rFonts w:hint="default" w:ascii="Times New Roman" w:hAnsi="Times New Roman" w:eastAsia="宋体" w:cs="Times New Roman"/>
                <w:color w:val="FF0000"/>
                <w:kern w:val="0"/>
                <w:sz w:val="24"/>
                <w:szCs w:val="24"/>
                <w:lang w:val="en-US" w:eastAsia="zh-CN"/>
              </w:rPr>
              <w:t>2</w:t>
            </w:r>
            <w:r>
              <w:rPr>
                <w:rFonts w:hint="default" w:ascii="Times New Roman" w:hAnsi="Times New Roman" w:eastAsia="宋体" w:cs="Times New Roman"/>
                <w:color w:val="FF0000"/>
                <w:kern w:val="0"/>
                <w:sz w:val="24"/>
                <w:szCs w:val="24"/>
              </w:rPr>
              <w:t>次，每天用水量为</w:t>
            </w:r>
            <w:r>
              <w:rPr>
                <w:rFonts w:hint="eastAsia" w:cs="Times New Roman"/>
                <w:color w:val="FF0000"/>
                <w:kern w:val="0"/>
                <w:sz w:val="24"/>
                <w:szCs w:val="24"/>
                <w:lang w:val="en-US" w:eastAsia="zh-CN"/>
              </w:rPr>
              <w:t>18</w:t>
            </w:r>
            <w:r>
              <w:rPr>
                <w:rFonts w:hint="default" w:ascii="Times New Roman" w:hAnsi="Times New Roman" w:eastAsia="宋体" w:cs="Times New Roman"/>
                <w:color w:val="FF0000"/>
                <w:kern w:val="0"/>
                <w:sz w:val="24"/>
                <w:szCs w:val="24"/>
                <w:lang w:val="en-US" w:eastAsia="zh-CN"/>
              </w:rPr>
              <w:t>m</w:t>
            </w:r>
            <w:r>
              <w:rPr>
                <w:rFonts w:hint="default" w:ascii="Times New Roman" w:hAnsi="Times New Roman" w:eastAsia="宋体" w:cs="Times New Roman"/>
                <w:color w:val="FF0000"/>
                <w:kern w:val="0"/>
                <w:sz w:val="24"/>
                <w:szCs w:val="24"/>
                <w:vertAlign w:val="superscript"/>
                <w:lang w:val="en-US" w:eastAsia="zh-CN"/>
              </w:rPr>
              <w:t>3</w:t>
            </w:r>
            <w:r>
              <w:rPr>
                <w:rFonts w:hint="default" w:ascii="Times New Roman" w:hAnsi="Times New Roman" w:eastAsia="宋体" w:cs="Times New Roman"/>
                <w:color w:val="FF0000"/>
                <w:kern w:val="0"/>
                <w:sz w:val="24"/>
                <w:szCs w:val="24"/>
                <w:lang w:val="en-US" w:eastAsia="zh-CN"/>
              </w:rPr>
              <w:t>，</w:t>
            </w:r>
            <w:r>
              <w:rPr>
                <w:rFonts w:hint="eastAsia" w:cs="Times New Roman"/>
                <w:color w:val="FF0000"/>
                <w:kern w:val="0"/>
                <w:sz w:val="24"/>
                <w:szCs w:val="24"/>
                <w:lang w:val="en-US" w:eastAsia="zh-CN"/>
              </w:rPr>
              <w:t>绿化用水量约1.5</w:t>
            </w:r>
            <w:r>
              <w:rPr>
                <w:rFonts w:hint="default" w:ascii="Times New Roman" w:hAnsi="Times New Roman" w:eastAsia="宋体" w:cs="Times New Roman"/>
                <w:color w:val="FF0000"/>
                <w:kern w:val="0"/>
                <w:sz w:val="24"/>
                <w:szCs w:val="24"/>
                <w:lang w:val="en-US" w:eastAsia="zh-CN"/>
              </w:rPr>
              <w:t>m</w:t>
            </w:r>
            <w:r>
              <w:rPr>
                <w:rFonts w:hint="default" w:ascii="Times New Roman" w:hAnsi="Times New Roman" w:eastAsia="宋体" w:cs="Times New Roman"/>
                <w:color w:val="FF0000"/>
                <w:kern w:val="0"/>
                <w:sz w:val="24"/>
                <w:szCs w:val="24"/>
                <w:vertAlign w:val="superscript"/>
                <w:lang w:val="en-US" w:eastAsia="zh-CN"/>
              </w:rPr>
              <w:t>3</w:t>
            </w:r>
            <w:r>
              <w:rPr>
                <w:rFonts w:hint="eastAsia" w:ascii="Times New Roman" w:hAnsi="Times New Roman" w:eastAsia="宋体" w:cs="Times New Roman"/>
                <w:color w:val="FF0000"/>
                <w:kern w:val="0"/>
                <w:sz w:val="24"/>
                <w:szCs w:val="24"/>
                <w:vertAlign w:val="baseline"/>
                <w:lang w:val="en-US" w:eastAsia="zh-CN"/>
              </w:rPr>
              <w:t>，</w:t>
            </w:r>
            <w:r>
              <w:rPr>
                <w:rFonts w:hint="eastAsia" w:cs="Times New Roman"/>
                <w:color w:val="FF0000"/>
                <w:kern w:val="0"/>
                <w:sz w:val="24"/>
                <w:szCs w:val="24"/>
                <w:lang w:val="en-US" w:eastAsia="zh-CN"/>
              </w:rPr>
              <w:t>按年需洒水天数250天计，则</w:t>
            </w:r>
            <w:r>
              <w:rPr>
                <w:rFonts w:hint="default" w:ascii="Times New Roman" w:hAnsi="Times New Roman" w:eastAsia="宋体" w:cs="Times New Roman"/>
                <w:color w:val="FF0000"/>
                <w:kern w:val="0"/>
                <w:sz w:val="24"/>
                <w:szCs w:val="24"/>
                <w:lang w:val="en-US" w:eastAsia="zh-CN"/>
              </w:rPr>
              <w:t>年用水量</w:t>
            </w:r>
            <w:r>
              <w:rPr>
                <w:rFonts w:hint="eastAsia" w:cs="Times New Roman"/>
                <w:color w:val="FF0000"/>
                <w:kern w:val="0"/>
                <w:sz w:val="24"/>
                <w:szCs w:val="24"/>
                <w:lang w:val="en-US" w:eastAsia="zh-CN"/>
              </w:rPr>
              <w:t>4875</w:t>
            </w:r>
            <w:r>
              <w:rPr>
                <w:rFonts w:hint="default" w:ascii="Times New Roman" w:hAnsi="Times New Roman" w:eastAsia="宋体" w:cs="Times New Roman"/>
                <w:color w:val="FF0000"/>
                <w:kern w:val="0"/>
                <w:sz w:val="24"/>
                <w:szCs w:val="24"/>
                <w:lang w:val="en-US" w:eastAsia="zh-CN"/>
              </w:rPr>
              <w:t>m</w:t>
            </w:r>
            <w:r>
              <w:rPr>
                <w:rFonts w:hint="default" w:ascii="Times New Roman" w:hAnsi="Times New Roman" w:eastAsia="宋体" w:cs="Times New Roman"/>
                <w:color w:val="FF0000"/>
                <w:kern w:val="0"/>
                <w:sz w:val="24"/>
                <w:szCs w:val="24"/>
                <w:vertAlign w:val="superscript"/>
                <w:lang w:val="en-US" w:eastAsia="zh-CN"/>
              </w:rPr>
              <w:t>3</w:t>
            </w:r>
            <w:r>
              <w:rPr>
                <w:rFonts w:hint="default" w:ascii="Times New Roman" w:hAnsi="Times New Roman" w:eastAsia="宋体" w:cs="Times New Roman"/>
                <w:color w:val="FF0000"/>
                <w:kern w:val="0"/>
                <w:sz w:val="24"/>
                <w:szCs w:val="24"/>
                <w:lang w:val="en-US" w:eastAsia="zh-CN"/>
              </w:rPr>
              <w:t>/a，</w:t>
            </w:r>
            <w:r>
              <w:rPr>
                <w:rFonts w:hint="eastAsia" w:cs="Times New Roman"/>
                <w:color w:val="FF0000"/>
                <w:kern w:val="0"/>
                <w:sz w:val="24"/>
                <w:szCs w:val="24"/>
                <w:lang w:val="en-US" w:eastAsia="zh-CN"/>
              </w:rPr>
              <w:t>厂区</w:t>
            </w:r>
            <w:r>
              <w:rPr>
                <w:rFonts w:hint="default" w:ascii="Times New Roman" w:hAnsi="Times New Roman" w:eastAsia="宋体" w:cs="Times New Roman"/>
                <w:color w:val="FF0000"/>
                <w:kern w:val="0"/>
                <w:sz w:val="24"/>
                <w:szCs w:val="24"/>
                <w:lang w:val="en-US" w:eastAsia="zh-CN"/>
              </w:rPr>
              <w:t>喷雾降尘用水</w:t>
            </w:r>
            <w:r>
              <w:rPr>
                <w:rFonts w:hint="eastAsia" w:cs="Times New Roman"/>
                <w:color w:val="FF0000"/>
                <w:kern w:val="0"/>
                <w:sz w:val="24"/>
                <w:szCs w:val="24"/>
                <w:lang w:val="en-US" w:eastAsia="zh-CN"/>
              </w:rPr>
              <w:t>及绿化用水</w:t>
            </w:r>
            <w:r>
              <w:rPr>
                <w:rFonts w:hint="default" w:ascii="Times New Roman" w:hAnsi="Times New Roman" w:eastAsia="宋体" w:cs="Times New Roman"/>
                <w:color w:val="FF0000"/>
                <w:kern w:val="0"/>
                <w:sz w:val="24"/>
                <w:szCs w:val="24"/>
                <w:lang w:val="en-US" w:eastAsia="zh-CN"/>
              </w:rPr>
              <w:t>全部蒸发损耗，不外排。</w:t>
            </w:r>
          </w:p>
          <w:p w14:paraId="534F979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宋体" w:hAnsi="宋体" w:cs="宋体"/>
                <w:color w:val="FF0000"/>
                <w:kern w:val="0"/>
                <w:sz w:val="24"/>
                <w:szCs w:val="24"/>
                <w:lang w:val="en-US"/>
              </w:rPr>
            </w:pPr>
            <w:r>
              <w:rPr>
                <w:rFonts w:hint="eastAsia" w:ascii="宋体" w:hAnsi="宋体" w:cs="宋体"/>
                <w:color w:val="FF0000"/>
                <w:kern w:val="0"/>
                <w:sz w:val="24"/>
                <w:szCs w:val="24"/>
                <w:lang w:val="en-US" w:eastAsia="zh-CN"/>
              </w:rPr>
              <w:t>⑤车辆冲洗用水</w:t>
            </w:r>
          </w:p>
          <w:p w14:paraId="4F9FDAD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FF0000"/>
                <w:kern w:val="0"/>
                <w:sz w:val="24"/>
                <w:szCs w:val="24"/>
              </w:rPr>
            </w:pPr>
            <w:r>
              <w:rPr>
                <w:rFonts w:hint="default" w:ascii="Times New Roman" w:hAnsi="Times New Roman" w:eastAsia="宋体" w:cs="Times New Roman"/>
                <w:color w:val="FF0000"/>
                <w:sz w:val="24"/>
                <w:szCs w:val="24"/>
              </w:rPr>
              <w:t>项目原料</w:t>
            </w:r>
            <w:r>
              <w:rPr>
                <w:rFonts w:hint="eastAsia" w:ascii="Times New Roman" w:hAnsi="Times New Roman" w:eastAsia="宋体" w:cs="Times New Roman"/>
                <w:color w:val="FF0000"/>
                <w:sz w:val="24"/>
                <w:szCs w:val="24"/>
                <w:lang w:val="en-US" w:eastAsia="zh-CN"/>
              </w:rPr>
              <w:t>及</w:t>
            </w:r>
            <w:r>
              <w:rPr>
                <w:rFonts w:hint="default" w:ascii="Times New Roman" w:hAnsi="Times New Roman" w:eastAsia="宋体" w:cs="Times New Roman"/>
                <w:color w:val="FF0000"/>
                <w:sz w:val="24"/>
                <w:szCs w:val="24"/>
              </w:rPr>
              <w:t>产品运输量共约为</w:t>
            </w:r>
            <w:r>
              <w:rPr>
                <w:rFonts w:hint="eastAsia" w:ascii="Times New Roman" w:hAnsi="Times New Roman" w:eastAsia="宋体" w:cs="Times New Roman"/>
                <w:color w:val="FF0000"/>
                <w:sz w:val="24"/>
                <w:szCs w:val="24"/>
                <w:lang w:val="en-US" w:eastAsia="zh-CN"/>
              </w:rPr>
              <w:t>47480</w:t>
            </w:r>
            <w:r>
              <w:rPr>
                <w:rFonts w:hint="default" w:ascii="Times New Roman" w:hAnsi="Times New Roman" w:eastAsia="宋体" w:cs="Times New Roman"/>
                <w:color w:val="FF0000"/>
                <w:sz w:val="24"/>
                <w:szCs w:val="24"/>
              </w:rPr>
              <w:t>吨，单车每次运输量按30t计算，年运行</w:t>
            </w:r>
            <w:r>
              <w:rPr>
                <w:rFonts w:hint="eastAsia" w:ascii="Times New Roman" w:hAnsi="Times New Roman" w:eastAsia="宋体" w:cs="Times New Roman"/>
                <w:color w:val="FF0000"/>
                <w:sz w:val="24"/>
                <w:szCs w:val="24"/>
                <w:lang w:val="en-US" w:eastAsia="zh-CN"/>
              </w:rPr>
              <w:t>300</w:t>
            </w:r>
            <w:r>
              <w:rPr>
                <w:rFonts w:hint="default" w:ascii="Times New Roman" w:hAnsi="Times New Roman" w:eastAsia="宋体" w:cs="Times New Roman"/>
                <w:color w:val="FF0000"/>
                <w:sz w:val="24"/>
                <w:szCs w:val="24"/>
              </w:rPr>
              <w:t>天，则</w:t>
            </w:r>
            <w:r>
              <w:rPr>
                <w:rFonts w:hint="eastAsia" w:ascii="Times New Roman" w:hAnsi="Times New Roman" w:eastAsia="宋体" w:cs="Times New Roman"/>
                <w:color w:val="FF0000"/>
                <w:sz w:val="24"/>
                <w:szCs w:val="24"/>
                <w:lang w:val="en-US" w:eastAsia="zh-CN"/>
              </w:rPr>
              <w:t>平均</w:t>
            </w:r>
            <w:r>
              <w:rPr>
                <w:rFonts w:hint="default" w:ascii="Times New Roman" w:hAnsi="Times New Roman" w:eastAsia="宋体" w:cs="Times New Roman"/>
                <w:color w:val="FF0000"/>
                <w:sz w:val="24"/>
                <w:szCs w:val="24"/>
              </w:rPr>
              <w:t>每天运输车辆约</w:t>
            </w:r>
            <w:r>
              <w:rPr>
                <w:rFonts w:hint="eastAsia" w:ascii="Times New Roman" w:hAnsi="Times New Roman" w:eastAsia="宋体" w:cs="Times New Roman"/>
                <w:color w:val="FF0000"/>
                <w:sz w:val="24"/>
                <w:szCs w:val="24"/>
                <w:lang w:val="en-US" w:eastAsia="zh-CN"/>
              </w:rPr>
              <w:t>5.276</w:t>
            </w:r>
            <w:r>
              <w:rPr>
                <w:rFonts w:hint="default" w:ascii="Times New Roman" w:hAnsi="Times New Roman" w:eastAsia="宋体" w:cs="Times New Roman"/>
                <w:color w:val="FF0000"/>
                <w:sz w:val="24"/>
                <w:szCs w:val="24"/>
              </w:rPr>
              <w:t>辆，参照《石油化工给排水设计规范》，车辆冲洗每天用水指标为110</w:t>
            </w:r>
            <w:r>
              <w:rPr>
                <w:rFonts w:hint="eastAsia" w:cs="Times New Roman"/>
                <w:color w:val="FF0000"/>
                <w:sz w:val="24"/>
                <w:szCs w:val="24"/>
                <w:lang w:eastAsia="zh-CN"/>
              </w:rPr>
              <w:t>～</w:t>
            </w:r>
            <w:r>
              <w:rPr>
                <w:rFonts w:hint="default" w:ascii="Times New Roman" w:hAnsi="Times New Roman" w:eastAsia="宋体" w:cs="Times New Roman"/>
                <w:color w:val="FF0000"/>
                <w:sz w:val="24"/>
                <w:szCs w:val="24"/>
              </w:rPr>
              <w:t>150L/辆，本环评冲洗用水指标取150L/辆，则项目车辆冲洗用水量约为</w:t>
            </w:r>
            <w:r>
              <w:rPr>
                <w:rFonts w:hint="eastAsia" w:ascii="Times New Roman" w:hAnsi="Times New Roman" w:eastAsia="宋体" w:cs="Times New Roman"/>
                <w:color w:val="FF0000"/>
                <w:sz w:val="24"/>
                <w:szCs w:val="24"/>
                <w:lang w:val="en-US" w:eastAsia="zh-CN"/>
              </w:rPr>
              <w:t>0.791</w:t>
            </w:r>
            <w:r>
              <w:rPr>
                <w:rFonts w:hint="default" w:ascii="Times New Roman" w:hAnsi="Times New Roman" w:eastAsia="宋体" w:cs="Times New Roman"/>
                <w:color w:val="FF0000"/>
                <w:sz w:val="24"/>
                <w:szCs w:val="24"/>
              </w:rPr>
              <w:t>m</w:t>
            </w:r>
            <w:r>
              <w:rPr>
                <w:rFonts w:hint="default" w:ascii="Times New Roman" w:hAnsi="Times New Roman" w:eastAsia="宋体" w:cs="Times New Roman"/>
                <w:color w:val="FF0000"/>
                <w:sz w:val="24"/>
                <w:szCs w:val="24"/>
                <w:vertAlign w:val="superscript"/>
              </w:rPr>
              <w:t>3</w:t>
            </w:r>
            <w:r>
              <w:rPr>
                <w:rFonts w:hint="default" w:ascii="Times New Roman" w:hAnsi="Times New Roman" w:eastAsia="宋体" w:cs="Times New Roman"/>
                <w:color w:val="FF0000"/>
                <w:sz w:val="24"/>
                <w:szCs w:val="24"/>
              </w:rPr>
              <w:t>/d（</w:t>
            </w:r>
            <w:r>
              <w:rPr>
                <w:rFonts w:hint="eastAsia" w:ascii="Times New Roman" w:hAnsi="Times New Roman" w:eastAsia="宋体" w:cs="Times New Roman"/>
                <w:color w:val="FF0000"/>
                <w:sz w:val="24"/>
                <w:szCs w:val="24"/>
                <w:lang w:val="en-US" w:eastAsia="zh-CN"/>
              </w:rPr>
              <w:t>237.4</w:t>
            </w:r>
            <w:r>
              <w:rPr>
                <w:rFonts w:hint="default" w:ascii="Times New Roman" w:hAnsi="Times New Roman" w:eastAsia="宋体" w:cs="Times New Roman"/>
                <w:color w:val="FF0000"/>
                <w:sz w:val="24"/>
                <w:szCs w:val="24"/>
              </w:rPr>
              <w:t>m</w:t>
            </w:r>
            <w:r>
              <w:rPr>
                <w:rFonts w:hint="default" w:ascii="Times New Roman" w:hAnsi="Times New Roman" w:eastAsia="宋体" w:cs="Times New Roman"/>
                <w:color w:val="FF0000"/>
                <w:sz w:val="24"/>
                <w:szCs w:val="24"/>
                <w:vertAlign w:val="superscript"/>
              </w:rPr>
              <w:t>3</w:t>
            </w:r>
            <w:r>
              <w:rPr>
                <w:rFonts w:hint="default" w:ascii="Times New Roman" w:hAnsi="Times New Roman" w:eastAsia="宋体" w:cs="Times New Roman"/>
                <w:color w:val="FF0000"/>
                <w:sz w:val="24"/>
                <w:szCs w:val="24"/>
              </w:rPr>
              <w:t>/a）</w:t>
            </w:r>
            <w:r>
              <w:rPr>
                <w:rFonts w:hint="eastAsia" w:ascii="Times New Roman" w:hAnsi="Times New Roman" w:eastAsia="宋体" w:cs="Times New Roman"/>
                <w:color w:val="FF0000"/>
                <w:sz w:val="24"/>
                <w:szCs w:val="24"/>
                <w:lang w:eastAsia="zh-CN"/>
              </w:rPr>
              <w:t>。</w:t>
            </w:r>
            <w:r>
              <w:rPr>
                <w:rFonts w:hint="eastAsia" w:ascii="Times New Roman" w:hAnsi="Times New Roman" w:eastAsia="宋体" w:cs="Times New Roman"/>
                <w:color w:val="FF0000"/>
                <w:sz w:val="24"/>
                <w:szCs w:val="24"/>
                <w:lang w:val="en-US" w:eastAsia="zh-CN"/>
              </w:rPr>
              <w:t>每日损耗量及车辆带走水以20%计</w:t>
            </w:r>
            <w:r>
              <w:rPr>
                <w:rFonts w:hint="default" w:ascii="Times New Roman" w:hAnsi="Times New Roman" w:eastAsia="宋体" w:cs="Times New Roman"/>
                <w:color w:val="FF0000"/>
                <w:sz w:val="24"/>
                <w:szCs w:val="24"/>
              </w:rPr>
              <w:t>，</w:t>
            </w:r>
            <w:r>
              <w:rPr>
                <w:rFonts w:hint="eastAsia" w:ascii="Times New Roman" w:hAnsi="Times New Roman" w:eastAsia="宋体" w:cs="Times New Roman"/>
                <w:color w:val="FF0000"/>
                <w:sz w:val="24"/>
                <w:szCs w:val="24"/>
                <w:lang w:val="en-US" w:eastAsia="zh-CN"/>
              </w:rPr>
              <w:t>损耗部分废水由</w:t>
            </w:r>
            <w:r>
              <w:rPr>
                <w:rFonts w:hint="eastAsia" w:cs="Times New Roman"/>
                <w:color w:val="FF0000"/>
                <w:sz w:val="24"/>
                <w:szCs w:val="24"/>
                <w:lang w:val="en-US" w:eastAsia="zh-CN"/>
              </w:rPr>
              <w:t>初期雨水</w:t>
            </w:r>
            <w:r>
              <w:rPr>
                <w:rFonts w:hint="eastAsia" w:ascii="Times New Roman" w:hAnsi="Times New Roman" w:eastAsia="宋体" w:cs="Times New Roman"/>
                <w:color w:val="FF0000"/>
                <w:sz w:val="24"/>
                <w:szCs w:val="24"/>
                <w:lang w:val="en-US" w:eastAsia="zh-CN"/>
              </w:rPr>
              <w:t>补充，</w:t>
            </w:r>
            <w:r>
              <w:rPr>
                <w:rFonts w:hint="default" w:ascii="Times New Roman" w:hAnsi="Times New Roman" w:eastAsia="宋体" w:cs="Times New Roman"/>
                <w:color w:val="FF0000"/>
                <w:sz w:val="24"/>
                <w:szCs w:val="24"/>
              </w:rPr>
              <w:t>则</w:t>
            </w:r>
            <w:r>
              <w:rPr>
                <w:rFonts w:hint="eastAsia" w:ascii="Times New Roman" w:hAnsi="Times New Roman" w:eastAsia="宋体" w:cs="Times New Roman"/>
                <w:color w:val="FF0000"/>
                <w:sz w:val="24"/>
                <w:szCs w:val="24"/>
                <w:lang w:val="en-US" w:eastAsia="zh-CN"/>
              </w:rPr>
              <w:t>车辆</w:t>
            </w:r>
            <w:r>
              <w:rPr>
                <w:rFonts w:hint="default" w:ascii="Times New Roman" w:hAnsi="Times New Roman" w:eastAsia="宋体" w:cs="Times New Roman"/>
                <w:color w:val="FF0000"/>
                <w:sz w:val="24"/>
                <w:szCs w:val="24"/>
              </w:rPr>
              <w:t>冲洗废水产生量约为</w:t>
            </w:r>
            <w:r>
              <w:rPr>
                <w:rFonts w:hint="eastAsia" w:ascii="Times New Roman" w:hAnsi="Times New Roman" w:eastAsia="宋体" w:cs="Times New Roman"/>
                <w:color w:val="FF0000"/>
                <w:sz w:val="24"/>
                <w:szCs w:val="24"/>
                <w:lang w:val="en-US" w:eastAsia="zh-CN"/>
              </w:rPr>
              <w:t>0.633</w:t>
            </w:r>
            <w:r>
              <w:rPr>
                <w:rFonts w:hint="default" w:ascii="Times New Roman" w:hAnsi="Times New Roman" w:eastAsia="宋体" w:cs="Times New Roman"/>
                <w:color w:val="FF0000"/>
                <w:sz w:val="24"/>
                <w:szCs w:val="24"/>
              </w:rPr>
              <w:t>m</w:t>
            </w:r>
            <w:r>
              <w:rPr>
                <w:rFonts w:hint="default" w:ascii="Times New Roman" w:hAnsi="Times New Roman" w:eastAsia="宋体" w:cs="Times New Roman"/>
                <w:color w:val="FF0000"/>
                <w:sz w:val="24"/>
                <w:szCs w:val="24"/>
                <w:vertAlign w:val="superscript"/>
              </w:rPr>
              <w:t>3</w:t>
            </w:r>
            <w:r>
              <w:rPr>
                <w:rFonts w:hint="default" w:ascii="Times New Roman" w:hAnsi="Times New Roman" w:eastAsia="宋体" w:cs="Times New Roman"/>
                <w:color w:val="FF0000"/>
                <w:sz w:val="24"/>
                <w:szCs w:val="24"/>
              </w:rPr>
              <w:t>/d（</w:t>
            </w:r>
            <w:r>
              <w:rPr>
                <w:rFonts w:hint="eastAsia" w:ascii="Times New Roman" w:hAnsi="Times New Roman" w:eastAsia="宋体" w:cs="Times New Roman"/>
                <w:color w:val="FF0000"/>
                <w:sz w:val="24"/>
                <w:szCs w:val="24"/>
                <w:lang w:val="en-US" w:eastAsia="zh-CN"/>
              </w:rPr>
              <w:t>189.92</w:t>
            </w:r>
            <w:r>
              <w:rPr>
                <w:rFonts w:hint="default" w:ascii="Times New Roman" w:hAnsi="Times New Roman" w:eastAsia="宋体" w:cs="Times New Roman"/>
                <w:color w:val="FF0000"/>
                <w:sz w:val="24"/>
                <w:szCs w:val="24"/>
              </w:rPr>
              <w:t>m</w:t>
            </w:r>
            <w:r>
              <w:rPr>
                <w:rFonts w:hint="default" w:ascii="Times New Roman" w:hAnsi="Times New Roman" w:eastAsia="宋体" w:cs="Times New Roman"/>
                <w:color w:val="FF0000"/>
                <w:sz w:val="24"/>
                <w:szCs w:val="24"/>
                <w:vertAlign w:val="superscript"/>
              </w:rPr>
              <w:t>3</w:t>
            </w:r>
            <w:r>
              <w:rPr>
                <w:rFonts w:hint="default" w:ascii="Times New Roman" w:hAnsi="Times New Roman" w:eastAsia="宋体" w:cs="Times New Roman"/>
                <w:color w:val="FF0000"/>
                <w:sz w:val="24"/>
                <w:szCs w:val="24"/>
              </w:rPr>
              <w:t>/a）</w:t>
            </w:r>
            <w:r>
              <w:rPr>
                <w:rFonts w:hint="eastAsia" w:ascii="Times New Roman" w:hAnsi="Times New Roman" w:eastAsia="宋体" w:cs="Times New Roman"/>
                <w:color w:val="FF0000"/>
                <w:sz w:val="24"/>
                <w:szCs w:val="24"/>
                <w:lang w:eastAsia="zh-CN"/>
              </w:rPr>
              <w:t>，</w:t>
            </w:r>
            <w:r>
              <w:rPr>
                <w:rFonts w:hint="default" w:ascii="Times New Roman" w:hAnsi="Times New Roman" w:eastAsia="宋体" w:cs="Times New Roman"/>
                <w:color w:val="FF0000"/>
                <w:sz w:val="24"/>
                <w:szCs w:val="24"/>
              </w:rPr>
              <w:t>该部分废水经沉淀池处理后回用</w:t>
            </w:r>
            <w:r>
              <w:rPr>
                <w:rFonts w:hint="default" w:ascii="Times New Roman" w:hAnsi="Times New Roman" w:eastAsia="宋体" w:cs="Times New Roman"/>
                <w:color w:val="FF0000"/>
                <w:spacing w:val="1"/>
                <w:sz w:val="24"/>
                <w:szCs w:val="24"/>
              </w:rPr>
              <w:t>。</w:t>
            </w:r>
          </w:p>
          <w:p w14:paraId="7C3E103C">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rFonts w:hint="eastAsia"/>
                <w:bCs/>
                <w:sz w:val="24"/>
                <w:szCs w:val="24"/>
              </w:rPr>
            </w:pPr>
            <w:r>
              <w:rPr>
                <w:rFonts w:hint="eastAsia"/>
                <w:bCs/>
                <w:sz w:val="24"/>
                <w:szCs w:val="24"/>
                <w:lang w:val="en-US" w:eastAsia="zh-CN"/>
              </w:rPr>
              <w:t>⑥</w:t>
            </w:r>
            <w:r>
              <w:rPr>
                <w:rFonts w:hint="eastAsia"/>
                <w:bCs/>
                <w:sz w:val="24"/>
                <w:szCs w:val="24"/>
              </w:rPr>
              <w:t>生活用水</w:t>
            </w:r>
          </w:p>
          <w:p w14:paraId="72CADC93">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rFonts w:hint="eastAsia"/>
                <w:bCs/>
                <w:sz w:val="22"/>
              </w:rPr>
            </w:pPr>
            <w:r>
              <w:rPr>
                <w:rFonts w:hint="eastAsia"/>
                <w:color w:val="auto"/>
                <w:sz w:val="24"/>
                <w:lang w:eastAsia="zh-CN"/>
              </w:rPr>
              <w:t>员工生活用水参照</w:t>
            </w:r>
            <w:r>
              <w:rPr>
                <w:rFonts w:hint="eastAsia"/>
                <w:color w:val="auto"/>
                <w:sz w:val="24"/>
              </w:rPr>
              <w:t>《生活及服务业用水定额第2部分：服务业、居民生活和建筑业》（赣府发〔2024〕17号），本次环评职工</w:t>
            </w:r>
            <w:r>
              <w:rPr>
                <w:rFonts w:hint="eastAsia"/>
                <w:color w:val="auto"/>
                <w:sz w:val="24"/>
                <w:lang w:val="en-US" w:eastAsia="zh-CN"/>
              </w:rPr>
              <w:t>15人，</w:t>
            </w:r>
            <w:r>
              <w:rPr>
                <w:rFonts w:hint="eastAsia"/>
                <w:color w:val="auto"/>
                <w:sz w:val="24"/>
              </w:rPr>
              <w:t>用水量取</w:t>
            </w:r>
            <w:r>
              <w:rPr>
                <w:rFonts w:hint="eastAsia"/>
                <w:color w:val="auto"/>
                <w:sz w:val="24"/>
                <w:lang w:val="en-US" w:eastAsia="zh-CN"/>
              </w:rPr>
              <w:t>160</w:t>
            </w:r>
            <w:r>
              <w:rPr>
                <w:rFonts w:hint="eastAsia"/>
                <w:color w:val="auto"/>
                <w:sz w:val="24"/>
              </w:rPr>
              <w:t>L/人·d</w:t>
            </w:r>
            <w:r>
              <w:rPr>
                <w:color w:val="auto"/>
                <w:sz w:val="24"/>
              </w:rPr>
              <w:t>，则生活用水量为</w:t>
            </w:r>
            <w:r>
              <w:rPr>
                <w:rFonts w:hint="eastAsia"/>
                <w:color w:val="auto"/>
                <w:sz w:val="24"/>
                <w:lang w:val="en-US" w:eastAsia="zh-CN"/>
              </w:rPr>
              <w:t>2.4</w:t>
            </w:r>
            <w:r>
              <w:rPr>
                <w:color w:val="auto"/>
                <w:sz w:val="24"/>
              </w:rPr>
              <w:t>m</w:t>
            </w:r>
            <w:r>
              <w:rPr>
                <w:color w:val="auto"/>
                <w:sz w:val="24"/>
                <w:vertAlign w:val="superscript"/>
              </w:rPr>
              <w:t>3</w:t>
            </w:r>
            <w:r>
              <w:rPr>
                <w:color w:val="auto"/>
                <w:sz w:val="24"/>
              </w:rPr>
              <w:t>/d，</w:t>
            </w:r>
            <w:r>
              <w:rPr>
                <w:rFonts w:hint="eastAsia"/>
                <w:color w:val="auto"/>
                <w:sz w:val="24"/>
                <w:lang w:val="en-US" w:eastAsia="zh-CN"/>
              </w:rPr>
              <w:t>288</w:t>
            </w:r>
            <w:r>
              <w:rPr>
                <w:color w:val="auto"/>
                <w:sz w:val="24"/>
              </w:rPr>
              <w:t>m</w:t>
            </w:r>
            <w:r>
              <w:rPr>
                <w:color w:val="auto"/>
                <w:sz w:val="24"/>
                <w:vertAlign w:val="superscript"/>
              </w:rPr>
              <w:t>3</w:t>
            </w:r>
            <w:r>
              <w:rPr>
                <w:color w:val="auto"/>
                <w:sz w:val="24"/>
              </w:rPr>
              <w:t>/a</w:t>
            </w:r>
            <w:r>
              <w:rPr>
                <w:rFonts w:hint="default" w:ascii="Times New Roman" w:hAnsi="Times New Roman" w:eastAsia="宋体" w:cs="Times New Roman"/>
                <w:color w:val="auto"/>
                <w:sz w:val="24"/>
                <w:szCs w:val="24"/>
              </w:rPr>
              <w:t>。生活污水产排量按0.8计，则</w:t>
            </w:r>
            <w:r>
              <w:rPr>
                <w:rFonts w:hint="eastAsia" w:ascii="Times New Roman" w:hAnsi="Times New Roman" w:eastAsia="宋体" w:cs="Times New Roman"/>
                <w:color w:val="auto"/>
                <w:sz w:val="24"/>
                <w:szCs w:val="24"/>
                <w:lang w:eastAsia="zh-CN"/>
              </w:rPr>
              <w:t>生活污水</w:t>
            </w:r>
            <w:r>
              <w:rPr>
                <w:rFonts w:hint="default" w:ascii="Times New Roman" w:hAnsi="Times New Roman" w:eastAsia="宋体" w:cs="Times New Roman"/>
                <w:color w:val="auto"/>
                <w:sz w:val="24"/>
                <w:szCs w:val="24"/>
              </w:rPr>
              <w:t>产生量为</w:t>
            </w:r>
            <w:r>
              <w:rPr>
                <w:rFonts w:hint="eastAsia" w:ascii="Times New Roman" w:hAnsi="Times New Roman" w:eastAsia="宋体" w:cs="Times New Roman"/>
                <w:color w:val="auto"/>
                <w:sz w:val="24"/>
                <w:szCs w:val="24"/>
                <w:lang w:val="en-US" w:eastAsia="zh-CN"/>
              </w:rPr>
              <w:t>1.92</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w:t>
            </w:r>
            <w:r>
              <w:rPr>
                <w:rFonts w:hint="eastAsia" w:ascii="Times New Roman" w:hAnsi="Times New Roman" w:eastAsia="宋体" w:cs="Times New Roman"/>
                <w:color w:val="auto"/>
                <w:sz w:val="24"/>
                <w:szCs w:val="24"/>
                <w:lang w:val="en-US" w:eastAsia="zh-CN"/>
              </w:rPr>
              <w:t>230.4</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rPr>
              <w:t>/a），主要污染物为COD、BOD</w:t>
            </w:r>
            <w:r>
              <w:rPr>
                <w:rFonts w:hint="default" w:ascii="Times New Roman" w:hAnsi="Times New Roman" w:eastAsia="宋体" w:cs="Times New Roman"/>
                <w:color w:val="auto"/>
                <w:sz w:val="24"/>
                <w:szCs w:val="24"/>
                <w:vertAlign w:val="subscript"/>
              </w:rPr>
              <w:t>5</w:t>
            </w:r>
            <w:r>
              <w:rPr>
                <w:rFonts w:hint="default" w:ascii="Times New Roman" w:hAnsi="Times New Roman" w:eastAsia="宋体" w:cs="Times New Roman"/>
                <w:color w:val="auto"/>
                <w:sz w:val="24"/>
                <w:szCs w:val="24"/>
              </w:rPr>
              <w:t>、NH</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-N、SS和T</w:t>
            </w:r>
            <w:r>
              <w:rPr>
                <w:rFonts w:hint="eastAsia" w:ascii="Times New Roman" w:hAnsi="Times New Roman" w:eastAsia="宋体" w:cs="Times New Roman"/>
                <w:color w:val="auto"/>
                <w:sz w:val="24"/>
                <w:szCs w:val="24"/>
                <w:lang w:val="en-US" w:eastAsia="zh-CN"/>
              </w:rPr>
              <w:t>P、TN</w:t>
            </w:r>
            <w:r>
              <w:rPr>
                <w:rFonts w:hint="default" w:ascii="Times New Roman" w:hAnsi="Times New Roman" w:eastAsia="宋体" w:cs="Times New Roman"/>
                <w:color w:val="auto"/>
                <w:sz w:val="24"/>
                <w:szCs w:val="24"/>
              </w:rPr>
              <w:t>，初始浓度分别为CODcr：250mg/L、BOD</w:t>
            </w:r>
            <w:r>
              <w:rPr>
                <w:rFonts w:hint="default" w:ascii="Times New Roman" w:hAnsi="Times New Roman" w:eastAsia="宋体" w:cs="Times New Roman"/>
                <w:color w:val="auto"/>
                <w:sz w:val="24"/>
                <w:szCs w:val="24"/>
                <w:vertAlign w:val="subscript"/>
              </w:rPr>
              <w:t>5</w:t>
            </w:r>
            <w:r>
              <w:rPr>
                <w:rFonts w:hint="eastAsia" w:ascii="Times New Roman" w:hAnsi="Times New Roman" w:eastAsia="宋体" w:cs="Times New Roman"/>
                <w:color w:val="auto"/>
                <w:sz w:val="24"/>
                <w:szCs w:val="24"/>
                <w:vertAlign w:val="subscript"/>
                <w:lang w:eastAsia="zh-CN"/>
              </w:rPr>
              <w:t>:</w:t>
            </w:r>
            <w:r>
              <w:rPr>
                <w:rFonts w:hint="default" w:ascii="Times New Roman" w:hAnsi="Times New Roman" w:eastAsia="宋体" w:cs="Times New Roman"/>
                <w:color w:val="auto"/>
                <w:sz w:val="24"/>
                <w:szCs w:val="24"/>
              </w:rPr>
              <w:t>1</w:t>
            </w:r>
            <w:r>
              <w:rPr>
                <w:rFonts w:hint="eastAsia" w:cs="Times New Roman"/>
                <w:color w:val="auto"/>
                <w:sz w:val="24"/>
                <w:szCs w:val="24"/>
                <w:lang w:val="en-US" w:eastAsia="zh-CN"/>
              </w:rPr>
              <w:t>50</w:t>
            </w:r>
            <w:r>
              <w:rPr>
                <w:rFonts w:hint="default" w:ascii="Times New Roman" w:hAnsi="Times New Roman" w:eastAsia="宋体" w:cs="Times New Roman"/>
                <w:color w:val="auto"/>
                <w:sz w:val="24"/>
                <w:szCs w:val="24"/>
              </w:rPr>
              <w:t>mg/L、NH</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-N：25mg</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L、SS：</w:t>
            </w:r>
            <w:r>
              <w:rPr>
                <w:rFonts w:hint="eastAsia" w:cs="Times New Roman"/>
                <w:color w:val="auto"/>
                <w:sz w:val="24"/>
                <w:szCs w:val="24"/>
                <w:lang w:val="en-US" w:eastAsia="zh-CN"/>
              </w:rPr>
              <w:t>200</w:t>
            </w:r>
            <w:r>
              <w:rPr>
                <w:rFonts w:hint="default" w:ascii="Times New Roman" w:hAnsi="Times New Roman" w:eastAsia="宋体" w:cs="Times New Roman"/>
                <w:color w:val="auto"/>
                <w:sz w:val="24"/>
                <w:szCs w:val="24"/>
              </w:rPr>
              <w:t>mg/L、T</w:t>
            </w:r>
            <w:r>
              <w:rPr>
                <w:rFonts w:hint="default" w:ascii="Times New Roman" w:hAnsi="Times New Roman" w:eastAsia="宋体" w:cs="Times New Roman"/>
                <w:color w:val="auto"/>
                <w:sz w:val="24"/>
                <w:szCs w:val="24"/>
                <w:lang w:val="en-US" w:eastAsia="zh-CN"/>
              </w:rPr>
              <w:t>P</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mg/L</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动植物油：2</w:t>
            </w:r>
            <w:r>
              <w:rPr>
                <w:rFonts w:hint="eastAsia" w:ascii="Times New Roman" w:hAnsi="Times New Roman" w:eastAsia="宋体" w:cs="Times New Roman"/>
                <w:color w:val="auto"/>
                <w:sz w:val="24"/>
              </w:rPr>
              <w:t>0mg/L</w:t>
            </w:r>
            <w:r>
              <w:rPr>
                <w:rFonts w:hint="eastAsia" w:ascii="Times New Roman" w:hAnsi="Times New Roman" w:eastAsia="宋体" w:cs="Times New Roman"/>
                <w:color w:val="auto"/>
                <w:sz w:val="24"/>
                <w:lang w:eastAsia="zh-CN"/>
              </w:rPr>
              <w:t>。</w:t>
            </w:r>
          </w:p>
          <w:p w14:paraId="21C8FC79">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rFonts w:hint="eastAsia" w:ascii="Times New Roman" w:hAnsi="Times New Roman" w:eastAsia="宋体" w:cs="Times New Roman"/>
                <w:bCs/>
                <w:sz w:val="24"/>
                <w:szCs w:val="24"/>
              </w:rPr>
            </w:pPr>
            <w:r>
              <w:rPr>
                <w:rFonts w:hint="eastAsia" w:ascii="Times New Roman" w:hAnsi="Times New Roman" w:eastAsia="宋体" w:cs="Times New Roman"/>
                <w:bCs/>
                <w:sz w:val="24"/>
                <w:szCs w:val="24"/>
              </w:rPr>
              <w:t>（2）排水</w:t>
            </w:r>
          </w:p>
          <w:p w14:paraId="471D16C9">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rFonts w:hint="eastAsia" w:cs="Times New Roman"/>
                <w:b w:val="0"/>
                <w:bCs/>
                <w:color w:val="auto"/>
                <w:kern w:val="2"/>
                <w:sz w:val="24"/>
                <w:szCs w:val="24"/>
                <w:highlight w:val="none"/>
                <w:lang w:val="en-US" w:eastAsia="zh-CN" w:bidi="ar-SA"/>
              </w:rPr>
            </w:pPr>
            <w:r>
              <w:rPr>
                <w:rFonts w:hint="eastAsia" w:ascii="Times New Roman" w:hAnsi="Times New Roman" w:eastAsia="宋体" w:cs="Times New Roman"/>
                <w:bCs/>
                <w:sz w:val="24"/>
                <w:szCs w:val="24"/>
              </w:rPr>
              <w:t>本项目混凝土搅拌用水全部进入产品，产品养护用水全部蒸发损耗，无废水外排；设备冲洗废水经沉淀处理后，回用作搅拌用水；</w:t>
            </w:r>
            <w:r>
              <w:rPr>
                <w:rFonts w:hint="eastAsia" w:ascii="Times New Roman" w:hAnsi="Times New Roman" w:eastAsia="宋体" w:cs="Times New Roman"/>
                <w:sz w:val="24"/>
                <w:szCs w:val="24"/>
                <w:lang w:val="en-US" w:eastAsia="zh-CN"/>
              </w:rPr>
              <w:t>车辆</w:t>
            </w:r>
            <w:r>
              <w:rPr>
                <w:rFonts w:hint="default" w:ascii="Times New Roman" w:hAnsi="Times New Roman" w:eastAsia="宋体" w:cs="Times New Roman"/>
                <w:sz w:val="24"/>
                <w:szCs w:val="24"/>
              </w:rPr>
              <w:t>冲洗废水</w:t>
            </w:r>
            <w:r>
              <w:rPr>
                <w:rFonts w:hint="eastAsia" w:ascii="Times New Roman" w:hAnsi="Times New Roman" w:eastAsia="宋体" w:cs="Times New Roman"/>
                <w:sz w:val="24"/>
                <w:szCs w:val="24"/>
                <w:lang w:val="en-US" w:eastAsia="zh-CN"/>
              </w:rPr>
              <w:t>循环使用不外排</w:t>
            </w:r>
            <w:r>
              <w:rPr>
                <w:rFonts w:hint="eastAsia" w:cs="Times New Roman"/>
                <w:sz w:val="24"/>
                <w:szCs w:val="24"/>
                <w:lang w:val="en-US" w:eastAsia="zh-CN"/>
              </w:rPr>
              <w:t>、喷淋降尘用水蒸发损耗不外排；</w:t>
            </w:r>
            <w:r>
              <w:rPr>
                <w:rFonts w:hint="eastAsia" w:cs="Times New Roman"/>
                <w:b w:val="0"/>
                <w:bCs/>
                <w:color w:val="auto"/>
                <w:kern w:val="2"/>
                <w:sz w:val="24"/>
                <w:szCs w:val="24"/>
                <w:highlight w:val="none"/>
                <w:lang w:val="en-US" w:eastAsia="zh-CN" w:bidi="ar-SA"/>
              </w:rPr>
              <w:t>员工生活污水经化粪池预处理</w:t>
            </w:r>
            <w:r>
              <w:rPr>
                <w:rFonts w:hint="default" w:ascii="Times New Roman" w:hAnsi="Times New Roman" w:eastAsia="宋体" w:cs="Times New Roman"/>
                <w:b w:val="0"/>
                <w:bCs/>
                <w:color w:val="auto"/>
                <w:kern w:val="2"/>
                <w:sz w:val="24"/>
                <w:szCs w:val="24"/>
                <w:highlight w:val="none"/>
                <w:lang w:val="en-US" w:eastAsia="zh-CN" w:bidi="ar-SA"/>
              </w:rPr>
              <w:t>达《污水综合排放标准》</w:t>
            </w:r>
            <w:r>
              <w:rPr>
                <w:rFonts w:hint="eastAsia" w:cs="Times New Roman"/>
                <w:b w:val="0"/>
                <w:bCs/>
                <w:color w:val="auto"/>
                <w:kern w:val="2"/>
                <w:sz w:val="24"/>
                <w:szCs w:val="24"/>
                <w:highlight w:val="none"/>
                <w:lang w:val="en-US" w:eastAsia="zh-CN" w:bidi="ar-SA"/>
              </w:rPr>
              <w:t>（</w:t>
            </w:r>
            <w:r>
              <w:rPr>
                <w:rFonts w:hint="default" w:ascii="Times New Roman" w:hAnsi="Times New Roman" w:eastAsia="宋体" w:cs="Times New Roman"/>
                <w:b w:val="0"/>
                <w:bCs/>
                <w:color w:val="auto"/>
                <w:kern w:val="2"/>
                <w:sz w:val="24"/>
                <w:szCs w:val="24"/>
                <w:highlight w:val="none"/>
                <w:lang w:val="en-US" w:eastAsia="zh-CN" w:bidi="ar-SA"/>
              </w:rPr>
              <w:t>GB8978-1996）表4中三级标准以及高安市工业园污水处理厂接管标准后排入高安市工业园</w:t>
            </w:r>
            <w:r>
              <w:rPr>
                <w:rFonts w:hint="eastAsia" w:cs="Times New Roman"/>
                <w:b w:val="0"/>
                <w:bCs/>
                <w:color w:val="auto"/>
                <w:kern w:val="2"/>
                <w:sz w:val="24"/>
                <w:szCs w:val="24"/>
                <w:highlight w:val="none"/>
                <w:lang w:val="en-US" w:eastAsia="zh-CN" w:bidi="ar-SA"/>
              </w:rPr>
              <w:t>污水处理厂</w:t>
            </w:r>
            <w:r>
              <w:rPr>
                <w:rFonts w:hint="default" w:ascii="Times New Roman" w:hAnsi="Times New Roman" w:eastAsia="宋体" w:cs="Times New Roman"/>
                <w:b w:val="0"/>
                <w:bCs/>
                <w:color w:val="auto"/>
                <w:kern w:val="2"/>
                <w:sz w:val="24"/>
                <w:szCs w:val="24"/>
                <w:highlight w:val="none"/>
                <w:lang w:val="en-US" w:eastAsia="zh-CN" w:bidi="ar-SA"/>
              </w:rPr>
              <w:t>，处理达《城镇污水处理厂污染物排放标准》（GB18918-2002）一级A标准后排放</w:t>
            </w:r>
            <w:r>
              <w:rPr>
                <w:rFonts w:hint="eastAsia" w:cs="Times New Roman"/>
                <w:b w:val="0"/>
                <w:bCs/>
                <w:color w:val="auto"/>
                <w:kern w:val="2"/>
                <w:sz w:val="24"/>
                <w:szCs w:val="24"/>
                <w:highlight w:val="none"/>
                <w:lang w:val="en-US" w:eastAsia="zh-CN" w:bidi="ar-SA"/>
              </w:rPr>
              <w:t>。</w:t>
            </w:r>
          </w:p>
          <w:p w14:paraId="2EE39B6C">
            <w:pPr>
              <w:keepNext w:val="0"/>
              <w:keepLines w:val="0"/>
              <w:pageBreakBefore w:val="0"/>
              <w:widowControl/>
              <w:suppressLineNumbers w:val="0"/>
              <w:kinsoku/>
              <w:wordWrap/>
              <w:overflowPunct/>
              <w:topLinePunct w:val="0"/>
              <w:autoSpaceDE/>
              <w:autoSpaceDN/>
              <w:bidi w:val="0"/>
              <w:adjustRightInd/>
              <w:snapToGrid/>
              <w:spacing w:line="360" w:lineRule="auto"/>
              <w:ind w:firstLine="462" w:firstLineChars="200"/>
              <w:jc w:val="both"/>
              <w:textAlignment w:val="auto"/>
              <w:rPr>
                <w:rFonts w:hint="default"/>
                <w:color w:val="FF0000"/>
                <w:sz w:val="24"/>
                <w:szCs w:val="24"/>
                <w:lang w:val="en-US"/>
              </w:rPr>
            </w:pPr>
            <w:r>
              <w:rPr>
                <w:b/>
                <w:bCs/>
                <w:color w:val="FF0000"/>
                <w:spacing w:val="-5"/>
                <w:sz w:val="24"/>
                <w:szCs w:val="24"/>
              </w:rPr>
              <w:t>初期雨水：</w:t>
            </w:r>
            <w:r>
              <w:rPr>
                <w:color w:val="FF0000"/>
                <w:spacing w:val="-5"/>
                <w:sz w:val="24"/>
                <w:szCs w:val="24"/>
              </w:rPr>
              <w:t>初期雨水会将散落在厂区地面的粉尘及</w:t>
            </w:r>
            <w:r>
              <w:rPr>
                <w:color w:val="FF0000"/>
                <w:spacing w:val="-6"/>
                <w:sz w:val="24"/>
                <w:szCs w:val="24"/>
              </w:rPr>
              <w:t>物料汇集，若不进行处理，</w:t>
            </w:r>
            <w:r>
              <w:rPr>
                <w:color w:val="FF0000"/>
                <w:sz w:val="24"/>
                <w:szCs w:val="24"/>
              </w:rPr>
              <w:t>将对水环境造成一定的影响。</w:t>
            </w:r>
            <w:r>
              <w:rPr>
                <w:rFonts w:hint="eastAsia" w:ascii="宋体" w:hAnsi="宋体" w:eastAsia="宋体" w:cs="宋体"/>
                <w:color w:val="FF0000"/>
                <w:kern w:val="0"/>
                <w:sz w:val="24"/>
                <w:szCs w:val="24"/>
                <w:lang w:val="en-US" w:eastAsia="zh-CN" w:bidi="ar"/>
              </w:rPr>
              <w:t>本厂区汇水面积约</w:t>
            </w:r>
            <w:r>
              <w:rPr>
                <w:rFonts w:hint="eastAsia" w:eastAsia="宋体" w:cs="Times New Roman"/>
                <w:color w:val="FF0000"/>
                <w:kern w:val="0"/>
                <w:sz w:val="24"/>
                <w:szCs w:val="24"/>
                <w:lang w:val="en-US" w:eastAsia="zh-CN" w:bidi="ar"/>
              </w:rPr>
              <w:t>2.78</w:t>
            </w:r>
            <w:r>
              <w:rPr>
                <w:rFonts w:hint="default" w:ascii="Times New Roman" w:hAnsi="Times New Roman" w:eastAsia="宋体" w:cs="Times New Roman"/>
                <w:color w:val="FF0000"/>
                <w:kern w:val="0"/>
                <w:sz w:val="24"/>
                <w:szCs w:val="24"/>
                <w:lang w:val="en-US" w:eastAsia="zh-CN" w:bidi="ar"/>
              </w:rPr>
              <w:t>hm</w:t>
            </w:r>
            <w:r>
              <w:rPr>
                <w:rFonts w:hint="eastAsia" w:ascii="Times New Roman" w:hAnsi="Times New Roman" w:eastAsia="宋体" w:cs="Times New Roman"/>
                <w:color w:val="FF0000"/>
                <w:kern w:val="0"/>
                <w:sz w:val="24"/>
                <w:szCs w:val="24"/>
                <w:vertAlign w:val="superscript"/>
                <w:lang w:val="en-US" w:eastAsia="zh-CN" w:bidi="ar"/>
              </w:rPr>
              <w:t>2</w:t>
            </w:r>
            <w:r>
              <w:rPr>
                <w:rFonts w:hint="eastAsia" w:ascii="宋体" w:hAnsi="宋体" w:eastAsia="宋体" w:cs="宋体"/>
                <w:color w:val="FF0000"/>
                <w:kern w:val="0"/>
                <w:sz w:val="24"/>
                <w:szCs w:val="24"/>
                <w:lang w:val="en-US" w:eastAsia="zh-CN" w:bidi="ar"/>
              </w:rPr>
              <w:t>（以企业占地面积计）</w:t>
            </w:r>
            <w:r>
              <w:rPr>
                <w:rFonts w:hint="eastAsia" w:ascii="宋体" w:hAnsi="宋体" w:cs="宋体"/>
                <w:color w:val="FF0000"/>
                <w:kern w:val="0"/>
                <w:sz w:val="24"/>
                <w:szCs w:val="24"/>
                <w:lang w:val="en-US" w:eastAsia="zh-CN" w:bidi="ar"/>
              </w:rPr>
              <w:t>，</w:t>
            </w:r>
            <w:r>
              <w:rPr>
                <w:rFonts w:hint="eastAsia" w:ascii="宋体" w:hAnsi="宋体" w:eastAsia="宋体" w:cs="宋体"/>
                <w:color w:val="FF0000"/>
                <w:kern w:val="0"/>
                <w:sz w:val="24"/>
                <w:szCs w:val="24"/>
                <w:lang w:val="en-US" w:eastAsia="zh-CN" w:bidi="ar"/>
              </w:rPr>
              <w:t>则本项目厂区内每次需要收集的前</w:t>
            </w:r>
            <w:r>
              <w:rPr>
                <w:rFonts w:hint="default" w:ascii="Times New Roman" w:hAnsi="Times New Roman" w:cs="Times New Roman"/>
                <w:color w:val="FF0000"/>
                <w:kern w:val="0"/>
                <w:sz w:val="24"/>
                <w:szCs w:val="24"/>
                <w:lang w:val="en-US" w:eastAsia="zh-CN" w:bidi="ar"/>
              </w:rPr>
              <w:t>20mm</w:t>
            </w:r>
            <w:r>
              <w:rPr>
                <w:rFonts w:hint="eastAsia" w:ascii="宋体" w:hAnsi="宋体" w:eastAsia="宋体" w:cs="宋体"/>
                <w:color w:val="FF0000"/>
                <w:kern w:val="0"/>
                <w:sz w:val="24"/>
                <w:szCs w:val="24"/>
                <w:lang w:val="en-US" w:eastAsia="zh-CN" w:bidi="ar"/>
              </w:rPr>
              <w:t>的初期雨水水量为</w:t>
            </w:r>
            <w:r>
              <w:rPr>
                <w:rFonts w:hint="eastAsia" w:cs="Times New Roman"/>
                <w:color w:val="FF0000"/>
                <w:kern w:val="0"/>
                <w:sz w:val="24"/>
                <w:szCs w:val="24"/>
                <w:lang w:val="en-US" w:eastAsia="zh-CN" w:bidi="ar"/>
              </w:rPr>
              <w:t>556</w:t>
            </w:r>
            <w:r>
              <w:rPr>
                <w:rFonts w:hint="default" w:ascii="Times New Roman" w:hAnsi="Times New Roman" w:eastAsia="宋体" w:cs="Times New Roman"/>
                <w:color w:val="FF0000"/>
                <w:kern w:val="0"/>
                <w:sz w:val="24"/>
                <w:szCs w:val="24"/>
                <w:lang w:val="en-US" w:eastAsia="zh-CN" w:bidi="ar"/>
              </w:rPr>
              <w:t>m</w:t>
            </w:r>
            <w:r>
              <w:rPr>
                <w:rFonts w:hint="eastAsia" w:ascii="Times New Roman" w:hAnsi="Times New Roman" w:eastAsia="宋体" w:cs="Times New Roman"/>
                <w:color w:val="FF0000"/>
                <w:kern w:val="0"/>
                <w:sz w:val="24"/>
                <w:szCs w:val="24"/>
                <w:vertAlign w:val="superscript"/>
                <w:lang w:val="en-US" w:eastAsia="zh-CN" w:bidi="ar"/>
              </w:rPr>
              <w:t>3</w:t>
            </w:r>
            <w:r>
              <w:rPr>
                <w:rFonts w:hint="eastAsia" w:cs="Times New Roman"/>
                <w:color w:val="FF0000"/>
                <w:kern w:val="0"/>
                <w:sz w:val="24"/>
                <w:szCs w:val="24"/>
                <w:vertAlign w:val="baseline"/>
                <w:lang w:val="en-US" w:eastAsia="zh-CN" w:bidi="ar"/>
              </w:rPr>
              <w:t>，年收集次数以20次计，则初期雨水年产生量为11120</w:t>
            </w:r>
            <w:r>
              <w:rPr>
                <w:rFonts w:hint="default" w:ascii="Times New Roman" w:hAnsi="Times New Roman" w:eastAsia="宋体" w:cs="Times New Roman"/>
                <w:color w:val="FF0000"/>
                <w:kern w:val="0"/>
                <w:sz w:val="24"/>
                <w:szCs w:val="24"/>
                <w:lang w:val="en-US" w:eastAsia="zh-CN" w:bidi="ar"/>
              </w:rPr>
              <w:t>m</w:t>
            </w:r>
            <w:r>
              <w:rPr>
                <w:rFonts w:hint="eastAsia" w:ascii="Times New Roman" w:hAnsi="Times New Roman" w:eastAsia="宋体" w:cs="Times New Roman"/>
                <w:color w:val="FF0000"/>
                <w:kern w:val="0"/>
                <w:sz w:val="24"/>
                <w:szCs w:val="24"/>
                <w:vertAlign w:val="superscript"/>
                <w:lang w:val="en-US" w:eastAsia="zh-CN" w:bidi="ar"/>
              </w:rPr>
              <w:t>3</w:t>
            </w:r>
            <w:r>
              <w:rPr>
                <w:rFonts w:hint="eastAsia" w:cs="Times New Roman"/>
                <w:color w:val="FF0000"/>
                <w:kern w:val="0"/>
                <w:sz w:val="24"/>
                <w:szCs w:val="24"/>
                <w:vertAlign w:val="baseline"/>
                <w:lang w:val="en-US" w:eastAsia="zh-CN" w:bidi="ar"/>
              </w:rPr>
              <w:t>/a。</w:t>
            </w:r>
          </w:p>
          <w:p w14:paraId="67235DD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FF0000"/>
                <w:kern w:val="0"/>
                <w:sz w:val="24"/>
                <w:szCs w:val="24"/>
                <w:lang w:val="en-US" w:eastAsia="zh-CN" w:bidi="ar"/>
              </w:rPr>
            </w:pPr>
            <w:r>
              <w:rPr>
                <w:rFonts w:hint="default" w:ascii="Times New Roman" w:hAnsi="Times New Roman" w:eastAsia="宋体" w:cs="Times New Roman"/>
                <w:color w:val="FF0000"/>
                <w:kern w:val="0"/>
                <w:sz w:val="24"/>
                <w:szCs w:val="24"/>
                <w:lang w:val="en-US" w:eastAsia="zh-CN" w:bidi="ar"/>
              </w:rPr>
              <w:t>项目在厂区地势较低处</w:t>
            </w:r>
            <w:r>
              <w:rPr>
                <w:rFonts w:hint="eastAsia" w:cs="Times New Roman"/>
                <w:color w:val="FF0000"/>
                <w:kern w:val="0"/>
                <w:sz w:val="24"/>
                <w:szCs w:val="24"/>
                <w:lang w:val="en-US" w:eastAsia="zh-CN" w:bidi="ar"/>
              </w:rPr>
              <w:t>（西南角）</w:t>
            </w:r>
            <w:r>
              <w:rPr>
                <w:rFonts w:hint="default" w:ascii="Times New Roman" w:hAnsi="Times New Roman" w:eastAsia="宋体" w:cs="Times New Roman"/>
                <w:color w:val="FF0000"/>
                <w:kern w:val="0"/>
                <w:sz w:val="24"/>
                <w:szCs w:val="24"/>
                <w:lang w:val="en-US" w:eastAsia="zh-CN" w:bidi="ar"/>
              </w:rPr>
              <w:t>设置一座</w:t>
            </w:r>
            <w:r>
              <w:rPr>
                <w:rFonts w:hint="eastAsia" w:cs="Times New Roman"/>
                <w:color w:val="FF0000"/>
                <w:kern w:val="0"/>
                <w:sz w:val="24"/>
                <w:szCs w:val="24"/>
                <w:highlight w:val="none"/>
                <w:lang w:val="en-US" w:eastAsia="zh-CN" w:bidi="ar"/>
              </w:rPr>
              <w:t>600</w:t>
            </w:r>
            <w:r>
              <w:rPr>
                <w:rFonts w:hint="default" w:ascii="Times New Roman" w:hAnsi="Times New Roman" w:eastAsia="宋体" w:cs="Times New Roman"/>
                <w:color w:val="FF0000"/>
                <w:kern w:val="0"/>
                <w:sz w:val="24"/>
                <w:szCs w:val="24"/>
                <w:highlight w:val="none"/>
                <w:lang w:val="en-US" w:eastAsia="zh-CN" w:bidi="ar"/>
              </w:rPr>
              <w:t>m</w:t>
            </w:r>
            <w:r>
              <w:rPr>
                <w:rFonts w:hint="default" w:ascii="Times New Roman" w:hAnsi="Times New Roman" w:eastAsia="宋体" w:cs="Times New Roman"/>
                <w:color w:val="FF0000"/>
                <w:kern w:val="0"/>
                <w:sz w:val="24"/>
                <w:szCs w:val="24"/>
                <w:highlight w:val="none"/>
                <w:vertAlign w:val="superscript"/>
                <w:lang w:val="en-US" w:eastAsia="zh-CN" w:bidi="ar"/>
              </w:rPr>
              <w:t>3</w:t>
            </w:r>
            <w:r>
              <w:rPr>
                <w:rFonts w:hint="default" w:ascii="Times New Roman" w:hAnsi="Times New Roman" w:eastAsia="宋体" w:cs="Times New Roman"/>
                <w:color w:val="FF0000"/>
                <w:kern w:val="0"/>
                <w:sz w:val="24"/>
                <w:szCs w:val="24"/>
                <w:highlight w:val="none"/>
                <w:lang w:val="en-US" w:eastAsia="zh-CN" w:bidi="ar"/>
              </w:rPr>
              <w:t>初期雨</w:t>
            </w:r>
            <w:r>
              <w:rPr>
                <w:rFonts w:hint="default" w:ascii="Times New Roman" w:hAnsi="Times New Roman" w:eastAsia="宋体" w:cs="Times New Roman"/>
                <w:color w:val="FF0000"/>
                <w:kern w:val="0"/>
                <w:sz w:val="24"/>
                <w:szCs w:val="24"/>
                <w:lang w:val="en-US" w:eastAsia="zh-CN" w:bidi="ar"/>
              </w:rPr>
              <w:t>水池，初期雨水经</w:t>
            </w:r>
            <w:r>
              <w:rPr>
                <w:rFonts w:hint="eastAsia" w:ascii="Times New Roman" w:hAnsi="Times New Roman" w:eastAsia="宋体" w:cs="Times New Roman"/>
                <w:color w:val="FF0000"/>
                <w:sz w:val="24"/>
                <w:szCs w:val="24"/>
                <w:lang w:val="en-US" w:eastAsia="zh-CN"/>
              </w:rPr>
              <w:t>沉淀处理</w:t>
            </w:r>
            <w:r>
              <w:rPr>
                <w:rFonts w:hint="default" w:ascii="Times New Roman" w:hAnsi="Times New Roman" w:eastAsia="宋体" w:cs="Times New Roman"/>
                <w:color w:val="FF0000"/>
                <w:kern w:val="0"/>
                <w:sz w:val="24"/>
                <w:szCs w:val="24"/>
                <w:lang w:val="en-US" w:eastAsia="zh-CN" w:bidi="ar"/>
              </w:rPr>
              <w:t>后回用于</w:t>
            </w:r>
            <w:r>
              <w:rPr>
                <w:rFonts w:hint="eastAsia" w:cs="Times New Roman"/>
                <w:color w:val="FF0000"/>
                <w:kern w:val="0"/>
                <w:sz w:val="24"/>
                <w:szCs w:val="24"/>
                <w:lang w:val="en-US" w:eastAsia="zh-CN" w:bidi="ar"/>
              </w:rPr>
              <w:t>工艺用水、</w:t>
            </w:r>
            <w:r>
              <w:rPr>
                <w:rFonts w:hint="default" w:ascii="Times New Roman" w:hAnsi="Times New Roman" w:eastAsia="宋体" w:cs="Times New Roman"/>
                <w:color w:val="FF0000"/>
                <w:kern w:val="0"/>
                <w:sz w:val="24"/>
                <w:szCs w:val="24"/>
                <w:lang w:val="en-US" w:eastAsia="zh-CN" w:bidi="ar"/>
              </w:rPr>
              <w:t>厂区喷淋降尘</w:t>
            </w:r>
            <w:r>
              <w:rPr>
                <w:rFonts w:hint="eastAsia" w:cs="Times New Roman"/>
                <w:color w:val="FF0000"/>
                <w:kern w:val="0"/>
                <w:sz w:val="24"/>
                <w:szCs w:val="24"/>
                <w:lang w:val="en-US" w:eastAsia="zh-CN" w:bidi="ar"/>
              </w:rPr>
              <w:t>及厂区绿化</w:t>
            </w:r>
            <w:r>
              <w:rPr>
                <w:rFonts w:hint="eastAsia" w:ascii="Times New Roman" w:hAnsi="Times New Roman" w:eastAsia="宋体" w:cs="Times New Roman"/>
                <w:color w:val="FF0000"/>
                <w:kern w:val="0"/>
                <w:sz w:val="24"/>
                <w:szCs w:val="24"/>
                <w:lang w:val="en-US" w:eastAsia="zh-CN" w:bidi="ar"/>
              </w:rPr>
              <w:t>，</w:t>
            </w:r>
            <w:r>
              <w:rPr>
                <w:rFonts w:hint="eastAsia" w:cs="Times New Roman"/>
                <w:color w:val="FF0000"/>
                <w:kern w:val="0"/>
                <w:sz w:val="24"/>
                <w:szCs w:val="24"/>
                <w:lang w:val="en-US" w:eastAsia="zh-CN" w:bidi="ar"/>
              </w:rPr>
              <w:t>多余无法利用部分经</w:t>
            </w:r>
            <w:r>
              <w:rPr>
                <w:rFonts w:hint="eastAsia" w:cs="Times New Roman"/>
                <w:b w:val="0"/>
                <w:bCs/>
                <w:color w:val="FF0000"/>
                <w:kern w:val="2"/>
                <w:sz w:val="24"/>
                <w:szCs w:val="24"/>
                <w:highlight w:val="none"/>
                <w:lang w:val="en-US" w:eastAsia="zh-CN" w:bidi="ar-SA"/>
              </w:rPr>
              <w:t>预处理</w:t>
            </w:r>
            <w:r>
              <w:rPr>
                <w:rFonts w:hint="default" w:ascii="Times New Roman" w:hAnsi="Times New Roman" w:eastAsia="宋体" w:cs="Times New Roman"/>
                <w:b w:val="0"/>
                <w:bCs/>
                <w:color w:val="FF0000"/>
                <w:kern w:val="2"/>
                <w:sz w:val="24"/>
                <w:szCs w:val="24"/>
                <w:highlight w:val="none"/>
                <w:lang w:val="en-US" w:eastAsia="zh-CN" w:bidi="ar-SA"/>
              </w:rPr>
              <w:t>达《污水综合排放标准》</w:t>
            </w:r>
            <w:r>
              <w:rPr>
                <w:rFonts w:hint="eastAsia" w:cs="Times New Roman"/>
                <w:b w:val="0"/>
                <w:bCs/>
                <w:color w:val="FF0000"/>
                <w:kern w:val="2"/>
                <w:sz w:val="24"/>
                <w:szCs w:val="24"/>
                <w:highlight w:val="none"/>
                <w:lang w:val="en-US" w:eastAsia="zh-CN" w:bidi="ar-SA"/>
              </w:rPr>
              <w:t>（</w:t>
            </w:r>
            <w:r>
              <w:rPr>
                <w:rFonts w:hint="default" w:ascii="Times New Roman" w:hAnsi="Times New Roman" w:eastAsia="宋体" w:cs="Times New Roman"/>
                <w:b w:val="0"/>
                <w:bCs/>
                <w:color w:val="FF0000"/>
                <w:kern w:val="2"/>
                <w:sz w:val="24"/>
                <w:szCs w:val="24"/>
                <w:highlight w:val="none"/>
                <w:lang w:val="en-US" w:eastAsia="zh-CN" w:bidi="ar-SA"/>
              </w:rPr>
              <w:t>GB8978-1996）表4中三级标准以及高安市工业园污水处理厂接管标准后排入高安市工业园</w:t>
            </w:r>
            <w:r>
              <w:rPr>
                <w:rFonts w:hint="eastAsia" w:cs="Times New Roman"/>
                <w:b w:val="0"/>
                <w:bCs/>
                <w:color w:val="FF0000"/>
                <w:kern w:val="2"/>
                <w:sz w:val="24"/>
                <w:szCs w:val="24"/>
                <w:highlight w:val="none"/>
                <w:lang w:val="en-US" w:eastAsia="zh-CN" w:bidi="ar-SA"/>
              </w:rPr>
              <w:t>污水处理厂</w:t>
            </w:r>
            <w:r>
              <w:rPr>
                <w:rFonts w:hint="default" w:ascii="Times New Roman" w:hAnsi="Times New Roman" w:eastAsia="宋体" w:cs="Times New Roman"/>
                <w:color w:val="FF0000"/>
                <w:kern w:val="0"/>
                <w:sz w:val="24"/>
                <w:szCs w:val="24"/>
                <w:lang w:val="en-US" w:eastAsia="zh-CN" w:bidi="ar"/>
              </w:rPr>
              <w:t>。</w:t>
            </w:r>
          </w:p>
          <w:p w14:paraId="5B61AAA2">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textAlignment w:val="auto"/>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本项目水平衡如下：</w:t>
            </w:r>
          </w:p>
          <w:p w14:paraId="736229ED">
            <w:pPr>
              <w:keepNext w:val="0"/>
              <w:keepLines w:val="0"/>
              <w:pageBreakBefore w:val="0"/>
              <w:widowControl/>
              <w:tabs>
                <w:tab w:val="left" w:pos="2660"/>
              </w:tabs>
              <w:kinsoku/>
              <w:wordWrap/>
              <w:overflowPunct/>
              <w:topLinePunct w:val="0"/>
              <w:autoSpaceDE/>
              <w:autoSpaceDN/>
              <w:bidi w:val="0"/>
              <w:adjustRightInd w:val="0"/>
              <w:snapToGrid w:val="0"/>
              <w:spacing w:line="240" w:lineRule="auto"/>
              <w:ind w:left="0" w:leftChars="0" w:firstLine="0" w:firstLineChars="0"/>
              <w:jc w:val="both"/>
              <w:textAlignment w:val="baseline"/>
            </w:pPr>
            <w:r>
              <w:drawing>
                <wp:inline distT="0" distB="0" distL="114300" distR="114300">
                  <wp:extent cx="5374640" cy="3970655"/>
                  <wp:effectExtent l="0" t="0" r="5080" b="6985"/>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16"/>
                          <a:stretch>
                            <a:fillRect/>
                          </a:stretch>
                        </pic:blipFill>
                        <pic:spPr>
                          <a:xfrm>
                            <a:off x="0" y="0"/>
                            <a:ext cx="5374640" cy="3970655"/>
                          </a:xfrm>
                          <a:prstGeom prst="rect">
                            <a:avLst/>
                          </a:prstGeom>
                          <a:noFill/>
                          <a:ln>
                            <a:noFill/>
                          </a:ln>
                        </pic:spPr>
                      </pic:pic>
                    </a:graphicData>
                  </a:graphic>
                </wp:inline>
              </w:drawing>
            </w:r>
          </w:p>
          <w:p w14:paraId="6C873527">
            <w:pPr>
              <w:keepNext w:val="0"/>
              <w:keepLines w:val="0"/>
              <w:pageBreakBefore w:val="0"/>
              <w:widowControl/>
              <w:tabs>
                <w:tab w:val="left" w:pos="2660"/>
              </w:tabs>
              <w:kinsoku/>
              <w:wordWrap/>
              <w:overflowPunct/>
              <w:topLinePunct w:val="0"/>
              <w:autoSpaceDE/>
              <w:autoSpaceDN/>
              <w:bidi w:val="0"/>
              <w:adjustRightInd w:val="0"/>
              <w:snapToGrid w:val="0"/>
              <w:spacing w:line="240" w:lineRule="auto"/>
              <w:jc w:val="center"/>
              <w:textAlignment w:val="baseline"/>
              <w:rPr>
                <w:rFonts w:hint="default" w:ascii="Times New Roman" w:hAnsi="Times New Roman" w:eastAsia="宋体" w:cs="Times New Roman"/>
                <w:b/>
                <w:bCs/>
                <w:sz w:val="21"/>
                <w:szCs w:val="18"/>
                <w:lang w:val="en"/>
              </w:rPr>
            </w:pPr>
            <w:r>
              <w:rPr>
                <w:rFonts w:hint="eastAsia" w:ascii="Times New Roman" w:hAnsi="Times New Roman" w:eastAsia="宋体" w:cs="Times New Roman"/>
                <w:b/>
                <w:bCs/>
                <w:sz w:val="21"/>
                <w:szCs w:val="18"/>
                <w:lang w:val="en-US" w:eastAsia="zh-CN"/>
              </w:rPr>
              <w:t>图2-1 项目水平衡图</w:t>
            </w:r>
            <w:r>
              <w:rPr>
                <w:rFonts w:hint="default" w:ascii="Times New Roman" w:hAnsi="Times New Roman" w:eastAsia="宋体" w:cs="Times New Roman"/>
                <w:b/>
                <w:bCs/>
                <w:sz w:val="21"/>
                <w:szCs w:val="18"/>
                <w:lang w:val="en"/>
              </w:rPr>
              <w:t>（</w:t>
            </w:r>
            <w:r>
              <w:rPr>
                <w:rFonts w:hint="eastAsia" w:ascii="Times New Roman" w:hAnsi="Times New Roman" w:eastAsia="宋体" w:cs="Times New Roman"/>
                <w:b/>
                <w:bCs/>
                <w:sz w:val="21"/>
                <w:szCs w:val="18"/>
                <w:lang w:val="en-US" w:eastAsia="zh-CN"/>
              </w:rPr>
              <w:t>单位：</w:t>
            </w:r>
            <w:r>
              <w:rPr>
                <w:rFonts w:hint="default" w:ascii="Times New Roman" w:hAnsi="Times New Roman" w:eastAsia="宋体" w:cs="Times New Roman"/>
                <w:b/>
                <w:bCs/>
                <w:sz w:val="21"/>
                <w:szCs w:val="18"/>
                <w:lang w:val="en"/>
              </w:rPr>
              <w:t>m</w:t>
            </w:r>
            <w:r>
              <w:rPr>
                <w:rFonts w:hint="default" w:ascii="Times New Roman" w:hAnsi="Times New Roman" w:eastAsia="宋体" w:cs="Times New Roman"/>
                <w:b/>
                <w:bCs/>
                <w:sz w:val="21"/>
                <w:szCs w:val="18"/>
                <w:vertAlign w:val="superscript"/>
                <w:lang w:val="en"/>
              </w:rPr>
              <w:t>3</w:t>
            </w:r>
            <w:r>
              <w:rPr>
                <w:rFonts w:hint="default" w:ascii="Times New Roman" w:hAnsi="Times New Roman" w:eastAsia="宋体" w:cs="Times New Roman"/>
                <w:b/>
                <w:bCs/>
                <w:sz w:val="21"/>
                <w:szCs w:val="18"/>
                <w:lang w:val="en"/>
              </w:rPr>
              <w:t>/</w:t>
            </w:r>
            <w:r>
              <w:rPr>
                <w:rFonts w:hint="eastAsia" w:cs="Times New Roman"/>
                <w:b/>
                <w:bCs/>
                <w:sz w:val="21"/>
                <w:szCs w:val="18"/>
                <w:lang w:val="en-US" w:eastAsia="zh-CN"/>
              </w:rPr>
              <w:t>d</w:t>
            </w:r>
            <w:r>
              <w:rPr>
                <w:rFonts w:hint="default" w:ascii="Times New Roman" w:hAnsi="Times New Roman" w:eastAsia="宋体" w:cs="Times New Roman"/>
                <w:b/>
                <w:bCs/>
                <w:sz w:val="21"/>
                <w:szCs w:val="18"/>
                <w:lang w:val="en"/>
              </w:rPr>
              <w:t>）</w:t>
            </w:r>
          </w:p>
          <w:p w14:paraId="0F6B62C1">
            <w:pPr>
              <w:keepNext w:val="0"/>
              <w:keepLines w:val="0"/>
              <w:pageBreakBefore w:val="0"/>
              <w:widowControl/>
              <w:tabs>
                <w:tab w:val="left" w:pos="2660"/>
              </w:tabs>
              <w:kinsoku/>
              <w:wordWrap/>
              <w:overflowPunct/>
              <w:topLinePunct w:val="0"/>
              <w:autoSpaceDE/>
              <w:autoSpaceDN/>
              <w:bidi w:val="0"/>
              <w:adjustRightInd w:val="0"/>
              <w:snapToGrid w:val="0"/>
              <w:spacing w:line="240" w:lineRule="auto"/>
              <w:jc w:val="center"/>
              <w:textAlignment w:val="baseline"/>
              <w:rPr>
                <w:rFonts w:hint="default" w:ascii="Times New Roman" w:hAnsi="Times New Roman" w:eastAsia="宋体" w:cs="Times New Roman"/>
                <w:b/>
                <w:bCs/>
                <w:sz w:val="21"/>
                <w:szCs w:val="18"/>
                <w:lang w:val="en"/>
              </w:rPr>
            </w:pPr>
            <w:r>
              <w:rPr>
                <w:rFonts w:hint="default" w:ascii="Times New Roman" w:hAnsi="Times New Roman" w:eastAsia="宋体" w:cs="Times New Roman"/>
                <w:b/>
                <w:bCs/>
                <w:sz w:val="21"/>
                <w:szCs w:val="18"/>
                <w:lang w:val="en"/>
              </w:rPr>
              <w:t>表</w:t>
            </w:r>
            <w:r>
              <w:rPr>
                <w:rFonts w:hint="eastAsia" w:ascii="Times New Roman" w:hAnsi="Times New Roman" w:eastAsia="宋体" w:cs="Times New Roman"/>
                <w:b/>
                <w:bCs/>
                <w:sz w:val="21"/>
                <w:szCs w:val="18"/>
                <w:lang w:val="en-US" w:eastAsia="zh-CN"/>
              </w:rPr>
              <w:t>2-</w:t>
            </w:r>
            <w:r>
              <w:rPr>
                <w:rFonts w:hint="eastAsia" w:cs="Times New Roman"/>
                <w:b/>
                <w:bCs/>
                <w:sz w:val="21"/>
                <w:szCs w:val="18"/>
                <w:lang w:val="en-US" w:eastAsia="zh-CN"/>
              </w:rPr>
              <w:t>7</w:t>
            </w:r>
            <w:r>
              <w:rPr>
                <w:rFonts w:hint="default" w:ascii="Times New Roman" w:hAnsi="Times New Roman" w:eastAsia="宋体" w:cs="Times New Roman"/>
                <w:b/>
                <w:bCs/>
                <w:sz w:val="21"/>
                <w:szCs w:val="18"/>
                <w:lang w:val="en"/>
              </w:rPr>
              <w:t xml:space="preserve"> </w:t>
            </w:r>
            <w:r>
              <w:rPr>
                <w:rFonts w:hint="default" w:ascii="Times New Roman" w:hAnsi="Times New Roman" w:eastAsia="宋体" w:cs="Times New Roman"/>
                <w:b/>
                <w:bCs/>
                <w:sz w:val="21"/>
                <w:szCs w:val="18"/>
                <w:lang w:val="en-US" w:eastAsia="zh-CN"/>
              </w:rPr>
              <w:t>项目</w:t>
            </w:r>
            <w:r>
              <w:rPr>
                <w:rFonts w:hint="default" w:ascii="Times New Roman" w:hAnsi="Times New Roman" w:eastAsia="宋体" w:cs="Times New Roman"/>
                <w:b/>
                <w:bCs/>
                <w:sz w:val="21"/>
                <w:szCs w:val="18"/>
                <w:lang w:val="en"/>
              </w:rPr>
              <w:t>水平衡表（</w:t>
            </w:r>
            <w:r>
              <w:rPr>
                <w:rFonts w:hint="eastAsia" w:ascii="Times New Roman" w:hAnsi="Times New Roman" w:eastAsia="宋体" w:cs="Times New Roman"/>
                <w:b/>
                <w:bCs/>
                <w:sz w:val="21"/>
                <w:szCs w:val="18"/>
                <w:lang w:val="en-US" w:eastAsia="zh-CN"/>
              </w:rPr>
              <w:t>单位：</w:t>
            </w:r>
            <w:r>
              <w:rPr>
                <w:rFonts w:hint="default" w:ascii="Times New Roman" w:hAnsi="Times New Roman" w:eastAsia="宋体" w:cs="Times New Roman"/>
                <w:b/>
                <w:bCs/>
                <w:sz w:val="21"/>
                <w:szCs w:val="18"/>
                <w:lang w:val="en"/>
              </w:rPr>
              <w:t>m</w:t>
            </w:r>
            <w:r>
              <w:rPr>
                <w:rFonts w:hint="default" w:ascii="Times New Roman" w:hAnsi="Times New Roman" w:eastAsia="宋体" w:cs="Times New Roman"/>
                <w:b/>
                <w:bCs/>
                <w:sz w:val="21"/>
                <w:szCs w:val="18"/>
                <w:vertAlign w:val="superscript"/>
                <w:lang w:val="en"/>
              </w:rPr>
              <w:t>3</w:t>
            </w:r>
            <w:r>
              <w:rPr>
                <w:rFonts w:hint="default" w:ascii="Times New Roman" w:hAnsi="Times New Roman" w:eastAsia="宋体" w:cs="Times New Roman"/>
                <w:b/>
                <w:bCs/>
                <w:sz w:val="21"/>
                <w:szCs w:val="18"/>
                <w:lang w:val="en"/>
              </w:rPr>
              <w:t>/</w:t>
            </w:r>
            <w:r>
              <w:rPr>
                <w:rFonts w:hint="eastAsia" w:cs="Times New Roman"/>
                <w:b/>
                <w:bCs/>
                <w:sz w:val="21"/>
                <w:szCs w:val="18"/>
                <w:lang w:val="en-US" w:eastAsia="zh-CN"/>
              </w:rPr>
              <w:t>d</w:t>
            </w:r>
            <w:r>
              <w:rPr>
                <w:rFonts w:hint="default" w:ascii="Times New Roman" w:hAnsi="Times New Roman" w:eastAsia="宋体" w:cs="Times New Roman"/>
                <w:b/>
                <w:bCs/>
                <w:sz w:val="21"/>
                <w:szCs w:val="18"/>
                <w:lang w:val="en"/>
              </w:rPr>
              <w:t>）</w:t>
            </w:r>
          </w:p>
          <w:tbl>
            <w:tblPr>
              <w:tblStyle w:val="41"/>
              <w:tblW w:w="0" w:type="auto"/>
              <w:tblInd w:w="-1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21"/>
              <w:gridCol w:w="840"/>
              <w:gridCol w:w="840"/>
              <w:gridCol w:w="841"/>
              <w:gridCol w:w="841"/>
              <w:gridCol w:w="779"/>
              <w:gridCol w:w="779"/>
              <w:gridCol w:w="779"/>
              <w:gridCol w:w="780"/>
            </w:tblGrid>
            <w:tr w14:paraId="597F1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821" w:type="dxa"/>
                  <w:vMerge w:val="restart"/>
                  <w:tcBorders>
                    <w:top w:val="single" w:color="000000" w:sz="12" w:space="0"/>
                    <w:left w:val="nil"/>
                    <w:bottom w:val="single" w:color="000000" w:sz="8" w:space="0"/>
                    <w:right w:val="single" w:color="000000" w:sz="8" w:space="0"/>
                  </w:tcBorders>
                  <w:shd w:val="clear" w:color="auto" w:fill="auto"/>
                  <w:vAlign w:val="center"/>
                </w:tcPr>
                <w:p w14:paraId="66FA684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用水项目</w:t>
                  </w:r>
                </w:p>
              </w:tc>
              <w:tc>
                <w:tcPr>
                  <w:tcW w:w="3362" w:type="dxa"/>
                  <w:gridSpan w:val="4"/>
                  <w:tcBorders>
                    <w:top w:val="single" w:color="000000" w:sz="12" w:space="0"/>
                    <w:left w:val="single" w:color="000000" w:sz="8" w:space="0"/>
                    <w:bottom w:val="single" w:color="000000" w:sz="8" w:space="0"/>
                    <w:right w:val="single" w:color="000000" w:sz="8" w:space="0"/>
                  </w:tcBorders>
                  <w:shd w:val="clear" w:color="auto" w:fill="auto"/>
                  <w:vAlign w:val="center"/>
                </w:tcPr>
                <w:p w14:paraId="26AF13E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给水</w:t>
                  </w:r>
                </w:p>
              </w:tc>
              <w:tc>
                <w:tcPr>
                  <w:tcW w:w="3117" w:type="dxa"/>
                  <w:gridSpan w:val="4"/>
                  <w:tcBorders>
                    <w:top w:val="single" w:color="000000" w:sz="12" w:space="0"/>
                    <w:left w:val="single" w:color="000000" w:sz="8" w:space="0"/>
                    <w:bottom w:val="single" w:color="000000" w:sz="8" w:space="0"/>
                    <w:right w:val="nil"/>
                  </w:tcBorders>
                  <w:shd w:val="clear" w:color="auto" w:fill="auto"/>
                  <w:vAlign w:val="center"/>
                </w:tcPr>
                <w:p w14:paraId="2BC6786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排水</w:t>
                  </w:r>
                </w:p>
              </w:tc>
            </w:tr>
            <w:tr w14:paraId="48948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821" w:type="dxa"/>
                  <w:vMerge w:val="continue"/>
                  <w:tcBorders>
                    <w:top w:val="single" w:color="000000" w:sz="12" w:space="0"/>
                    <w:left w:val="nil"/>
                    <w:bottom w:val="single" w:color="000000" w:sz="8" w:space="0"/>
                    <w:right w:val="single" w:color="000000" w:sz="8" w:space="0"/>
                  </w:tcBorders>
                  <w:shd w:val="clear" w:color="auto" w:fill="auto"/>
                  <w:vAlign w:val="center"/>
                </w:tcPr>
                <w:p w14:paraId="5E51C05F">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b/>
                      <w:bCs/>
                      <w:i w:val="0"/>
                      <w:iCs w:val="0"/>
                      <w:color w:val="FF0000"/>
                      <w:sz w:val="21"/>
                      <w:szCs w:val="21"/>
                      <w:u w:val="none"/>
                    </w:rPr>
                  </w:pP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348A7A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总用水量</w:t>
                  </w: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4A6298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新鲜水</w:t>
                  </w:r>
                </w:p>
              </w:tc>
              <w:tc>
                <w:tcPr>
                  <w:tcW w:w="8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316015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循环水</w:t>
                  </w:r>
                </w:p>
              </w:tc>
              <w:tc>
                <w:tcPr>
                  <w:tcW w:w="8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BB5BA9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初期雨水</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DE5BE3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损耗</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AD167D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进入产品</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26CBB8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排放</w:t>
                  </w:r>
                </w:p>
              </w:tc>
              <w:tc>
                <w:tcPr>
                  <w:tcW w:w="780" w:type="dxa"/>
                  <w:tcBorders>
                    <w:top w:val="single" w:color="000000" w:sz="8" w:space="0"/>
                    <w:left w:val="single" w:color="000000" w:sz="8" w:space="0"/>
                    <w:bottom w:val="single" w:color="000000" w:sz="8" w:space="0"/>
                    <w:right w:val="nil"/>
                  </w:tcBorders>
                  <w:shd w:val="clear" w:color="auto" w:fill="auto"/>
                  <w:vAlign w:val="center"/>
                </w:tcPr>
                <w:p w14:paraId="5EEACF4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循环水</w:t>
                  </w:r>
                </w:p>
              </w:tc>
            </w:tr>
            <w:tr w14:paraId="0C8EB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821" w:type="dxa"/>
                  <w:tcBorders>
                    <w:top w:val="single" w:color="000000" w:sz="8" w:space="0"/>
                    <w:left w:val="nil"/>
                    <w:bottom w:val="single" w:color="000000" w:sz="8" w:space="0"/>
                    <w:right w:val="single" w:color="000000" w:sz="8" w:space="0"/>
                  </w:tcBorders>
                  <w:shd w:val="clear" w:color="auto" w:fill="auto"/>
                  <w:vAlign w:val="center"/>
                </w:tcPr>
                <w:p w14:paraId="39E18A3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FF0000"/>
                      <w:sz w:val="21"/>
                      <w:szCs w:val="21"/>
                      <w:u w:val="none"/>
                    </w:rPr>
                  </w:pPr>
                  <w:r>
                    <w:rPr>
                      <w:rFonts w:hint="eastAsia" w:ascii="宋体" w:hAnsi="宋体" w:eastAsia="宋体" w:cs="宋体"/>
                      <w:i w:val="0"/>
                      <w:iCs w:val="0"/>
                      <w:color w:val="FF0000"/>
                      <w:kern w:val="0"/>
                      <w:sz w:val="21"/>
                      <w:szCs w:val="21"/>
                      <w:u w:val="none"/>
                      <w:lang w:val="en-US" w:eastAsia="zh-CN" w:bidi="ar"/>
                    </w:rPr>
                    <w:t>混凝土搅拌用水</w:t>
                  </w: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26DD57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3.41</w:t>
                  </w: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03D022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8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0E29C0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0.9</w:t>
                  </w:r>
                </w:p>
              </w:tc>
              <w:tc>
                <w:tcPr>
                  <w:tcW w:w="8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D0891A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2.51</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369C55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EC7B72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3.41</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0428C7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780" w:type="dxa"/>
                  <w:tcBorders>
                    <w:top w:val="single" w:color="000000" w:sz="8" w:space="0"/>
                    <w:left w:val="single" w:color="000000" w:sz="8" w:space="0"/>
                    <w:bottom w:val="single" w:color="000000" w:sz="8" w:space="0"/>
                    <w:right w:val="nil"/>
                  </w:tcBorders>
                  <w:shd w:val="clear" w:color="auto" w:fill="auto"/>
                  <w:vAlign w:val="center"/>
                </w:tcPr>
                <w:p w14:paraId="7B7FDB9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r>
            <w:tr w14:paraId="3A7DB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821" w:type="dxa"/>
                  <w:tcBorders>
                    <w:top w:val="single" w:color="000000" w:sz="8" w:space="0"/>
                    <w:left w:val="nil"/>
                    <w:bottom w:val="single" w:color="000000" w:sz="8" w:space="0"/>
                    <w:right w:val="single" w:color="000000" w:sz="8" w:space="0"/>
                  </w:tcBorders>
                  <w:shd w:val="clear" w:color="auto" w:fill="auto"/>
                  <w:vAlign w:val="center"/>
                </w:tcPr>
                <w:p w14:paraId="1F1D514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FF0000"/>
                      <w:sz w:val="21"/>
                      <w:szCs w:val="21"/>
                      <w:u w:val="none"/>
                    </w:rPr>
                  </w:pPr>
                  <w:r>
                    <w:rPr>
                      <w:rFonts w:hint="eastAsia" w:ascii="宋体" w:hAnsi="宋体" w:eastAsia="宋体" w:cs="宋体"/>
                      <w:i w:val="0"/>
                      <w:iCs w:val="0"/>
                      <w:color w:val="FF0000"/>
                      <w:kern w:val="0"/>
                      <w:sz w:val="21"/>
                      <w:szCs w:val="21"/>
                      <w:u w:val="none"/>
                      <w:lang w:val="en-US" w:eastAsia="zh-CN" w:bidi="ar"/>
                    </w:rPr>
                    <w:t>设备冲洗用水</w:t>
                  </w: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DE4353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1</w:t>
                  </w: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2320D5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8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3E2853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8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A42B3B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1</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91876C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0.1</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357BC5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C807FE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780" w:type="dxa"/>
                  <w:tcBorders>
                    <w:top w:val="single" w:color="000000" w:sz="8" w:space="0"/>
                    <w:left w:val="single" w:color="000000" w:sz="8" w:space="0"/>
                    <w:bottom w:val="single" w:color="000000" w:sz="8" w:space="0"/>
                    <w:right w:val="nil"/>
                  </w:tcBorders>
                  <w:shd w:val="clear" w:color="auto" w:fill="auto"/>
                  <w:vAlign w:val="center"/>
                </w:tcPr>
                <w:p w14:paraId="754972B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0.9</w:t>
                  </w:r>
                </w:p>
              </w:tc>
            </w:tr>
            <w:tr w14:paraId="2C918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821" w:type="dxa"/>
                  <w:tcBorders>
                    <w:top w:val="single" w:color="000000" w:sz="8" w:space="0"/>
                    <w:left w:val="nil"/>
                    <w:bottom w:val="single" w:color="000000" w:sz="8" w:space="0"/>
                    <w:right w:val="single" w:color="000000" w:sz="8" w:space="0"/>
                  </w:tcBorders>
                  <w:shd w:val="clear" w:color="auto" w:fill="auto"/>
                  <w:vAlign w:val="center"/>
                </w:tcPr>
                <w:p w14:paraId="640FBAD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FF0000"/>
                      <w:sz w:val="21"/>
                      <w:szCs w:val="21"/>
                      <w:u w:val="none"/>
                    </w:rPr>
                  </w:pPr>
                  <w:r>
                    <w:rPr>
                      <w:rFonts w:hint="eastAsia" w:ascii="宋体" w:hAnsi="宋体" w:eastAsia="宋体" w:cs="宋体"/>
                      <w:i w:val="0"/>
                      <w:iCs w:val="0"/>
                      <w:color w:val="FF0000"/>
                      <w:kern w:val="0"/>
                      <w:sz w:val="21"/>
                      <w:szCs w:val="21"/>
                      <w:u w:val="none"/>
                      <w:lang w:val="en-US" w:eastAsia="zh-CN" w:bidi="ar"/>
                    </w:rPr>
                    <w:t>产品养护用水</w:t>
                  </w: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4D7290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1.72</w:t>
                  </w: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A979AD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8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72D57D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8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51F013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1.72</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F8E404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1.72</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1DC889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D6D760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780" w:type="dxa"/>
                  <w:tcBorders>
                    <w:top w:val="single" w:color="000000" w:sz="8" w:space="0"/>
                    <w:left w:val="single" w:color="000000" w:sz="8" w:space="0"/>
                    <w:bottom w:val="single" w:color="000000" w:sz="8" w:space="0"/>
                    <w:right w:val="nil"/>
                  </w:tcBorders>
                  <w:shd w:val="clear" w:color="auto" w:fill="auto"/>
                  <w:vAlign w:val="center"/>
                </w:tcPr>
                <w:p w14:paraId="2607F17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r>
            <w:tr w14:paraId="01E91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821" w:type="dxa"/>
                  <w:tcBorders>
                    <w:top w:val="single" w:color="000000" w:sz="8" w:space="0"/>
                    <w:left w:val="nil"/>
                    <w:bottom w:val="single" w:color="000000" w:sz="8" w:space="0"/>
                    <w:right w:val="single" w:color="000000" w:sz="8" w:space="0"/>
                  </w:tcBorders>
                  <w:shd w:val="clear" w:color="auto" w:fill="auto"/>
                  <w:vAlign w:val="center"/>
                </w:tcPr>
                <w:p w14:paraId="5514407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FF0000"/>
                      <w:sz w:val="21"/>
                      <w:szCs w:val="21"/>
                      <w:u w:val="none"/>
                    </w:rPr>
                  </w:pPr>
                  <w:r>
                    <w:rPr>
                      <w:rFonts w:hint="eastAsia" w:ascii="宋体" w:hAnsi="宋体" w:eastAsia="宋体" w:cs="宋体"/>
                      <w:i w:val="0"/>
                      <w:iCs w:val="0"/>
                      <w:color w:val="FF0000"/>
                      <w:kern w:val="0"/>
                      <w:sz w:val="21"/>
                      <w:szCs w:val="21"/>
                      <w:u w:val="none"/>
                      <w:lang w:val="en-US" w:eastAsia="zh-CN" w:bidi="ar"/>
                    </w:rPr>
                    <w:t>车辆冲洗用水</w:t>
                  </w: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1D1D7D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0.79</w:t>
                  </w: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D0A577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8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7F939E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0.63</w:t>
                  </w:r>
                </w:p>
              </w:tc>
              <w:tc>
                <w:tcPr>
                  <w:tcW w:w="8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CD116E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0.16</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27899A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0.16</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07494A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565C9F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780" w:type="dxa"/>
                  <w:tcBorders>
                    <w:top w:val="single" w:color="000000" w:sz="8" w:space="0"/>
                    <w:left w:val="single" w:color="000000" w:sz="8" w:space="0"/>
                    <w:bottom w:val="single" w:color="000000" w:sz="8" w:space="0"/>
                    <w:right w:val="nil"/>
                  </w:tcBorders>
                  <w:shd w:val="clear" w:color="auto" w:fill="auto"/>
                  <w:vAlign w:val="center"/>
                </w:tcPr>
                <w:p w14:paraId="1170959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0.63</w:t>
                  </w:r>
                </w:p>
              </w:tc>
            </w:tr>
            <w:tr w14:paraId="19FD5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821" w:type="dxa"/>
                  <w:tcBorders>
                    <w:top w:val="single" w:color="000000" w:sz="8" w:space="0"/>
                    <w:left w:val="nil"/>
                    <w:bottom w:val="single" w:color="000000" w:sz="8" w:space="0"/>
                    <w:right w:val="single" w:color="000000" w:sz="8" w:space="0"/>
                  </w:tcBorders>
                  <w:shd w:val="clear" w:color="auto" w:fill="auto"/>
                  <w:vAlign w:val="center"/>
                </w:tcPr>
                <w:p w14:paraId="2A7E469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FF0000"/>
                      <w:sz w:val="21"/>
                      <w:szCs w:val="21"/>
                      <w:u w:val="none"/>
                    </w:rPr>
                  </w:pPr>
                  <w:r>
                    <w:rPr>
                      <w:rFonts w:hint="eastAsia" w:ascii="宋体" w:hAnsi="宋体" w:eastAsia="宋体" w:cs="宋体"/>
                      <w:i w:val="0"/>
                      <w:iCs w:val="0"/>
                      <w:color w:val="FF0000"/>
                      <w:kern w:val="0"/>
                      <w:sz w:val="21"/>
                      <w:szCs w:val="21"/>
                      <w:u w:val="none"/>
                      <w:lang w:val="en-US" w:eastAsia="zh-CN" w:bidi="ar"/>
                    </w:rPr>
                    <w:t>生活用水</w:t>
                  </w: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C6B0DD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0.96</w:t>
                  </w: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B97B00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0.96</w:t>
                  </w:r>
                </w:p>
              </w:tc>
              <w:tc>
                <w:tcPr>
                  <w:tcW w:w="8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42A525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8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57826A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63AEA1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0.19</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A2AC7A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AA8646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0.77</w:t>
                  </w:r>
                </w:p>
              </w:tc>
              <w:tc>
                <w:tcPr>
                  <w:tcW w:w="780" w:type="dxa"/>
                  <w:tcBorders>
                    <w:top w:val="single" w:color="000000" w:sz="8" w:space="0"/>
                    <w:left w:val="single" w:color="000000" w:sz="8" w:space="0"/>
                    <w:bottom w:val="single" w:color="000000" w:sz="8" w:space="0"/>
                    <w:right w:val="nil"/>
                  </w:tcBorders>
                  <w:shd w:val="clear" w:color="auto" w:fill="auto"/>
                  <w:vAlign w:val="center"/>
                </w:tcPr>
                <w:p w14:paraId="2BF69CC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r>
            <w:tr w14:paraId="78FA7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2" w:hRule="atLeast"/>
              </w:trPr>
              <w:tc>
                <w:tcPr>
                  <w:tcW w:w="1821" w:type="dxa"/>
                  <w:tcBorders>
                    <w:top w:val="single" w:color="000000" w:sz="8" w:space="0"/>
                    <w:left w:val="nil"/>
                    <w:bottom w:val="single" w:color="000000" w:sz="8" w:space="0"/>
                    <w:right w:val="single" w:color="000000" w:sz="8" w:space="0"/>
                  </w:tcBorders>
                  <w:shd w:val="clear" w:color="auto" w:fill="auto"/>
                  <w:vAlign w:val="center"/>
                </w:tcPr>
                <w:p w14:paraId="6276A9F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FF0000"/>
                      <w:sz w:val="21"/>
                      <w:szCs w:val="21"/>
                      <w:u w:val="none"/>
                    </w:rPr>
                  </w:pPr>
                  <w:r>
                    <w:rPr>
                      <w:rFonts w:hint="eastAsia" w:ascii="宋体" w:hAnsi="宋体" w:eastAsia="宋体" w:cs="宋体"/>
                      <w:i w:val="0"/>
                      <w:iCs w:val="0"/>
                      <w:color w:val="FF0000"/>
                      <w:kern w:val="0"/>
                      <w:sz w:val="21"/>
                      <w:szCs w:val="21"/>
                      <w:u w:val="none"/>
                      <w:lang w:val="en-US" w:eastAsia="zh-CN" w:bidi="ar"/>
                    </w:rPr>
                    <w:t>喷雾降尘及绿化用水</w:t>
                  </w: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8E467D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16.25</w:t>
                  </w: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E441FF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8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D21C91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8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4948DA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16.25</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BCFC64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16.25</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86B265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180550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780" w:type="dxa"/>
                  <w:tcBorders>
                    <w:top w:val="single" w:color="000000" w:sz="8" w:space="0"/>
                    <w:left w:val="single" w:color="000000" w:sz="8" w:space="0"/>
                    <w:bottom w:val="single" w:color="000000" w:sz="8" w:space="0"/>
                    <w:right w:val="nil"/>
                  </w:tcBorders>
                  <w:shd w:val="clear" w:color="auto" w:fill="auto"/>
                  <w:vAlign w:val="center"/>
                </w:tcPr>
                <w:p w14:paraId="1364C9F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FF0000"/>
                      <w:kern w:val="0"/>
                      <w:sz w:val="21"/>
                      <w:szCs w:val="21"/>
                      <w:u w:val="none"/>
                      <w:lang w:val="en-US" w:eastAsia="zh-CN" w:bidi="ar"/>
                    </w:rPr>
                    <w:t>0</w:t>
                  </w:r>
                </w:p>
              </w:tc>
            </w:tr>
            <w:tr w14:paraId="44522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821" w:type="dxa"/>
                  <w:tcBorders>
                    <w:top w:val="single" w:color="000000" w:sz="8" w:space="0"/>
                    <w:left w:val="nil"/>
                    <w:bottom w:val="single" w:color="000000" w:sz="8" w:space="0"/>
                    <w:right w:val="single" w:color="000000" w:sz="8" w:space="0"/>
                  </w:tcBorders>
                  <w:shd w:val="clear" w:color="auto" w:fill="auto"/>
                  <w:vAlign w:val="center"/>
                </w:tcPr>
                <w:p w14:paraId="48522AC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宋体" w:hAnsi="宋体" w:eastAsia="宋体" w:cs="宋体"/>
                      <w:i w:val="0"/>
                      <w:iCs w:val="0"/>
                      <w:color w:val="FF0000"/>
                      <w:kern w:val="0"/>
                      <w:sz w:val="21"/>
                      <w:szCs w:val="21"/>
                      <w:u w:val="none"/>
                      <w:lang w:val="en-US" w:eastAsia="zh-CN" w:bidi="ar"/>
                    </w:rPr>
                  </w:pPr>
                  <w:r>
                    <w:rPr>
                      <w:rFonts w:hint="eastAsia" w:ascii="宋体" w:hAnsi="宋体" w:eastAsia="宋体" w:cs="宋体"/>
                      <w:i w:val="0"/>
                      <w:iCs w:val="0"/>
                      <w:color w:val="FF0000"/>
                      <w:kern w:val="0"/>
                      <w:sz w:val="21"/>
                      <w:szCs w:val="21"/>
                      <w:u w:val="none"/>
                      <w:lang w:val="en-US" w:eastAsia="zh-CN" w:bidi="ar"/>
                    </w:rPr>
                    <w:t>排放的初期雨水</w:t>
                  </w: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A51499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15.43</w:t>
                  </w: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CF9534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8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18D14F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8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006CC5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15.43</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BE1DD6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6B8FA8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629414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15.43</w:t>
                  </w:r>
                </w:p>
              </w:tc>
              <w:tc>
                <w:tcPr>
                  <w:tcW w:w="780" w:type="dxa"/>
                  <w:tcBorders>
                    <w:top w:val="single" w:color="000000" w:sz="8" w:space="0"/>
                    <w:left w:val="single" w:color="000000" w:sz="8" w:space="0"/>
                    <w:bottom w:val="single" w:color="000000" w:sz="8" w:space="0"/>
                    <w:right w:val="nil"/>
                  </w:tcBorders>
                  <w:shd w:val="clear" w:color="auto" w:fill="auto"/>
                  <w:vAlign w:val="center"/>
                </w:tcPr>
                <w:p w14:paraId="24DB449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w:t>
                  </w:r>
                </w:p>
              </w:tc>
            </w:tr>
            <w:tr w14:paraId="65650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821" w:type="dxa"/>
                  <w:tcBorders>
                    <w:top w:val="single" w:color="000000" w:sz="8" w:space="0"/>
                    <w:left w:val="nil"/>
                    <w:bottom w:val="single" w:color="000000" w:sz="12" w:space="0"/>
                    <w:right w:val="single" w:color="000000" w:sz="8" w:space="0"/>
                  </w:tcBorders>
                  <w:shd w:val="clear" w:color="auto" w:fill="auto"/>
                  <w:vAlign w:val="center"/>
                </w:tcPr>
                <w:p w14:paraId="768EA79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FF0000"/>
                      <w:sz w:val="21"/>
                      <w:szCs w:val="21"/>
                      <w:u w:val="none"/>
                    </w:rPr>
                  </w:pPr>
                  <w:r>
                    <w:rPr>
                      <w:rFonts w:hint="eastAsia" w:ascii="宋体" w:hAnsi="宋体" w:eastAsia="宋体" w:cs="宋体"/>
                      <w:i w:val="0"/>
                      <w:iCs w:val="0"/>
                      <w:color w:val="FF0000"/>
                      <w:kern w:val="0"/>
                      <w:sz w:val="21"/>
                      <w:szCs w:val="21"/>
                      <w:u w:val="none"/>
                      <w:lang w:val="en-US" w:eastAsia="zh-CN" w:bidi="ar"/>
                    </w:rPr>
                    <w:t>合计</w:t>
                  </w:r>
                </w:p>
              </w:tc>
              <w:tc>
                <w:tcPr>
                  <w:tcW w:w="840" w:type="dxa"/>
                  <w:tcBorders>
                    <w:top w:val="single" w:color="000000" w:sz="8" w:space="0"/>
                    <w:left w:val="single" w:color="000000" w:sz="8" w:space="0"/>
                    <w:bottom w:val="single" w:color="000000" w:sz="12" w:space="0"/>
                    <w:right w:val="single" w:color="000000" w:sz="8" w:space="0"/>
                  </w:tcBorders>
                  <w:shd w:val="clear" w:color="auto" w:fill="auto"/>
                  <w:vAlign w:val="center"/>
                </w:tcPr>
                <w:p w14:paraId="2BC323A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39.56</w:t>
                  </w:r>
                </w:p>
              </w:tc>
              <w:tc>
                <w:tcPr>
                  <w:tcW w:w="840" w:type="dxa"/>
                  <w:tcBorders>
                    <w:top w:val="single" w:color="000000" w:sz="8" w:space="0"/>
                    <w:left w:val="single" w:color="000000" w:sz="8" w:space="0"/>
                    <w:bottom w:val="single" w:color="000000" w:sz="12" w:space="0"/>
                    <w:right w:val="single" w:color="000000" w:sz="8" w:space="0"/>
                  </w:tcBorders>
                  <w:shd w:val="clear" w:color="auto" w:fill="auto"/>
                  <w:vAlign w:val="center"/>
                </w:tcPr>
                <w:p w14:paraId="40BBB79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0.96</w:t>
                  </w:r>
                </w:p>
              </w:tc>
              <w:tc>
                <w:tcPr>
                  <w:tcW w:w="841" w:type="dxa"/>
                  <w:tcBorders>
                    <w:top w:val="single" w:color="000000" w:sz="8" w:space="0"/>
                    <w:left w:val="single" w:color="000000" w:sz="8" w:space="0"/>
                    <w:bottom w:val="single" w:color="000000" w:sz="12" w:space="0"/>
                    <w:right w:val="single" w:color="000000" w:sz="8" w:space="0"/>
                  </w:tcBorders>
                  <w:shd w:val="clear" w:color="auto" w:fill="auto"/>
                  <w:vAlign w:val="center"/>
                </w:tcPr>
                <w:p w14:paraId="1129051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1.53</w:t>
                  </w:r>
                </w:p>
              </w:tc>
              <w:tc>
                <w:tcPr>
                  <w:tcW w:w="841" w:type="dxa"/>
                  <w:tcBorders>
                    <w:top w:val="single" w:color="000000" w:sz="8" w:space="0"/>
                    <w:left w:val="single" w:color="000000" w:sz="8" w:space="0"/>
                    <w:bottom w:val="single" w:color="000000" w:sz="12" w:space="0"/>
                    <w:right w:val="single" w:color="000000" w:sz="8" w:space="0"/>
                  </w:tcBorders>
                  <w:shd w:val="clear" w:color="auto" w:fill="auto"/>
                  <w:vAlign w:val="center"/>
                </w:tcPr>
                <w:p w14:paraId="139A907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37.07</w:t>
                  </w:r>
                </w:p>
              </w:tc>
              <w:tc>
                <w:tcPr>
                  <w:tcW w:w="779" w:type="dxa"/>
                  <w:tcBorders>
                    <w:top w:val="single" w:color="000000" w:sz="8" w:space="0"/>
                    <w:left w:val="single" w:color="000000" w:sz="8" w:space="0"/>
                    <w:bottom w:val="single" w:color="000000" w:sz="12" w:space="0"/>
                    <w:right w:val="single" w:color="000000" w:sz="8" w:space="0"/>
                  </w:tcBorders>
                  <w:shd w:val="clear" w:color="auto" w:fill="auto"/>
                  <w:vAlign w:val="center"/>
                </w:tcPr>
                <w:p w14:paraId="513D155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18.42</w:t>
                  </w:r>
                </w:p>
              </w:tc>
              <w:tc>
                <w:tcPr>
                  <w:tcW w:w="779" w:type="dxa"/>
                  <w:tcBorders>
                    <w:top w:val="single" w:color="000000" w:sz="8" w:space="0"/>
                    <w:left w:val="single" w:color="000000" w:sz="8" w:space="0"/>
                    <w:bottom w:val="single" w:color="000000" w:sz="12" w:space="0"/>
                    <w:right w:val="single" w:color="000000" w:sz="8" w:space="0"/>
                  </w:tcBorders>
                  <w:shd w:val="clear" w:color="auto" w:fill="auto"/>
                  <w:vAlign w:val="center"/>
                </w:tcPr>
                <w:p w14:paraId="6253F1F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3.41</w:t>
                  </w:r>
                </w:p>
              </w:tc>
              <w:tc>
                <w:tcPr>
                  <w:tcW w:w="779" w:type="dxa"/>
                  <w:tcBorders>
                    <w:top w:val="single" w:color="000000" w:sz="8" w:space="0"/>
                    <w:left w:val="single" w:color="000000" w:sz="8" w:space="0"/>
                    <w:bottom w:val="single" w:color="000000" w:sz="12" w:space="0"/>
                    <w:right w:val="single" w:color="000000" w:sz="8" w:space="0"/>
                  </w:tcBorders>
                  <w:shd w:val="clear" w:color="auto" w:fill="auto"/>
                  <w:vAlign w:val="center"/>
                </w:tcPr>
                <w:p w14:paraId="387DAA2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16.2</w:t>
                  </w:r>
                </w:p>
              </w:tc>
              <w:tc>
                <w:tcPr>
                  <w:tcW w:w="780" w:type="dxa"/>
                  <w:tcBorders>
                    <w:top w:val="single" w:color="000000" w:sz="8" w:space="0"/>
                    <w:left w:val="single" w:color="000000" w:sz="8" w:space="0"/>
                    <w:bottom w:val="single" w:color="000000" w:sz="12" w:space="0"/>
                    <w:right w:val="single" w:color="000000" w:sz="8" w:space="0"/>
                  </w:tcBorders>
                  <w:shd w:val="clear" w:color="auto" w:fill="auto"/>
                  <w:vAlign w:val="center"/>
                </w:tcPr>
                <w:p w14:paraId="13B436E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1.53</w:t>
                  </w:r>
                </w:p>
              </w:tc>
            </w:tr>
          </w:tbl>
          <w:p w14:paraId="18061579">
            <w:pPr>
              <w:ind w:firstLine="482"/>
              <w:rPr>
                <w:b/>
                <w:bCs/>
              </w:rPr>
            </w:pPr>
            <w:r>
              <w:rPr>
                <w:rFonts w:hint="eastAsia"/>
                <w:b/>
                <w:bCs/>
              </w:rPr>
              <w:t>7、</w:t>
            </w:r>
            <w:r>
              <w:rPr>
                <w:b/>
                <w:bCs/>
              </w:rPr>
              <w:t>劳动定员及工作制度</w:t>
            </w:r>
          </w:p>
          <w:p w14:paraId="38370E7A">
            <w:pPr>
              <w:ind w:firstLine="480"/>
              <w:jc w:val="left"/>
            </w:pPr>
            <w:r>
              <w:rPr>
                <w:rFonts w:hint="eastAsia"/>
              </w:rPr>
              <w:t>本项目劳动定员</w:t>
            </w:r>
            <w:r>
              <w:rPr>
                <w:rFonts w:hint="eastAsia"/>
                <w:lang w:val="en-US" w:eastAsia="zh-CN"/>
              </w:rPr>
              <w:t>15人，执行8</w:t>
            </w:r>
            <w:r>
              <w:rPr>
                <w:rFonts w:hint="eastAsia"/>
              </w:rPr>
              <w:t>小时工作制，年工作300天。</w:t>
            </w:r>
          </w:p>
          <w:p w14:paraId="40FE3AF0">
            <w:pPr>
              <w:ind w:firstLine="482"/>
              <w:rPr>
                <w:b/>
                <w:bCs/>
              </w:rPr>
            </w:pPr>
            <w:r>
              <w:rPr>
                <w:rFonts w:hint="eastAsia"/>
                <w:b/>
                <w:bCs/>
              </w:rPr>
              <w:t>8、厂区平面布置</w:t>
            </w:r>
          </w:p>
          <w:p w14:paraId="65F13861">
            <w:pPr>
              <w:ind w:firstLine="480"/>
              <w:rPr>
                <w:rFonts w:hint="eastAsia"/>
              </w:rPr>
            </w:pPr>
            <w:r>
              <w:rPr>
                <w:rFonts w:hint="eastAsia"/>
              </w:rPr>
              <w:t>项目位于江西高安高新技术产业园</w:t>
            </w:r>
            <w:r>
              <w:rPr>
                <w:rFonts w:hint="eastAsia"/>
                <w:lang w:val="en-US" w:eastAsia="zh-CN"/>
              </w:rPr>
              <w:t>区祥符收费站组团</w:t>
            </w:r>
            <w:r>
              <w:rPr>
                <w:rFonts w:hint="eastAsia"/>
              </w:rPr>
              <w:t>，</w:t>
            </w:r>
            <w:r>
              <w:rPr>
                <w:rFonts w:hint="eastAsia"/>
                <w:lang w:val="en-US" w:eastAsia="zh-CN"/>
              </w:rPr>
              <w:t>厂区大门</w:t>
            </w:r>
            <w:r>
              <w:rPr>
                <w:rFonts w:hint="eastAsia"/>
              </w:rPr>
              <w:t>位于</w:t>
            </w:r>
            <w:r>
              <w:rPr>
                <w:rFonts w:hint="eastAsia"/>
                <w:lang w:val="en-US" w:eastAsia="zh-CN"/>
              </w:rPr>
              <w:t>东侧</w:t>
            </w:r>
            <w:r>
              <w:rPr>
                <w:rFonts w:hint="eastAsia"/>
              </w:rPr>
              <w:t>，</w:t>
            </w:r>
            <w:r>
              <w:rPr>
                <w:rFonts w:hint="eastAsia"/>
                <w:lang w:val="en-US" w:eastAsia="zh-CN"/>
              </w:rPr>
              <w:t>进入厂区后为综合楼，两栋生产车间位于综合楼西侧，1#生产车间位于厂区北部，2#生产车间位于厂区南部。</w:t>
            </w:r>
            <w:r>
              <w:rPr>
                <w:rFonts w:hint="eastAsia"/>
              </w:rPr>
              <w:t>根据工艺流程布设生产设备</w:t>
            </w:r>
            <w:r>
              <w:rPr>
                <w:rFonts w:hint="eastAsia"/>
                <w:lang w:eastAsia="zh-CN"/>
              </w:rPr>
              <w:t>，</w:t>
            </w:r>
            <w:r>
              <w:rPr>
                <w:rFonts w:hint="eastAsia"/>
              </w:rPr>
              <w:t>办公区和生产区分开</w:t>
            </w:r>
            <w:r>
              <w:rPr>
                <w:rFonts w:hint="eastAsia"/>
                <w:lang w:val="en-US" w:eastAsia="zh-CN"/>
              </w:rPr>
              <w:t>布置</w:t>
            </w:r>
            <w:r>
              <w:rPr>
                <w:rFonts w:hint="eastAsia"/>
              </w:rPr>
              <w:t>。项目在满足生产工艺流程的前提下，考虑运输、安全等要求，按各种设施不同功能进行分区和组合。整个厂区建构筑物布局合理，生产区域的布局顺应工艺流程，减少生产流程的迂回、往返，有利于生产。综上，项目总平面布置合理</w:t>
            </w:r>
            <w:r>
              <w:t>，</w:t>
            </w:r>
            <w:r>
              <w:rPr>
                <w:rFonts w:hint="eastAsia"/>
              </w:rPr>
              <w:t>项目厂区布置见平面布置图。</w:t>
            </w:r>
          </w:p>
          <w:p w14:paraId="2E4A7491">
            <w:pPr>
              <w:widowControl/>
              <w:adjustRightInd/>
              <w:snapToGrid/>
              <w:ind w:firstLine="482"/>
              <w:jc w:val="left"/>
              <w:rPr>
                <w:b/>
                <w:bCs/>
              </w:rPr>
            </w:pPr>
            <w:r>
              <w:rPr>
                <w:b/>
                <w:bCs/>
              </w:rPr>
              <w:t>一、施工期</w:t>
            </w:r>
          </w:p>
          <w:p w14:paraId="67C26E3D">
            <w:pPr>
              <w:ind w:firstLine="480"/>
            </w:pPr>
            <w:r>
              <w:t>项目施工期包括基础工程、主体工程、装饰工程、设备安装等建设将产生噪声、扬尘、固体废弃物、少量污水和废气等污染物。施工期产污流程见图</w:t>
            </w:r>
            <w:r>
              <w:rPr>
                <w:rFonts w:hint="eastAsia"/>
                <w:lang w:val="en-US" w:eastAsia="zh-CN"/>
              </w:rPr>
              <w:t>2-2。</w:t>
            </w:r>
          </w:p>
          <w:p w14:paraId="7A815A03">
            <w:pPr>
              <w:pStyle w:val="7"/>
              <w:spacing w:line="240" w:lineRule="auto"/>
              <w:ind w:firstLine="0" w:firstLineChars="0"/>
              <w:jc w:val="center"/>
              <w:rPr>
                <w:b/>
                <w:bCs/>
                <w:kern w:val="0"/>
                <w:sz w:val="21"/>
                <w:szCs w:val="21"/>
                <w:lang w:bidi="ar"/>
              </w:rPr>
            </w:pPr>
            <w:r>
              <w:rPr>
                <w:kern w:val="0"/>
                <w:sz w:val="24"/>
                <w:lang w:bidi="ar"/>
              </w:rPr>
              <w:object>
                <v:shape id="_x0000_i1025" o:spt="75" type="#_x0000_t75" style="height:204.9pt;width:222.35pt;" o:ole="t" filled="f" o:preferrelative="t" stroked="f" coordsize="21600,21600">
                  <v:path/>
                  <v:fill on="f" focussize="0,0"/>
                  <v:stroke on="f" joinstyle="miter"/>
                  <v:imagedata r:id="rId18" o:title=""/>
                  <o:lock v:ext="edit" aspectratio="f"/>
                  <w10:wrap type="none"/>
                  <w10:anchorlock/>
                </v:shape>
                <o:OLEObject Type="Embed" ProgID="Visio.Drawing.11" ShapeID="_x0000_i1025" DrawAspect="Content" ObjectID="_1468075725" r:id="rId17">
                  <o:LockedField>false</o:LockedField>
                </o:OLEObject>
              </w:object>
            </w:r>
          </w:p>
          <w:p w14:paraId="7631DD2E">
            <w:pPr>
              <w:pStyle w:val="22"/>
              <w:tabs>
                <w:tab w:val="center" w:pos="4253"/>
                <w:tab w:val="right" w:pos="8387"/>
              </w:tabs>
              <w:spacing w:line="240" w:lineRule="auto"/>
              <w:ind w:firstLine="0" w:firstLineChars="0"/>
              <w:jc w:val="center"/>
              <w:rPr>
                <w:rFonts w:ascii="Times New Roman" w:hAnsi="Times New Roman" w:cs="Times New Roman"/>
                <w:b/>
                <w:bCs/>
              </w:rPr>
            </w:pPr>
            <w:r>
              <w:rPr>
                <w:rFonts w:ascii="Times New Roman" w:hAnsi="Times New Roman" w:cs="Times New Roman"/>
                <w:b/>
                <w:bCs/>
              </w:rPr>
              <w:t>图2-</w:t>
            </w:r>
            <w:r>
              <w:rPr>
                <w:rFonts w:hint="eastAsia" w:ascii="Times New Roman" w:hAnsi="Times New Roman" w:cs="Times New Roman"/>
                <w:b/>
                <w:bCs/>
                <w:lang w:val="en-US" w:eastAsia="zh-CN"/>
              </w:rPr>
              <w:t xml:space="preserve">2 </w:t>
            </w:r>
            <w:r>
              <w:rPr>
                <w:rFonts w:ascii="Times New Roman" w:hAnsi="Times New Roman" w:cs="Times New Roman"/>
                <w:b/>
                <w:bCs/>
              </w:rPr>
              <w:t>施工期工艺流程及产污环节图</w:t>
            </w:r>
          </w:p>
          <w:p w14:paraId="2D9EFEB0">
            <w:pPr>
              <w:spacing w:line="360" w:lineRule="auto"/>
              <w:ind w:firstLine="480"/>
              <w:rPr>
                <w:b/>
                <w:bCs/>
              </w:rPr>
            </w:pPr>
            <w:r>
              <w:rPr>
                <w:rFonts w:hint="eastAsia"/>
                <w:b/>
                <w:bCs/>
              </w:rPr>
              <w:t>二、</w:t>
            </w:r>
            <w:r>
              <w:rPr>
                <w:b/>
                <w:bCs/>
              </w:rPr>
              <w:t>营运期工程分析：</w:t>
            </w:r>
          </w:p>
          <w:p w14:paraId="08B8DC18">
            <w:pPr>
              <w:spacing w:line="360" w:lineRule="auto"/>
              <w:ind w:firstLine="480"/>
              <w:rPr>
                <w:rFonts w:hint="eastAsia" w:eastAsia="宋体"/>
                <w:color w:val="FF0000"/>
                <w:highlight w:val="none"/>
                <w:lang w:eastAsia="zh-CN"/>
              </w:rPr>
            </w:pPr>
            <w:r>
              <w:rPr>
                <w:rFonts w:hint="eastAsia"/>
                <w:color w:val="FF0000"/>
                <w:highlight w:val="none"/>
              </w:rPr>
              <w:t>1、光伏预制装配式围墙</w:t>
            </w:r>
            <w:r>
              <w:rPr>
                <w:rFonts w:hint="eastAsia"/>
                <w:color w:val="FF0000"/>
                <w:highlight w:val="none"/>
                <w:lang w:eastAsia="zh-CN"/>
              </w:rPr>
              <w:t>、</w:t>
            </w:r>
            <w:r>
              <w:rPr>
                <w:rFonts w:hint="eastAsia"/>
                <w:color w:val="FF0000"/>
                <w:highlight w:val="none"/>
                <w:lang w:val="en-US" w:eastAsia="zh-CN"/>
              </w:rPr>
              <w:t>预制箱变基础、预制环网柜基础、预制“小十件”（后续统称预制件）</w:t>
            </w:r>
            <w:r>
              <w:rPr>
                <w:rFonts w:hint="eastAsia"/>
                <w:color w:val="FF0000"/>
                <w:highlight w:val="none"/>
              </w:rPr>
              <w:t>生产工艺流程及产污环节</w:t>
            </w:r>
            <w:r>
              <w:rPr>
                <w:rFonts w:hint="eastAsia"/>
                <w:color w:val="FF0000"/>
                <w:highlight w:val="none"/>
                <w:lang w:eastAsia="zh-CN"/>
              </w:rPr>
              <w:t>。</w:t>
            </w:r>
          </w:p>
          <w:p w14:paraId="4A2BBF53">
            <w:pPr>
              <w:ind w:firstLine="480"/>
              <w:rPr>
                <w:rFonts w:hint="eastAsia"/>
                <w:lang w:eastAsia="zh-CN"/>
              </w:rPr>
            </w:pPr>
          </w:p>
        </w:tc>
      </w:tr>
      <w:tr w14:paraId="3E16EA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4" w:hRule="atLeast"/>
          <w:jc w:val="center"/>
        </w:trPr>
        <w:tc>
          <w:tcPr>
            <w:tcW w:w="454" w:type="dxa"/>
            <w:vAlign w:val="center"/>
          </w:tcPr>
          <w:p w14:paraId="63E6AAA4">
            <w:pPr>
              <w:pStyle w:val="38"/>
              <w:spacing w:before="0" w:beforeAutospacing="0" w:after="0" w:afterAutospacing="0"/>
              <w:ind w:firstLine="0" w:firstLineChars="0"/>
              <w:jc w:val="center"/>
              <w:rPr>
                <w:rFonts w:cs="宋体"/>
                <w:sz w:val="21"/>
                <w:szCs w:val="21"/>
              </w:rPr>
            </w:pPr>
            <w:r>
              <w:rPr>
                <w:rFonts w:hint="eastAsia" w:cs="宋体"/>
                <w:szCs w:val="24"/>
              </w:rPr>
              <w:t>工艺流程和产排污环节</w:t>
            </w:r>
          </w:p>
        </w:tc>
        <w:tc>
          <w:tcPr>
            <w:tcW w:w="8607" w:type="dxa"/>
          </w:tcPr>
          <w:p w14:paraId="54571575">
            <w:pPr>
              <w:spacing w:line="360" w:lineRule="auto"/>
              <w:ind w:left="0" w:leftChars="0" w:firstLine="0" w:firstLineChars="0"/>
              <w:rPr>
                <w:color w:val="FF0000"/>
              </w:rPr>
            </w:pPr>
            <w:r>
              <w:rPr>
                <w:color w:val="FF0000"/>
              </w:rPr>
              <w:drawing>
                <wp:inline distT="0" distB="0" distL="114300" distR="114300">
                  <wp:extent cx="5367020" cy="4121150"/>
                  <wp:effectExtent l="0" t="0" r="5080" b="12700"/>
                  <wp:docPr id="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pic:cNvPicPr>
                            <a:picLocks noChangeAspect="1"/>
                          </pic:cNvPicPr>
                        </pic:nvPicPr>
                        <pic:blipFill>
                          <a:blip r:embed="rId19"/>
                          <a:stretch>
                            <a:fillRect/>
                          </a:stretch>
                        </pic:blipFill>
                        <pic:spPr>
                          <a:xfrm>
                            <a:off x="0" y="0"/>
                            <a:ext cx="5367020" cy="4121150"/>
                          </a:xfrm>
                          <a:prstGeom prst="rect">
                            <a:avLst/>
                          </a:prstGeom>
                          <a:noFill/>
                          <a:ln>
                            <a:noFill/>
                          </a:ln>
                        </pic:spPr>
                      </pic:pic>
                    </a:graphicData>
                  </a:graphic>
                </wp:inline>
              </w:drawing>
            </w:r>
          </w:p>
          <w:p w14:paraId="39FB8D2B">
            <w:pPr>
              <w:pStyle w:val="22"/>
              <w:tabs>
                <w:tab w:val="center" w:pos="4253"/>
                <w:tab w:val="right" w:pos="8387"/>
              </w:tabs>
              <w:spacing w:line="240" w:lineRule="auto"/>
              <w:ind w:firstLine="0" w:firstLineChars="0"/>
              <w:jc w:val="center"/>
              <w:rPr>
                <w:rFonts w:hint="default" w:ascii="Times New Roman" w:hAnsi="Times New Roman" w:cs="Times New Roman"/>
                <w:b/>
                <w:bCs/>
                <w:color w:val="FF0000"/>
                <w:lang w:val="en-US" w:eastAsia="zh-CN"/>
              </w:rPr>
            </w:pPr>
            <w:r>
              <w:rPr>
                <w:rFonts w:hint="eastAsia" w:ascii="Times New Roman" w:hAnsi="Times New Roman" w:cs="Times New Roman"/>
                <w:b/>
                <w:bCs/>
                <w:color w:val="FF0000"/>
                <w:lang w:val="en-US" w:eastAsia="zh-CN"/>
              </w:rPr>
              <w:t>图2-3 预制件工艺流程及产污环节图</w:t>
            </w:r>
          </w:p>
          <w:p w14:paraId="06DD70DB">
            <w:pPr>
              <w:spacing w:line="360" w:lineRule="auto"/>
              <w:ind w:firstLine="480" w:firstLineChars="200"/>
              <w:rPr>
                <w:color w:val="FF0000"/>
                <w:kern w:val="0"/>
                <w:sz w:val="24"/>
                <w:szCs w:val="28"/>
              </w:rPr>
            </w:pPr>
            <w:r>
              <w:rPr>
                <w:rFonts w:hint="eastAsia"/>
                <w:color w:val="FF0000"/>
                <w:kern w:val="0"/>
                <w:sz w:val="24"/>
                <w:szCs w:val="28"/>
              </w:rPr>
              <w:t>1）模具组装</w:t>
            </w:r>
          </w:p>
          <w:p w14:paraId="201E2627">
            <w:pPr>
              <w:spacing w:line="360" w:lineRule="auto"/>
              <w:ind w:firstLine="480" w:firstLineChars="200"/>
              <w:rPr>
                <w:color w:val="FF0000"/>
                <w:kern w:val="0"/>
                <w:sz w:val="24"/>
                <w:szCs w:val="28"/>
              </w:rPr>
            </w:pPr>
            <w:r>
              <w:rPr>
                <w:rFonts w:hint="eastAsia"/>
                <w:color w:val="FF0000"/>
                <w:kern w:val="0"/>
                <w:sz w:val="24"/>
                <w:szCs w:val="28"/>
              </w:rPr>
              <w:t>项目模具采用</w:t>
            </w:r>
            <w:r>
              <w:rPr>
                <w:rFonts w:hint="eastAsia"/>
                <w:color w:val="FF0000"/>
                <w:kern w:val="0"/>
                <w:sz w:val="24"/>
                <w:szCs w:val="28"/>
                <w:lang w:val="en-US" w:eastAsia="zh-CN"/>
              </w:rPr>
              <w:t>外购定制钢制模具部件</w:t>
            </w:r>
            <w:r>
              <w:rPr>
                <w:rFonts w:hint="eastAsia"/>
                <w:color w:val="FF0000"/>
                <w:kern w:val="0"/>
                <w:sz w:val="24"/>
                <w:szCs w:val="28"/>
              </w:rPr>
              <w:t>，脱模后的模具经人工组装成型。</w:t>
            </w:r>
          </w:p>
          <w:p w14:paraId="16460F0C">
            <w:pPr>
              <w:spacing w:line="360" w:lineRule="auto"/>
              <w:ind w:firstLine="480" w:firstLineChars="200"/>
              <w:rPr>
                <w:color w:val="FF0000"/>
                <w:kern w:val="0"/>
                <w:sz w:val="24"/>
                <w:szCs w:val="28"/>
              </w:rPr>
            </w:pPr>
            <w:r>
              <w:rPr>
                <w:rFonts w:hint="eastAsia"/>
                <w:color w:val="FF0000"/>
                <w:kern w:val="0"/>
                <w:sz w:val="24"/>
                <w:szCs w:val="28"/>
              </w:rPr>
              <w:t>2）模具养护</w:t>
            </w:r>
          </w:p>
          <w:p w14:paraId="5A8FFC30">
            <w:pPr>
              <w:spacing w:line="360" w:lineRule="auto"/>
              <w:ind w:firstLine="480" w:firstLineChars="200"/>
              <w:rPr>
                <w:rFonts w:hint="default" w:eastAsia="宋体"/>
                <w:color w:val="FF0000"/>
                <w:kern w:val="0"/>
                <w:sz w:val="24"/>
                <w:szCs w:val="28"/>
                <w:lang w:val="en-US" w:eastAsia="zh-CN"/>
              </w:rPr>
            </w:pPr>
            <w:r>
              <w:rPr>
                <w:rFonts w:hint="eastAsia"/>
                <w:color w:val="FF0000"/>
                <w:kern w:val="0"/>
                <w:sz w:val="24"/>
                <w:szCs w:val="28"/>
              </w:rPr>
              <w:t>首先对模具内侧进行清扫，以去除模具内侧残存的混凝土渣；然后人工在模具内侧刷一层脱模剂（粉剂，使用时需加</w:t>
            </w:r>
            <w:r>
              <w:rPr>
                <w:rFonts w:hint="eastAsia"/>
                <w:color w:val="FF0000"/>
                <w:kern w:val="0"/>
                <w:sz w:val="24"/>
                <w:szCs w:val="28"/>
                <w:lang w:val="en-US" w:eastAsia="zh-CN"/>
              </w:rPr>
              <w:t>少量</w:t>
            </w:r>
            <w:r>
              <w:rPr>
                <w:rFonts w:hint="eastAsia"/>
                <w:color w:val="FF0000"/>
                <w:kern w:val="0"/>
                <w:sz w:val="24"/>
                <w:szCs w:val="28"/>
              </w:rPr>
              <w:t>水</w:t>
            </w:r>
            <w:r>
              <w:rPr>
                <w:rFonts w:hint="eastAsia"/>
                <w:color w:val="FF0000"/>
                <w:kern w:val="0"/>
                <w:sz w:val="24"/>
                <w:szCs w:val="28"/>
                <w:lang w:val="en-US" w:eastAsia="zh-CN"/>
              </w:rPr>
              <w:t>浆化</w:t>
            </w:r>
            <w:r>
              <w:rPr>
                <w:rFonts w:hint="eastAsia"/>
                <w:color w:val="FF0000"/>
                <w:kern w:val="0"/>
                <w:sz w:val="24"/>
                <w:szCs w:val="28"/>
              </w:rPr>
              <w:t>）。脱模剂起到隔离模具与混凝土的作用，使混凝土构件易拆模并减少构件表面气泡及表面缺陷的产生，使构件表面光滑平整</w:t>
            </w:r>
            <w:r>
              <w:rPr>
                <w:rFonts w:hint="eastAsia"/>
                <w:color w:val="FF0000"/>
                <w:kern w:val="0"/>
                <w:sz w:val="24"/>
                <w:szCs w:val="28"/>
                <w:lang w:val="en-US" w:eastAsia="zh-CN"/>
              </w:rPr>
              <w:t>。</w:t>
            </w:r>
          </w:p>
          <w:p w14:paraId="65298DCC">
            <w:pPr>
              <w:spacing w:line="360" w:lineRule="auto"/>
              <w:ind w:firstLine="480" w:firstLineChars="200"/>
              <w:rPr>
                <w:rFonts w:hint="eastAsia"/>
                <w:color w:val="FF0000"/>
                <w:kern w:val="0"/>
                <w:sz w:val="24"/>
                <w:szCs w:val="28"/>
              </w:rPr>
            </w:pPr>
            <w:r>
              <w:rPr>
                <w:rFonts w:hint="eastAsia"/>
                <w:color w:val="FF0000"/>
                <w:kern w:val="0"/>
                <w:sz w:val="24"/>
                <w:szCs w:val="28"/>
              </w:rPr>
              <w:t>3）钢筋加工</w:t>
            </w:r>
          </w:p>
          <w:p w14:paraId="114614FC">
            <w:pPr>
              <w:spacing w:line="360" w:lineRule="auto"/>
              <w:ind w:firstLine="480" w:firstLineChars="200"/>
              <w:rPr>
                <w:rFonts w:hint="eastAsia"/>
                <w:color w:val="FF0000"/>
                <w:kern w:val="0"/>
                <w:sz w:val="24"/>
                <w:szCs w:val="28"/>
              </w:rPr>
            </w:pPr>
            <w:r>
              <w:rPr>
                <w:rFonts w:hint="eastAsia"/>
                <w:color w:val="FF0000"/>
                <w:kern w:val="0"/>
                <w:sz w:val="24"/>
                <w:szCs w:val="28"/>
              </w:rPr>
              <w:t>外购钢筋汽车运输进厂，根据生产需要经剪切、折弯、绑扎后加工成预埋件（钢筋笼、钢筋网等）</w:t>
            </w:r>
            <w:r>
              <w:rPr>
                <w:rFonts w:hint="eastAsia"/>
                <w:color w:val="FF0000"/>
                <w:kern w:val="0"/>
                <w:sz w:val="24"/>
                <w:szCs w:val="28"/>
                <w:lang w:eastAsia="zh-CN"/>
              </w:rPr>
              <w:t>，</w:t>
            </w:r>
            <w:r>
              <w:rPr>
                <w:rFonts w:hint="eastAsia"/>
                <w:color w:val="FF0000"/>
                <w:kern w:val="0"/>
                <w:sz w:val="24"/>
                <w:szCs w:val="28"/>
                <w:lang w:val="en-US" w:eastAsia="zh-CN"/>
              </w:rPr>
              <w:t>再进行焊接，</w:t>
            </w:r>
            <w:r>
              <w:rPr>
                <w:rFonts w:hint="eastAsia"/>
                <w:color w:val="FF0000"/>
                <w:kern w:val="0"/>
                <w:sz w:val="24"/>
                <w:szCs w:val="28"/>
              </w:rPr>
              <w:t>焊接作业需要将焊件定位好，即将多个金属部件按照设计要求固定在一起，保证焊接的准确性和稳定性。然后，通过夹具、悬挂装置，卡盘等装备进行固定，确保焊接部件不会发生移动等情况，此过程会产生钢筋下脚料</w:t>
            </w:r>
            <w:r>
              <w:rPr>
                <w:rFonts w:hint="eastAsia"/>
                <w:color w:val="FF0000"/>
                <w:kern w:val="0"/>
                <w:sz w:val="24"/>
                <w:szCs w:val="28"/>
                <w:lang w:eastAsia="zh-CN"/>
              </w:rPr>
              <w:t>、</w:t>
            </w:r>
            <w:r>
              <w:rPr>
                <w:rFonts w:hint="eastAsia"/>
                <w:color w:val="FF0000"/>
                <w:kern w:val="0"/>
                <w:sz w:val="24"/>
                <w:szCs w:val="28"/>
              </w:rPr>
              <w:t>噪声</w:t>
            </w:r>
            <w:r>
              <w:rPr>
                <w:rFonts w:hint="eastAsia"/>
                <w:color w:val="FF0000"/>
                <w:kern w:val="0"/>
                <w:sz w:val="24"/>
                <w:szCs w:val="28"/>
                <w:lang w:eastAsia="zh-CN"/>
              </w:rPr>
              <w:t>、</w:t>
            </w:r>
            <w:r>
              <w:rPr>
                <w:rFonts w:hint="eastAsia"/>
                <w:color w:val="FF0000"/>
                <w:kern w:val="0"/>
                <w:sz w:val="24"/>
                <w:szCs w:val="28"/>
                <w:lang w:val="en-US" w:eastAsia="zh-CN"/>
              </w:rPr>
              <w:t>焊接烟尘</w:t>
            </w:r>
            <w:r>
              <w:rPr>
                <w:rFonts w:hint="eastAsia"/>
                <w:color w:val="FF0000"/>
                <w:kern w:val="0"/>
                <w:sz w:val="24"/>
                <w:szCs w:val="28"/>
              </w:rPr>
              <w:t>。</w:t>
            </w:r>
          </w:p>
          <w:p w14:paraId="158C496F">
            <w:pPr>
              <w:spacing w:line="360" w:lineRule="auto"/>
              <w:ind w:firstLine="480" w:firstLineChars="200"/>
              <w:rPr>
                <w:color w:val="FF0000"/>
                <w:kern w:val="0"/>
                <w:sz w:val="24"/>
                <w:szCs w:val="28"/>
              </w:rPr>
            </w:pPr>
            <w:r>
              <w:rPr>
                <w:rFonts w:hint="eastAsia"/>
                <w:color w:val="FF0000"/>
                <w:kern w:val="0"/>
                <w:sz w:val="24"/>
                <w:szCs w:val="28"/>
              </w:rPr>
              <w:t>4）预埋件安装</w:t>
            </w:r>
          </w:p>
          <w:p w14:paraId="67BE2E85">
            <w:pPr>
              <w:spacing w:line="360" w:lineRule="auto"/>
              <w:ind w:firstLine="480" w:firstLineChars="200"/>
              <w:rPr>
                <w:color w:val="FF0000"/>
                <w:kern w:val="0"/>
                <w:sz w:val="24"/>
                <w:szCs w:val="28"/>
              </w:rPr>
            </w:pPr>
            <w:r>
              <w:rPr>
                <w:rFonts w:hint="eastAsia"/>
                <w:color w:val="FF0000"/>
                <w:kern w:val="0"/>
                <w:sz w:val="24"/>
                <w:szCs w:val="28"/>
              </w:rPr>
              <w:t>将加工好的钢筋笼、钢筋网按要求安装在模具内相应位置。</w:t>
            </w:r>
          </w:p>
          <w:p w14:paraId="3F7FC777">
            <w:pPr>
              <w:spacing w:line="360" w:lineRule="auto"/>
              <w:ind w:firstLine="480" w:firstLineChars="200"/>
              <w:rPr>
                <w:rFonts w:hint="eastAsia"/>
                <w:color w:val="FF0000"/>
                <w:kern w:val="0"/>
                <w:sz w:val="24"/>
                <w:szCs w:val="28"/>
              </w:rPr>
            </w:pPr>
            <w:r>
              <w:rPr>
                <w:rFonts w:hint="eastAsia"/>
                <w:color w:val="FF0000"/>
                <w:kern w:val="0"/>
                <w:sz w:val="24"/>
                <w:szCs w:val="28"/>
              </w:rPr>
              <w:t>5）混凝土加工</w:t>
            </w:r>
          </w:p>
          <w:p w14:paraId="658A6E56">
            <w:pPr>
              <w:spacing w:line="360" w:lineRule="auto"/>
              <w:ind w:firstLine="480" w:firstLineChars="200"/>
              <w:rPr>
                <w:color w:val="FF0000"/>
                <w:kern w:val="0"/>
                <w:sz w:val="24"/>
                <w:szCs w:val="28"/>
              </w:rPr>
            </w:pPr>
            <w:r>
              <w:rPr>
                <w:rFonts w:hint="eastAsia"/>
                <w:color w:val="FF0000"/>
                <w:kern w:val="0"/>
                <w:sz w:val="24"/>
                <w:szCs w:val="28"/>
              </w:rPr>
              <w:t>项目自建有混凝土搅拌站，采用强制式搅拌机，具体生产工艺如下：</w:t>
            </w:r>
          </w:p>
          <w:p w14:paraId="78E888F5">
            <w:pPr>
              <w:numPr>
                <w:ilvl w:val="0"/>
                <w:numId w:val="0"/>
              </w:numPr>
              <w:spacing w:line="360" w:lineRule="auto"/>
              <w:ind w:leftChars="200"/>
              <w:rPr>
                <w:color w:val="FF0000"/>
                <w:kern w:val="0"/>
                <w:sz w:val="24"/>
                <w:szCs w:val="28"/>
              </w:rPr>
            </w:pPr>
            <w:r>
              <w:rPr>
                <w:rFonts w:hint="eastAsia"/>
                <w:color w:val="FF0000"/>
                <w:kern w:val="0"/>
                <w:sz w:val="24"/>
                <w:szCs w:val="28"/>
                <w:lang w:val="en-US" w:eastAsia="zh-CN"/>
              </w:rPr>
              <w:t>①</w:t>
            </w:r>
            <w:r>
              <w:rPr>
                <w:rFonts w:hint="eastAsia"/>
                <w:color w:val="FF0000"/>
                <w:kern w:val="0"/>
                <w:sz w:val="24"/>
                <w:szCs w:val="28"/>
              </w:rPr>
              <w:t>砂石储存与输送</w:t>
            </w:r>
          </w:p>
          <w:p w14:paraId="7B5CDC29">
            <w:pPr>
              <w:spacing w:line="360" w:lineRule="auto"/>
              <w:ind w:firstLine="480" w:firstLineChars="200"/>
              <w:rPr>
                <w:color w:val="FF0000"/>
                <w:kern w:val="0"/>
                <w:sz w:val="24"/>
                <w:szCs w:val="28"/>
              </w:rPr>
            </w:pPr>
            <w:r>
              <w:rPr>
                <w:color w:val="FF0000"/>
                <w:kern w:val="0"/>
                <w:sz w:val="24"/>
                <w:szCs w:val="28"/>
              </w:rPr>
              <w:t>外购砂子</w:t>
            </w:r>
            <w:r>
              <w:rPr>
                <w:rFonts w:hint="eastAsia"/>
                <w:color w:val="FF0000"/>
                <w:kern w:val="0"/>
                <w:sz w:val="24"/>
                <w:szCs w:val="28"/>
              </w:rPr>
              <w:t>、</w:t>
            </w:r>
            <w:r>
              <w:rPr>
                <w:color w:val="FF0000"/>
                <w:kern w:val="0"/>
                <w:sz w:val="24"/>
                <w:szCs w:val="28"/>
              </w:rPr>
              <w:t>石子</w:t>
            </w:r>
            <w:r>
              <w:rPr>
                <w:rFonts w:hint="eastAsia"/>
                <w:color w:val="FF0000"/>
                <w:kern w:val="0"/>
                <w:sz w:val="24"/>
                <w:szCs w:val="28"/>
              </w:rPr>
              <w:t>等</w:t>
            </w:r>
            <w:r>
              <w:rPr>
                <w:color w:val="FF0000"/>
                <w:kern w:val="0"/>
                <w:sz w:val="24"/>
                <w:szCs w:val="28"/>
              </w:rPr>
              <w:t>由</w:t>
            </w:r>
            <w:r>
              <w:rPr>
                <w:rFonts w:hint="eastAsia"/>
                <w:color w:val="FF0000"/>
                <w:kern w:val="0"/>
                <w:sz w:val="24"/>
                <w:szCs w:val="28"/>
                <w:lang w:eastAsia="zh-CN"/>
              </w:rPr>
              <w:t>厢式</w:t>
            </w:r>
            <w:r>
              <w:rPr>
                <w:rFonts w:hint="eastAsia"/>
                <w:color w:val="FF0000"/>
                <w:kern w:val="0"/>
                <w:sz w:val="24"/>
                <w:szCs w:val="28"/>
              </w:rPr>
              <w:t>货车</w:t>
            </w:r>
            <w:r>
              <w:rPr>
                <w:color w:val="FF0000"/>
                <w:kern w:val="0"/>
                <w:sz w:val="24"/>
                <w:szCs w:val="28"/>
              </w:rPr>
              <w:t>运输进厂，在</w:t>
            </w:r>
            <w:r>
              <w:rPr>
                <w:rFonts w:hint="eastAsia"/>
                <w:color w:val="FF0000"/>
                <w:kern w:val="0"/>
                <w:sz w:val="24"/>
                <w:szCs w:val="28"/>
              </w:rPr>
              <w:t>密</w:t>
            </w:r>
            <w:r>
              <w:rPr>
                <w:color w:val="FF0000"/>
                <w:kern w:val="0"/>
                <w:sz w:val="24"/>
                <w:szCs w:val="28"/>
              </w:rPr>
              <w:t>闭</w:t>
            </w:r>
            <w:r>
              <w:rPr>
                <w:rFonts w:hint="eastAsia"/>
                <w:color w:val="FF0000"/>
                <w:kern w:val="0"/>
                <w:sz w:val="24"/>
                <w:szCs w:val="28"/>
              </w:rPr>
              <w:t>原</w:t>
            </w:r>
            <w:r>
              <w:rPr>
                <w:color w:val="FF0000"/>
                <w:kern w:val="0"/>
                <w:sz w:val="24"/>
                <w:szCs w:val="28"/>
              </w:rPr>
              <w:t>料</w:t>
            </w:r>
            <w:r>
              <w:rPr>
                <w:rFonts w:hint="eastAsia"/>
                <w:color w:val="FF0000"/>
                <w:kern w:val="0"/>
                <w:sz w:val="24"/>
                <w:szCs w:val="28"/>
              </w:rPr>
              <w:t>库</w:t>
            </w:r>
            <w:r>
              <w:rPr>
                <w:color w:val="FF0000"/>
                <w:kern w:val="0"/>
                <w:sz w:val="24"/>
                <w:szCs w:val="28"/>
              </w:rPr>
              <w:t>内堆放</w:t>
            </w:r>
            <w:r>
              <w:rPr>
                <w:rFonts w:hint="eastAsia"/>
                <w:color w:val="FF0000"/>
                <w:kern w:val="0"/>
                <w:sz w:val="24"/>
                <w:szCs w:val="28"/>
              </w:rPr>
              <w:t>。进料时，</w:t>
            </w:r>
            <w:r>
              <w:rPr>
                <w:color w:val="FF0000"/>
                <w:kern w:val="0"/>
                <w:sz w:val="24"/>
                <w:szCs w:val="28"/>
              </w:rPr>
              <w:t>利用铲车将石子、砂子等</w:t>
            </w:r>
            <w:r>
              <w:rPr>
                <w:rFonts w:hint="eastAsia"/>
                <w:color w:val="FF0000"/>
                <w:kern w:val="0"/>
                <w:sz w:val="24"/>
                <w:szCs w:val="28"/>
              </w:rPr>
              <w:t>送</w:t>
            </w:r>
            <w:r>
              <w:rPr>
                <w:color w:val="FF0000"/>
                <w:kern w:val="0"/>
                <w:sz w:val="24"/>
                <w:szCs w:val="28"/>
              </w:rPr>
              <w:t>入</w:t>
            </w:r>
            <w:r>
              <w:rPr>
                <w:rFonts w:hint="eastAsia"/>
                <w:color w:val="FF0000"/>
                <w:kern w:val="0"/>
                <w:sz w:val="24"/>
                <w:szCs w:val="28"/>
              </w:rPr>
              <w:t>配料机受料口中</w:t>
            </w:r>
            <w:r>
              <w:rPr>
                <w:color w:val="FF0000"/>
                <w:kern w:val="0"/>
                <w:sz w:val="24"/>
                <w:szCs w:val="28"/>
              </w:rPr>
              <w:t>，称重</w:t>
            </w:r>
            <w:r>
              <w:rPr>
                <w:rFonts w:hint="eastAsia"/>
                <w:color w:val="FF0000"/>
                <w:kern w:val="0"/>
                <w:sz w:val="24"/>
                <w:szCs w:val="28"/>
              </w:rPr>
              <w:t>计量</w:t>
            </w:r>
            <w:r>
              <w:rPr>
                <w:color w:val="FF0000"/>
                <w:kern w:val="0"/>
                <w:sz w:val="24"/>
                <w:szCs w:val="28"/>
              </w:rPr>
              <w:t>后的</w:t>
            </w:r>
            <w:r>
              <w:rPr>
                <w:rFonts w:hint="eastAsia"/>
                <w:color w:val="FF0000"/>
                <w:kern w:val="0"/>
                <w:sz w:val="24"/>
                <w:szCs w:val="28"/>
              </w:rPr>
              <w:t>砂石物料</w:t>
            </w:r>
            <w:r>
              <w:rPr>
                <w:color w:val="FF0000"/>
                <w:kern w:val="0"/>
                <w:sz w:val="24"/>
                <w:szCs w:val="28"/>
              </w:rPr>
              <w:t>通过</w:t>
            </w:r>
            <w:r>
              <w:rPr>
                <w:rFonts w:hint="eastAsia"/>
                <w:color w:val="FF0000"/>
                <w:kern w:val="0"/>
                <w:sz w:val="24"/>
                <w:szCs w:val="28"/>
              </w:rPr>
              <w:t>密闭皮带输送进入</w:t>
            </w:r>
            <w:r>
              <w:rPr>
                <w:color w:val="FF0000"/>
                <w:kern w:val="0"/>
                <w:sz w:val="24"/>
                <w:szCs w:val="28"/>
              </w:rPr>
              <w:t>搅拌机。</w:t>
            </w:r>
            <w:r>
              <w:rPr>
                <w:rFonts w:hint="eastAsia"/>
                <w:color w:val="FF0000"/>
                <w:kern w:val="0"/>
                <w:sz w:val="24"/>
                <w:szCs w:val="28"/>
              </w:rPr>
              <w:t>卸料</w:t>
            </w:r>
            <w:r>
              <w:rPr>
                <w:rFonts w:hint="eastAsia"/>
                <w:color w:val="FF0000"/>
                <w:kern w:val="0"/>
                <w:sz w:val="24"/>
                <w:szCs w:val="28"/>
                <w:lang w:eastAsia="zh-CN"/>
              </w:rPr>
              <w:t>、</w:t>
            </w:r>
            <w:r>
              <w:rPr>
                <w:rFonts w:hint="eastAsia"/>
                <w:color w:val="FF0000"/>
                <w:kern w:val="0"/>
                <w:sz w:val="24"/>
                <w:szCs w:val="28"/>
                <w:lang w:val="en-US" w:eastAsia="zh-CN"/>
              </w:rPr>
              <w:t>储存、投料输送</w:t>
            </w:r>
            <w:r>
              <w:rPr>
                <w:rFonts w:hint="eastAsia"/>
                <w:color w:val="FF0000"/>
                <w:kern w:val="0"/>
                <w:sz w:val="24"/>
                <w:szCs w:val="28"/>
              </w:rPr>
              <w:t>过程中均有粉尘产生。</w:t>
            </w:r>
          </w:p>
          <w:p w14:paraId="6FBEE104">
            <w:pPr>
              <w:spacing w:line="360" w:lineRule="auto"/>
              <w:ind w:firstLine="480" w:firstLineChars="200"/>
              <w:rPr>
                <w:color w:val="FF0000"/>
                <w:kern w:val="0"/>
                <w:sz w:val="24"/>
                <w:szCs w:val="28"/>
              </w:rPr>
            </w:pPr>
            <w:r>
              <w:rPr>
                <w:rFonts w:hint="eastAsia" w:ascii="宋体" w:hAnsi="宋体"/>
                <w:color w:val="FF0000"/>
                <w:kern w:val="0"/>
                <w:sz w:val="24"/>
                <w:szCs w:val="28"/>
              </w:rPr>
              <w:t>②</w:t>
            </w:r>
            <w:r>
              <w:rPr>
                <w:rFonts w:hint="eastAsia"/>
                <w:color w:val="FF0000"/>
                <w:kern w:val="0"/>
                <w:sz w:val="24"/>
                <w:szCs w:val="28"/>
              </w:rPr>
              <w:t>粉料（水泥）</w:t>
            </w:r>
            <w:r>
              <w:rPr>
                <w:color w:val="FF0000"/>
                <w:kern w:val="0"/>
                <w:sz w:val="24"/>
                <w:szCs w:val="28"/>
              </w:rPr>
              <w:t>储存与输送</w:t>
            </w:r>
          </w:p>
          <w:p w14:paraId="3C14C955">
            <w:pPr>
              <w:spacing w:line="360" w:lineRule="auto"/>
              <w:ind w:firstLine="480" w:firstLineChars="200"/>
              <w:rPr>
                <w:color w:val="FF0000"/>
                <w:kern w:val="0"/>
                <w:sz w:val="24"/>
                <w:szCs w:val="28"/>
              </w:rPr>
            </w:pPr>
            <w:r>
              <w:rPr>
                <w:rFonts w:hint="eastAsia"/>
                <w:color w:val="FF0000"/>
                <w:kern w:val="0"/>
                <w:sz w:val="24"/>
                <w:szCs w:val="28"/>
              </w:rPr>
              <w:t>水泥</w:t>
            </w:r>
            <w:r>
              <w:rPr>
                <w:color w:val="FF0000"/>
                <w:kern w:val="0"/>
                <w:sz w:val="24"/>
                <w:szCs w:val="28"/>
              </w:rPr>
              <w:t>由密闭罐车运输进厂</w:t>
            </w:r>
            <w:r>
              <w:rPr>
                <w:rFonts w:hint="eastAsia"/>
                <w:color w:val="FF0000"/>
                <w:kern w:val="0"/>
                <w:sz w:val="24"/>
                <w:szCs w:val="28"/>
              </w:rPr>
              <w:t>，经</w:t>
            </w:r>
            <w:r>
              <w:rPr>
                <w:color w:val="FF0000"/>
                <w:kern w:val="0"/>
                <w:sz w:val="24"/>
                <w:szCs w:val="28"/>
              </w:rPr>
              <w:t>气泵打入</w:t>
            </w:r>
            <w:r>
              <w:rPr>
                <w:rFonts w:hint="eastAsia"/>
                <w:color w:val="FF0000"/>
                <w:kern w:val="0"/>
                <w:sz w:val="24"/>
                <w:szCs w:val="28"/>
                <w:lang w:val="en-US" w:eastAsia="zh-CN"/>
              </w:rPr>
              <w:t>水泥筒仓</w:t>
            </w:r>
            <w:r>
              <w:rPr>
                <w:rFonts w:hint="eastAsia"/>
                <w:color w:val="FF0000"/>
                <w:kern w:val="0"/>
                <w:sz w:val="24"/>
                <w:szCs w:val="28"/>
              </w:rPr>
              <w:t>。</w:t>
            </w:r>
            <w:r>
              <w:rPr>
                <w:rFonts w:hint="eastAsia"/>
                <w:color w:val="FF0000"/>
                <w:kern w:val="0"/>
                <w:sz w:val="24"/>
                <w:szCs w:val="28"/>
                <w:lang w:val="en-US" w:eastAsia="zh-CN"/>
              </w:rPr>
              <w:t>水泥筒仓</w:t>
            </w:r>
            <w:r>
              <w:rPr>
                <w:rFonts w:hint="eastAsia"/>
                <w:color w:val="FF0000"/>
                <w:kern w:val="0"/>
                <w:sz w:val="24"/>
                <w:szCs w:val="28"/>
              </w:rPr>
              <w:t>底部设有</w:t>
            </w:r>
            <w:r>
              <w:rPr>
                <w:color w:val="FF0000"/>
                <w:kern w:val="0"/>
                <w:sz w:val="24"/>
                <w:szCs w:val="28"/>
              </w:rPr>
              <w:t>计量装置，粉料</w:t>
            </w:r>
            <w:r>
              <w:rPr>
                <w:rFonts w:hint="eastAsia"/>
                <w:color w:val="FF0000"/>
                <w:kern w:val="0"/>
                <w:sz w:val="24"/>
                <w:szCs w:val="28"/>
              </w:rPr>
              <w:t>经定量</w:t>
            </w:r>
            <w:r>
              <w:rPr>
                <w:color w:val="FF0000"/>
                <w:kern w:val="0"/>
                <w:sz w:val="24"/>
                <w:szCs w:val="28"/>
              </w:rPr>
              <w:t>称重后，通过管道内置螺旋铰刀送入搅拌机</w:t>
            </w:r>
            <w:r>
              <w:rPr>
                <w:rFonts w:hint="eastAsia"/>
                <w:color w:val="FF0000"/>
                <w:kern w:val="0"/>
                <w:sz w:val="24"/>
                <w:szCs w:val="28"/>
              </w:rPr>
              <w:t>中。</w:t>
            </w:r>
          </w:p>
          <w:p w14:paraId="16937746">
            <w:pPr>
              <w:spacing w:line="360" w:lineRule="auto"/>
              <w:ind w:firstLine="480" w:firstLineChars="200"/>
              <w:rPr>
                <w:color w:val="FF0000"/>
                <w:kern w:val="0"/>
                <w:sz w:val="24"/>
                <w:szCs w:val="28"/>
              </w:rPr>
            </w:pPr>
            <w:r>
              <w:rPr>
                <w:rFonts w:hint="eastAsia" w:ascii="宋体" w:hAnsi="宋体"/>
                <w:color w:val="FF0000"/>
                <w:kern w:val="0"/>
                <w:sz w:val="24"/>
                <w:szCs w:val="28"/>
              </w:rPr>
              <w:t>③</w:t>
            </w:r>
            <w:r>
              <w:rPr>
                <w:rFonts w:hint="eastAsia"/>
                <w:color w:val="FF0000"/>
                <w:kern w:val="0"/>
                <w:sz w:val="24"/>
                <w:szCs w:val="28"/>
              </w:rPr>
              <w:t>减水剂</w:t>
            </w:r>
            <w:r>
              <w:rPr>
                <w:color w:val="FF0000"/>
                <w:kern w:val="0"/>
                <w:sz w:val="24"/>
                <w:szCs w:val="28"/>
              </w:rPr>
              <w:t>储存与输送</w:t>
            </w:r>
          </w:p>
          <w:p w14:paraId="1817D69B">
            <w:pPr>
              <w:spacing w:line="360" w:lineRule="auto"/>
              <w:ind w:firstLine="480" w:firstLineChars="200"/>
              <w:rPr>
                <w:rFonts w:hint="default"/>
                <w:color w:val="FF0000"/>
                <w:kern w:val="0"/>
                <w:sz w:val="24"/>
                <w:szCs w:val="28"/>
                <w:lang w:val="en-US"/>
              </w:rPr>
            </w:pPr>
            <w:r>
              <w:rPr>
                <w:rFonts w:hint="eastAsia"/>
                <w:color w:val="FF0000"/>
                <w:kern w:val="0"/>
                <w:sz w:val="24"/>
                <w:szCs w:val="28"/>
                <w:lang w:val="en-US" w:eastAsia="zh-CN"/>
              </w:rPr>
              <w:t>减水剂</w:t>
            </w:r>
            <w:r>
              <w:rPr>
                <w:rFonts w:hint="eastAsia"/>
                <w:color w:val="FF0000"/>
                <w:kern w:val="0"/>
                <w:sz w:val="24"/>
                <w:szCs w:val="28"/>
              </w:rPr>
              <w:t>为</w:t>
            </w:r>
            <w:r>
              <w:rPr>
                <w:rFonts w:hint="eastAsia"/>
                <w:color w:val="FF0000"/>
                <w:kern w:val="0"/>
                <w:sz w:val="24"/>
                <w:szCs w:val="28"/>
                <w:lang w:val="en-US" w:eastAsia="zh-CN"/>
              </w:rPr>
              <w:t>固体，经人工投料投入搅拌机，投料过程产生少量粉尘。</w:t>
            </w:r>
          </w:p>
          <w:p w14:paraId="1E7C8020">
            <w:pPr>
              <w:spacing w:line="360" w:lineRule="auto"/>
              <w:ind w:firstLine="480" w:firstLineChars="200"/>
              <w:rPr>
                <w:color w:val="FF0000"/>
                <w:kern w:val="0"/>
                <w:sz w:val="24"/>
                <w:szCs w:val="28"/>
              </w:rPr>
            </w:pPr>
            <w:r>
              <w:rPr>
                <w:rFonts w:hint="eastAsia"/>
                <w:color w:val="FF0000"/>
                <w:kern w:val="0"/>
                <w:sz w:val="24"/>
                <w:szCs w:val="28"/>
              </w:rPr>
              <w:t>④水</w:t>
            </w:r>
          </w:p>
          <w:p w14:paraId="08B6DC7B">
            <w:pPr>
              <w:spacing w:line="360" w:lineRule="auto"/>
              <w:ind w:firstLine="480" w:firstLineChars="200"/>
              <w:rPr>
                <w:color w:val="FF0000"/>
                <w:kern w:val="0"/>
                <w:sz w:val="24"/>
                <w:szCs w:val="28"/>
              </w:rPr>
            </w:pPr>
            <w:r>
              <w:rPr>
                <w:rFonts w:hint="eastAsia"/>
                <w:color w:val="FF0000"/>
                <w:kern w:val="0"/>
                <w:sz w:val="24"/>
                <w:szCs w:val="28"/>
              </w:rPr>
              <w:t>搅拌用水采用压力供水，经管道定量输送至搅拌机。</w:t>
            </w:r>
          </w:p>
          <w:p w14:paraId="7CFD0BBC">
            <w:pPr>
              <w:spacing w:line="360" w:lineRule="auto"/>
              <w:ind w:firstLine="480" w:firstLineChars="200"/>
              <w:rPr>
                <w:color w:val="FF0000"/>
                <w:kern w:val="0"/>
                <w:sz w:val="24"/>
                <w:szCs w:val="28"/>
              </w:rPr>
            </w:pPr>
            <w:r>
              <w:rPr>
                <w:rFonts w:hint="eastAsia"/>
                <w:color w:val="FF0000"/>
                <w:kern w:val="0"/>
                <w:sz w:val="24"/>
                <w:szCs w:val="28"/>
              </w:rPr>
              <w:t>⑤配料、搅拌</w:t>
            </w:r>
          </w:p>
          <w:p w14:paraId="5BCAE897">
            <w:pPr>
              <w:spacing w:line="360" w:lineRule="auto"/>
              <w:ind w:firstLine="480" w:firstLineChars="200"/>
              <w:rPr>
                <w:rFonts w:hint="default" w:ascii="宋体" w:hAnsi="宋体" w:eastAsia="宋体"/>
                <w:color w:val="FF0000"/>
                <w:kern w:val="0"/>
                <w:sz w:val="24"/>
                <w:szCs w:val="28"/>
                <w:lang w:val="en-US" w:eastAsia="zh-CN"/>
              </w:rPr>
            </w:pPr>
            <w:r>
              <w:rPr>
                <w:rFonts w:ascii="宋体" w:hAnsi="宋体"/>
                <w:color w:val="FF0000"/>
                <w:kern w:val="0"/>
                <w:sz w:val="24"/>
                <w:szCs w:val="28"/>
              </w:rPr>
              <w:t>按比例调配好的各种物料根据不同方式输送至配料仓，配料完毕后开启放料阀，物料一次性落入搅拌仓</w:t>
            </w:r>
            <w:r>
              <w:rPr>
                <w:rFonts w:hint="eastAsia" w:ascii="宋体" w:hAnsi="宋体"/>
                <w:color w:val="FF0000"/>
                <w:kern w:val="0"/>
                <w:sz w:val="24"/>
                <w:szCs w:val="28"/>
              </w:rPr>
              <w:t>，经混合搅拌制得混凝土。成品混凝土经</w:t>
            </w:r>
            <w:r>
              <w:rPr>
                <w:rFonts w:ascii="宋体" w:hAnsi="宋体"/>
                <w:color w:val="FF0000"/>
                <w:kern w:val="0"/>
                <w:sz w:val="24"/>
                <w:szCs w:val="28"/>
              </w:rPr>
              <w:t>卸料阀自卸</w:t>
            </w:r>
            <w:r>
              <w:rPr>
                <w:rFonts w:hint="eastAsia" w:ascii="宋体" w:hAnsi="宋体"/>
                <w:color w:val="FF0000"/>
                <w:kern w:val="0"/>
                <w:sz w:val="24"/>
                <w:szCs w:val="28"/>
              </w:rPr>
              <w:t>至</w:t>
            </w:r>
            <w:r>
              <w:rPr>
                <w:rFonts w:ascii="宋体" w:hAnsi="宋体"/>
                <w:color w:val="FF0000"/>
                <w:kern w:val="0"/>
                <w:sz w:val="24"/>
                <w:szCs w:val="28"/>
              </w:rPr>
              <w:t>混凝土搅拌</w:t>
            </w:r>
            <w:r>
              <w:rPr>
                <w:rFonts w:hint="eastAsia" w:ascii="宋体" w:hAnsi="宋体"/>
                <w:color w:val="FF0000"/>
                <w:kern w:val="0"/>
                <w:sz w:val="24"/>
                <w:szCs w:val="28"/>
              </w:rPr>
              <w:t>运输</w:t>
            </w:r>
            <w:r>
              <w:rPr>
                <w:rFonts w:ascii="宋体" w:hAnsi="宋体"/>
                <w:color w:val="FF0000"/>
                <w:kern w:val="0"/>
                <w:sz w:val="24"/>
                <w:szCs w:val="28"/>
              </w:rPr>
              <w:t>车，送</w:t>
            </w:r>
            <w:r>
              <w:rPr>
                <w:rFonts w:hint="eastAsia" w:ascii="宋体" w:hAnsi="宋体"/>
                <w:color w:val="FF0000"/>
                <w:kern w:val="0"/>
                <w:sz w:val="24"/>
                <w:szCs w:val="28"/>
              </w:rPr>
              <w:t>至车间进</w:t>
            </w:r>
            <w:r>
              <w:rPr>
                <w:rFonts w:hAnsi="宋体"/>
                <w:color w:val="FF0000"/>
                <w:kern w:val="0"/>
                <w:sz w:val="24"/>
                <w:szCs w:val="28"/>
              </w:rPr>
              <w:t>行</w:t>
            </w:r>
            <w:r>
              <w:rPr>
                <w:rFonts w:hint="eastAsia" w:hAnsi="宋体"/>
                <w:color w:val="FF0000"/>
                <w:kern w:val="0"/>
                <w:sz w:val="24"/>
                <w:szCs w:val="28"/>
              </w:rPr>
              <w:t>构件</w:t>
            </w:r>
            <w:r>
              <w:rPr>
                <w:rFonts w:hint="eastAsia" w:ascii="宋体" w:hAnsi="宋体"/>
                <w:color w:val="FF0000"/>
                <w:kern w:val="0"/>
                <w:sz w:val="24"/>
                <w:szCs w:val="28"/>
              </w:rPr>
              <w:t>生产</w:t>
            </w:r>
            <w:r>
              <w:rPr>
                <w:rFonts w:hint="eastAsia" w:ascii="宋体" w:hAnsi="宋体"/>
                <w:color w:val="FF0000"/>
                <w:kern w:val="0"/>
                <w:sz w:val="24"/>
                <w:szCs w:val="28"/>
                <w:lang w:eastAsia="zh-CN"/>
              </w:rPr>
              <w:t>，</w:t>
            </w:r>
            <w:r>
              <w:rPr>
                <w:rFonts w:hint="eastAsia" w:ascii="宋体" w:hAnsi="宋体"/>
                <w:color w:val="FF0000"/>
                <w:kern w:val="0"/>
                <w:sz w:val="24"/>
                <w:szCs w:val="28"/>
                <w:lang w:val="en-US" w:eastAsia="zh-CN"/>
              </w:rPr>
              <w:t>配料仓顶设置配套布袋除尘器对配料粉尘进行处理。</w:t>
            </w:r>
          </w:p>
          <w:p w14:paraId="37874F49">
            <w:pPr>
              <w:spacing w:line="360" w:lineRule="auto"/>
              <w:ind w:firstLine="480" w:firstLineChars="200"/>
              <w:rPr>
                <w:color w:val="FF0000"/>
                <w:kern w:val="0"/>
                <w:sz w:val="24"/>
                <w:szCs w:val="28"/>
              </w:rPr>
            </w:pPr>
            <w:r>
              <w:rPr>
                <w:rFonts w:hint="eastAsia"/>
                <w:color w:val="FF0000"/>
                <w:kern w:val="0"/>
                <w:sz w:val="24"/>
                <w:szCs w:val="28"/>
                <w:lang w:val="en-US" w:eastAsia="zh-CN"/>
              </w:rPr>
              <w:t>6</w:t>
            </w:r>
            <w:r>
              <w:rPr>
                <w:rFonts w:hint="eastAsia"/>
                <w:color w:val="FF0000"/>
                <w:kern w:val="0"/>
                <w:sz w:val="24"/>
                <w:szCs w:val="28"/>
              </w:rPr>
              <w:t>）混凝土浇筑</w:t>
            </w:r>
          </w:p>
          <w:p w14:paraId="2480D1B7">
            <w:pPr>
              <w:spacing w:line="360" w:lineRule="auto"/>
              <w:ind w:firstLine="480" w:firstLineChars="200"/>
              <w:rPr>
                <w:color w:val="FF0000"/>
                <w:kern w:val="0"/>
                <w:sz w:val="24"/>
                <w:szCs w:val="28"/>
              </w:rPr>
            </w:pPr>
            <w:r>
              <w:rPr>
                <w:rFonts w:hint="eastAsia"/>
                <w:color w:val="FF0000"/>
                <w:kern w:val="0"/>
                <w:sz w:val="24"/>
                <w:szCs w:val="28"/>
              </w:rPr>
              <w:t>将混凝土定量浇筑至模具内，之后使用</w:t>
            </w:r>
            <w:r>
              <w:rPr>
                <w:rFonts w:hint="eastAsia"/>
                <w:color w:val="FF0000"/>
                <w:kern w:val="0"/>
                <w:sz w:val="24"/>
                <w:szCs w:val="28"/>
                <w:lang w:val="en-US" w:eastAsia="zh-CN"/>
              </w:rPr>
              <w:t>自动化流水线设备</w:t>
            </w:r>
            <w:r>
              <w:rPr>
                <w:rFonts w:hint="eastAsia"/>
                <w:color w:val="FF0000"/>
                <w:kern w:val="0"/>
                <w:sz w:val="24"/>
                <w:szCs w:val="28"/>
              </w:rPr>
              <w:t>将构件表面打磨平整。磨平过程中产生的混凝土循环使用。</w:t>
            </w:r>
          </w:p>
          <w:p w14:paraId="7BAD3972">
            <w:pPr>
              <w:spacing w:line="360" w:lineRule="auto"/>
              <w:ind w:firstLine="480" w:firstLineChars="200"/>
              <w:rPr>
                <w:color w:val="FF0000"/>
                <w:kern w:val="0"/>
                <w:sz w:val="24"/>
                <w:szCs w:val="28"/>
              </w:rPr>
            </w:pPr>
            <w:r>
              <w:rPr>
                <w:rFonts w:hint="eastAsia"/>
                <w:color w:val="FF0000"/>
                <w:kern w:val="0"/>
                <w:sz w:val="24"/>
                <w:szCs w:val="28"/>
                <w:lang w:val="en-US" w:eastAsia="zh-CN"/>
              </w:rPr>
              <w:t>7</w:t>
            </w:r>
            <w:r>
              <w:rPr>
                <w:rFonts w:hint="eastAsia"/>
                <w:color w:val="FF0000"/>
                <w:kern w:val="0"/>
                <w:sz w:val="24"/>
                <w:szCs w:val="28"/>
              </w:rPr>
              <w:t>）拉毛、抹光</w:t>
            </w:r>
          </w:p>
          <w:p w14:paraId="4E90AD77">
            <w:pPr>
              <w:spacing w:line="360" w:lineRule="auto"/>
              <w:ind w:firstLine="480" w:firstLineChars="200"/>
              <w:rPr>
                <w:color w:val="FF0000"/>
                <w:kern w:val="0"/>
                <w:sz w:val="24"/>
                <w:szCs w:val="28"/>
              </w:rPr>
            </w:pPr>
            <w:r>
              <w:rPr>
                <w:rFonts w:hint="eastAsia"/>
                <w:color w:val="FF0000"/>
                <w:kern w:val="0"/>
                <w:sz w:val="24"/>
                <w:szCs w:val="28"/>
              </w:rPr>
              <w:t>混凝土浇筑成型后，对其表面进行拉毛、抹光作业，使其表面光滑，</w:t>
            </w:r>
            <w:r>
              <w:rPr>
                <w:rFonts w:hint="eastAsia"/>
                <w:color w:val="FF0000"/>
                <w:kern w:val="0"/>
                <w:sz w:val="24"/>
                <w:szCs w:val="28"/>
                <w:lang w:val="en-US" w:eastAsia="zh-CN"/>
              </w:rPr>
              <w:t>因自动化流水线无法针对浇筑成型构件表面凹坑及小毛刺全部处理，因此该流程为人工利用铲平工具对构件进行涂抹及铲平，</w:t>
            </w:r>
            <w:r>
              <w:rPr>
                <w:rFonts w:hint="eastAsia"/>
                <w:color w:val="FF0000"/>
                <w:kern w:val="0"/>
                <w:sz w:val="24"/>
                <w:szCs w:val="28"/>
              </w:rPr>
              <w:t>多余的混凝土返回</w:t>
            </w:r>
            <w:r>
              <w:rPr>
                <w:rFonts w:hint="eastAsia"/>
                <w:color w:val="FF0000"/>
                <w:kern w:val="0"/>
                <w:sz w:val="24"/>
                <w:szCs w:val="28"/>
                <w:lang w:val="en-US" w:eastAsia="zh-CN"/>
              </w:rPr>
              <w:t>浇筑工序</w:t>
            </w:r>
            <w:r>
              <w:rPr>
                <w:rFonts w:hint="eastAsia"/>
                <w:color w:val="FF0000"/>
                <w:kern w:val="0"/>
                <w:sz w:val="24"/>
                <w:szCs w:val="28"/>
              </w:rPr>
              <w:t>循环使用。</w:t>
            </w:r>
          </w:p>
          <w:p w14:paraId="4B66447B">
            <w:pPr>
              <w:spacing w:line="360" w:lineRule="auto"/>
              <w:ind w:firstLine="480" w:firstLineChars="200"/>
              <w:rPr>
                <w:color w:val="FF0000"/>
                <w:kern w:val="0"/>
                <w:sz w:val="24"/>
                <w:szCs w:val="28"/>
              </w:rPr>
            </w:pPr>
            <w:r>
              <w:rPr>
                <w:rFonts w:hint="eastAsia"/>
                <w:color w:val="FF0000"/>
                <w:kern w:val="0"/>
                <w:sz w:val="24"/>
                <w:szCs w:val="28"/>
                <w:lang w:val="en-US" w:eastAsia="zh-CN"/>
              </w:rPr>
              <w:t>8</w:t>
            </w:r>
            <w:r>
              <w:rPr>
                <w:rFonts w:hint="eastAsia"/>
                <w:color w:val="FF0000"/>
                <w:kern w:val="0"/>
                <w:sz w:val="24"/>
                <w:szCs w:val="28"/>
              </w:rPr>
              <w:t>）产品养护</w:t>
            </w:r>
          </w:p>
          <w:p w14:paraId="30E2A896">
            <w:pPr>
              <w:spacing w:line="360" w:lineRule="auto"/>
              <w:ind w:firstLine="480" w:firstLineChars="200"/>
              <w:rPr>
                <w:rFonts w:hint="default" w:eastAsia="宋体"/>
                <w:color w:val="FF0000"/>
                <w:kern w:val="0"/>
                <w:sz w:val="24"/>
                <w:szCs w:val="28"/>
                <w:lang w:val="en-US" w:eastAsia="zh-CN"/>
              </w:rPr>
            </w:pPr>
            <w:r>
              <w:rPr>
                <w:rFonts w:hint="eastAsia"/>
                <w:color w:val="FF0000"/>
                <w:kern w:val="0"/>
                <w:sz w:val="24"/>
                <w:szCs w:val="28"/>
              </w:rPr>
              <w:t>砼构件养护是为了加速混凝土物料间的水化反应，快速提高混凝土强度，</w:t>
            </w:r>
            <w:r>
              <w:rPr>
                <w:rFonts w:hint="eastAsia"/>
                <w:color w:val="FF0000"/>
                <w:kern w:val="0"/>
                <w:sz w:val="24"/>
                <w:szCs w:val="28"/>
                <w:lang w:eastAsia="zh-CN"/>
              </w:rPr>
              <w:t>进而</w:t>
            </w:r>
            <w:r>
              <w:rPr>
                <w:rFonts w:hint="eastAsia"/>
                <w:color w:val="FF0000"/>
                <w:kern w:val="0"/>
                <w:sz w:val="24"/>
                <w:szCs w:val="28"/>
              </w:rPr>
              <w:t>达到加快施工进度、提高产量的目的</w:t>
            </w:r>
            <w:r>
              <w:rPr>
                <w:rFonts w:hint="eastAsia"/>
                <w:color w:val="FF0000"/>
                <w:kern w:val="0"/>
                <w:sz w:val="24"/>
                <w:szCs w:val="28"/>
                <w:lang w:eastAsia="zh-CN"/>
              </w:rPr>
              <w:t>，</w:t>
            </w:r>
            <w:r>
              <w:rPr>
                <w:rFonts w:hint="eastAsia"/>
                <w:color w:val="FF0000"/>
                <w:kern w:val="0"/>
                <w:sz w:val="24"/>
                <w:szCs w:val="28"/>
                <w:lang w:val="en-US" w:eastAsia="zh-CN"/>
              </w:rPr>
              <w:t>本项目采用洒水养护，养护时间约14d。</w:t>
            </w:r>
          </w:p>
          <w:p w14:paraId="2C925845">
            <w:pPr>
              <w:autoSpaceDE w:val="0"/>
              <w:autoSpaceDN w:val="0"/>
              <w:adjustRightInd w:val="0"/>
              <w:snapToGrid w:val="0"/>
              <w:spacing w:line="360" w:lineRule="auto"/>
              <w:ind w:firstLine="480" w:firstLineChars="200"/>
              <w:jc w:val="left"/>
              <w:rPr>
                <w:rFonts w:hint="eastAsia"/>
                <w:color w:val="FF0000"/>
                <w:kern w:val="0"/>
                <w:sz w:val="24"/>
                <w:szCs w:val="28"/>
              </w:rPr>
            </w:pPr>
            <w:r>
              <w:rPr>
                <w:rFonts w:hint="eastAsia"/>
                <w:color w:val="FF0000"/>
                <w:kern w:val="0"/>
                <w:sz w:val="24"/>
                <w:szCs w:val="28"/>
                <w:lang w:val="en-US" w:eastAsia="zh-CN"/>
              </w:rPr>
              <w:t>9</w:t>
            </w:r>
            <w:r>
              <w:rPr>
                <w:rFonts w:hint="eastAsia"/>
                <w:color w:val="FF0000"/>
                <w:kern w:val="0"/>
                <w:sz w:val="24"/>
                <w:szCs w:val="28"/>
              </w:rPr>
              <w:t>）脱模、成品检验</w:t>
            </w:r>
          </w:p>
          <w:p w14:paraId="71F4E721">
            <w:pPr>
              <w:autoSpaceDE w:val="0"/>
              <w:autoSpaceDN w:val="0"/>
              <w:adjustRightInd w:val="0"/>
              <w:snapToGrid w:val="0"/>
              <w:spacing w:line="360" w:lineRule="auto"/>
              <w:ind w:firstLine="480" w:firstLineChars="200"/>
              <w:jc w:val="left"/>
              <w:rPr>
                <w:rFonts w:hint="eastAsia"/>
                <w:color w:val="FF0000"/>
                <w:kern w:val="0"/>
                <w:sz w:val="24"/>
                <w:szCs w:val="28"/>
              </w:rPr>
            </w:pPr>
            <w:r>
              <w:rPr>
                <w:rFonts w:hint="eastAsia"/>
                <w:color w:val="FF0000"/>
                <w:kern w:val="0"/>
                <w:sz w:val="24"/>
                <w:szCs w:val="28"/>
              </w:rPr>
              <w:t>混凝土构件脱模后，经检验合格存放于成品区</w:t>
            </w:r>
            <w:r>
              <w:rPr>
                <w:rFonts w:hint="eastAsia"/>
                <w:color w:val="FF0000"/>
                <w:kern w:val="0"/>
                <w:sz w:val="24"/>
                <w:szCs w:val="28"/>
                <w:lang w:eastAsia="zh-CN"/>
              </w:rPr>
              <w:t>，</w:t>
            </w:r>
            <w:r>
              <w:rPr>
                <w:rFonts w:hint="eastAsia"/>
                <w:color w:val="FF0000"/>
                <w:kern w:val="0"/>
                <w:sz w:val="24"/>
                <w:szCs w:val="28"/>
                <w:lang w:val="en-US" w:eastAsia="zh-CN"/>
              </w:rPr>
              <w:t>不合格品报废处理</w:t>
            </w:r>
            <w:r>
              <w:rPr>
                <w:rFonts w:hint="eastAsia"/>
                <w:color w:val="FF0000"/>
                <w:kern w:val="0"/>
                <w:sz w:val="24"/>
                <w:szCs w:val="28"/>
              </w:rPr>
              <w:t>。脱模后的模具返回模具组装工序循环使用。</w:t>
            </w:r>
          </w:p>
          <w:p w14:paraId="5355A579">
            <w:pPr>
              <w:numPr>
                <w:ilvl w:val="0"/>
                <w:numId w:val="4"/>
              </w:numPr>
              <w:autoSpaceDE w:val="0"/>
              <w:autoSpaceDN w:val="0"/>
              <w:adjustRightInd w:val="0"/>
              <w:snapToGrid w:val="0"/>
              <w:spacing w:line="360" w:lineRule="auto"/>
              <w:ind w:firstLine="480" w:firstLineChars="200"/>
              <w:jc w:val="left"/>
              <w:rPr>
                <w:rFonts w:hint="eastAsia"/>
                <w:color w:val="FF0000"/>
                <w:lang w:val="en-US" w:eastAsia="zh-CN"/>
              </w:rPr>
            </w:pPr>
            <w:r>
              <w:rPr>
                <w:rFonts w:hint="eastAsia"/>
                <w:color w:val="FF0000"/>
                <w:lang w:eastAsia="zh-CN"/>
              </w:rPr>
              <w:t>新型光伏发电折叠房屋</w:t>
            </w:r>
            <w:r>
              <w:rPr>
                <w:rFonts w:hint="eastAsia"/>
                <w:color w:val="FF0000"/>
                <w:lang w:val="en-US" w:eastAsia="zh-CN"/>
              </w:rPr>
              <w:t>工艺流程</w:t>
            </w:r>
          </w:p>
          <w:p w14:paraId="1C002FF8">
            <w:pPr>
              <w:pStyle w:val="22"/>
              <w:tabs>
                <w:tab w:val="center" w:pos="4253"/>
                <w:tab w:val="right" w:pos="8387"/>
              </w:tabs>
              <w:spacing w:line="240" w:lineRule="auto"/>
              <w:ind w:firstLine="0" w:firstLineChars="0"/>
              <w:jc w:val="center"/>
              <w:rPr>
                <w:color w:val="FF0000"/>
              </w:rPr>
            </w:pPr>
            <w:r>
              <w:rPr>
                <w:color w:val="FF0000"/>
              </w:rPr>
              <w:drawing>
                <wp:inline distT="0" distB="0" distL="114300" distR="114300">
                  <wp:extent cx="3514725" cy="1847850"/>
                  <wp:effectExtent l="0" t="0" r="9525" b="0"/>
                  <wp:docPr id="1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2"/>
                          <pic:cNvPicPr>
                            <a:picLocks noChangeAspect="1"/>
                          </pic:cNvPicPr>
                        </pic:nvPicPr>
                        <pic:blipFill>
                          <a:blip r:embed="rId20"/>
                          <a:stretch>
                            <a:fillRect/>
                          </a:stretch>
                        </pic:blipFill>
                        <pic:spPr>
                          <a:xfrm>
                            <a:off x="0" y="0"/>
                            <a:ext cx="3514725" cy="1847850"/>
                          </a:xfrm>
                          <a:prstGeom prst="rect">
                            <a:avLst/>
                          </a:prstGeom>
                          <a:noFill/>
                          <a:ln>
                            <a:noFill/>
                          </a:ln>
                        </pic:spPr>
                      </pic:pic>
                    </a:graphicData>
                  </a:graphic>
                </wp:inline>
              </w:drawing>
            </w:r>
          </w:p>
          <w:p w14:paraId="0CA62CE3">
            <w:pPr>
              <w:pStyle w:val="22"/>
              <w:tabs>
                <w:tab w:val="center" w:pos="4253"/>
                <w:tab w:val="right" w:pos="8387"/>
              </w:tabs>
              <w:spacing w:line="240" w:lineRule="auto"/>
              <w:ind w:firstLine="0" w:firstLineChars="0"/>
              <w:jc w:val="center"/>
              <w:rPr>
                <w:rFonts w:hint="default" w:ascii="Times New Roman" w:hAnsi="Times New Roman" w:cs="Times New Roman"/>
                <w:b/>
                <w:bCs/>
                <w:color w:val="FF0000"/>
                <w:lang w:val="en-US" w:eastAsia="zh-CN"/>
              </w:rPr>
            </w:pPr>
            <w:r>
              <w:rPr>
                <w:rFonts w:hint="eastAsia" w:ascii="Times New Roman" w:hAnsi="Times New Roman" w:cs="Times New Roman"/>
                <w:b/>
                <w:bCs/>
                <w:color w:val="FF0000"/>
                <w:lang w:val="en-US" w:eastAsia="zh-CN"/>
              </w:rPr>
              <w:t>图2-4 光伏发电折叠房工艺流程及产污环节图</w:t>
            </w:r>
          </w:p>
          <w:p w14:paraId="283992BC">
            <w:pPr>
              <w:numPr>
                <w:ilvl w:val="0"/>
                <w:numId w:val="0"/>
              </w:numPr>
              <w:ind w:firstLine="480" w:firstLineChars="200"/>
              <w:rPr>
                <w:rFonts w:hint="eastAsia"/>
                <w:color w:val="FF0000"/>
                <w:lang w:val="en-US" w:eastAsia="zh-CN"/>
              </w:rPr>
            </w:pPr>
            <w:r>
              <w:rPr>
                <w:rFonts w:hint="eastAsia"/>
                <w:color w:val="FF0000"/>
                <w:lang w:val="en-US" w:eastAsia="zh-CN"/>
              </w:rPr>
              <w:t>组装、焊接：根据自身项目需求，外购定制钢板、零部件，将钢板及零部件进行组装后，</w:t>
            </w:r>
            <w:r>
              <w:rPr>
                <w:rFonts w:hint="eastAsia"/>
                <w:color w:val="FF0000"/>
                <w:kern w:val="0"/>
                <w:sz w:val="24"/>
                <w:szCs w:val="28"/>
              </w:rPr>
              <w:t>需要将焊件定位好，即将多个金属部件按照设计要求固定在一起，保证焊接的准确性和稳定性。然后，通过夹具、悬挂装置，卡盘等装备进行固定，确保焊接部件不会发生移动等情况</w:t>
            </w:r>
            <w:r>
              <w:rPr>
                <w:rFonts w:hint="eastAsia"/>
                <w:color w:val="FF0000"/>
                <w:kern w:val="0"/>
                <w:sz w:val="24"/>
                <w:szCs w:val="28"/>
                <w:lang w:eastAsia="zh-CN"/>
              </w:rPr>
              <w:t>，</w:t>
            </w:r>
            <w:r>
              <w:rPr>
                <w:rFonts w:hint="eastAsia"/>
                <w:color w:val="FF0000"/>
                <w:kern w:val="0"/>
                <w:sz w:val="24"/>
                <w:szCs w:val="28"/>
                <w:lang w:val="en-US" w:eastAsia="zh-CN"/>
              </w:rPr>
              <w:t>再用</w:t>
            </w:r>
            <w:r>
              <w:rPr>
                <w:rFonts w:hint="eastAsia"/>
                <w:color w:val="FF0000"/>
                <w:lang w:val="en-US" w:eastAsia="zh-CN"/>
              </w:rPr>
              <w:t>用二氧化碳保焊机将零件及钢板进行焊接得到光伏发电折叠房屋。该过程会产生焊接烟尘、不合格品等。</w:t>
            </w:r>
          </w:p>
          <w:p w14:paraId="3D784B7B">
            <w:pPr>
              <w:pStyle w:val="22"/>
              <w:tabs>
                <w:tab w:val="center" w:pos="4253"/>
                <w:tab w:val="right" w:pos="8387"/>
              </w:tabs>
              <w:spacing w:line="240" w:lineRule="auto"/>
              <w:ind w:firstLine="0" w:firstLineChars="0"/>
              <w:jc w:val="center"/>
              <w:rPr>
                <w:color w:val="FF0000"/>
              </w:rPr>
            </w:pPr>
            <w:r>
              <w:rPr>
                <w:color w:val="FF0000"/>
              </w:rPr>
              <w:drawing>
                <wp:inline distT="0" distB="0" distL="114300" distR="114300">
                  <wp:extent cx="5365115" cy="4170045"/>
                  <wp:effectExtent l="0" t="0" r="6985" b="1905"/>
                  <wp:docPr id="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
                          <pic:cNvPicPr>
                            <a:picLocks noChangeAspect="1"/>
                          </pic:cNvPicPr>
                        </pic:nvPicPr>
                        <pic:blipFill>
                          <a:blip r:embed="rId21"/>
                          <a:stretch>
                            <a:fillRect/>
                          </a:stretch>
                        </pic:blipFill>
                        <pic:spPr>
                          <a:xfrm>
                            <a:off x="0" y="0"/>
                            <a:ext cx="5365115" cy="4170045"/>
                          </a:xfrm>
                          <a:prstGeom prst="rect">
                            <a:avLst/>
                          </a:prstGeom>
                          <a:noFill/>
                          <a:ln>
                            <a:noFill/>
                          </a:ln>
                        </pic:spPr>
                      </pic:pic>
                    </a:graphicData>
                  </a:graphic>
                </wp:inline>
              </w:drawing>
            </w:r>
          </w:p>
          <w:p w14:paraId="72FD0FA3">
            <w:pPr>
              <w:pStyle w:val="22"/>
              <w:tabs>
                <w:tab w:val="center" w:pos="4253"/>
                <w:tab w:val="right" w:pos="8387"/>
              </w:tabs>
              <w:spacing w:line="240" w:lineRule="auto"/>
              <w:ind w:firstLine="0" w:firstLineChars="0"/>
              <w:jc w:val="center"/>
              <w:rPr>
                <w:rFonts w:hint="default" w:ascii="Times New Roman" w:hAnsi="Times New Roman" w:cs="Times New Roman"/>
                <w:b/>
                <w:bCs/>
                <w:color w:val="FF0000"/>
                <w:lang w:val="en-US" w:eastAsia="zh-CN"/>
              </w:rPr>
            </w:pPr>
            <w:r>
              <w:rPr>
                <w:rFonts w:hint="eastAsia" w:ascii="Times New Roman" w:hAnsi="Times New Roman" w:cs="Times New Roman"/>
                <w:b/>
                <w:bCs/>
                <w:color w:val="FF0000"/>
                <w:lang w:val="en-US" w:eastAsia="zh-CN"/>
              </w:rPr>
              <w:t>图2-5 混凝土保温模板工艺流程及产污环节图</w:t>
            </w:r>
          </w:p>
          <w:p w14:paraId="5B6179FC">
            <w:pPr>
              <w:numPr>
                <w:ilvl w:val="0"/>
                <w:numId w:val="5"/>
              </w:numPr>
              <w:spacing w:line="360" w:lineRule="auto"/>
              <w:ind w:firstLine="480" w:firstLineChars="200"/>
              <w:rPr>
                <w:rFonts w:hint="eastAsia"/>
                <w:color w:val="FF0000"/>
                <w:kern w:val="0"/>
                <w:sz w:val="24"/>
                <w:szCs w:val="28"/>
                <w:lang w:val="en-US" w:eastAsia="zh-CN"/>
              </w:rPr>
            </w:pPr>
            <w:r>
              <w:rPr>
                <w:rFonts w:hint="eastAsia"/>
                <w:color w:val="FF0000"/>
                <w:kern w:val="0"/>
                <w:sz w:val="24"/>
                <w:szCs w:val="28"/>
                <w:lang w:val="en-US" w:eastAsia="zh-CN"/>
              </w:rPr>
              <w:t>混凝土制备</w:t>
            </w:r>
          </w:p>
          <w:p w14:paraId="40617D35">
            <w:pPr>
              <w:spacing w:line="360" w:lineRule="auto"/>
              <w:ind w:firstLine="480" w:firstLineChars="200"/>
              <w:rPr>
                <w:rFonts w:hint="default"/>
                <w:color w:val="FF0000"/>
                <w:kern w:val="0"/>
                <w:sz w:val="24"/>
                <w:szCs w:val="28"/>
                <w:lang w:val="en-US" w:eastAsia="zh-CN"/>
              </w:rPr>
            </w:pPr>
            <w:r>
              <w:rPr>
                <w:rFonts w:hint="eastAsia"/>
                <w:color w:val="FF0000"/>
                <w:kern w:val="0"/>
                <w:sz w:val="24"/>
                <w:szCs w:val="28"/>
                <w:lang w:val="en-US" w:eastAsia="zh-CN"/>
              </w:rPr>
              <w:t>同光伏预制装配式围墙、预制箱变基础、预制环网柜基础、预制“小十件”中混凝土加工环节，不再赘述。</w:t>
            </w:r>
          </w:p>
          <w:p w14:paraId="598A99D0">
            <w:pPr>
              <w:spacing w:line="360" w:lineRule="auto"/>
              <w:ind w:firstLine="480" w:firstLineChars="200"/>
              <w:rPr>
                <w:color w:val="FF0000"/>
                <w:kern w:val="0"/>
                <w:sz w:val="24"/>
                <w:szCs w:val="28"/>
              </w:rPr>
            </w:pPr>
            <w:r>
              <w:rPr>
                <w:rFonts w:hint="eastAsia"/>
                <w:color w:val="FF0000"/>
                <w:kern w:val="0"/>
                <w:sz w:val="24"/>
                <w:szCs w:val="28"/>
                <w:lang w:eastAsia="zh-CN"/>
              </w:rPr>
              <w:t>（</w:t>
            </w:r>
            <w:r>
              <w:rPr>
                <w:rFonts w:hint="eastAsia"/>
                <w:color w:val="FF0000"/>
                <w:kern w:val="0"/>
                <w:sz w:val="24"/>
                <w:szCs w:val="28"/>
                <w:lang w:val="en-US" w:eastAsia="zh-CN"/>
              </w:rPr>
              <w:t>2</w:t>
            </w:r>
            <w:r>
              <w:rPr>
                <w:rFonts w:hint="eastAsia"/>
                <w:color w:val="FF0000"/>
                <w:kern w:val="0"/>
                <w:sz w:val="24"/>
                <w:szCs w:val="28"/>
              </w:rPr>
              <w:t>）混凝土浇筑</w:t>
            </w:r>
          </w:p>
          <w:p w14:paraId="156AF3F8">
            <w:pPr>
              <w:spacing w:line="360" w:lineRule="auto"/>
              <w:ind w:firstLine="480" w:firstLineChars="200"/>
              <w:rPr>
                <w:color w:val="FF0000"/>
                <w:kern w:val="0"/>
                <w:sz w:val="24"/>
                <w:szCs w:val="28"/>
              </w:rPr>
            </w:pPr>
            <w:r>
              <w:rPr>
                <w:rFonts w:hint="eastAsia"/>
                <w:color w:val="FF0000"/>
                <w:kern w:val="0"/>
                <w:sz w:val="24"/>
                <w:szCs w:val="28"/>
              </w:rPr>
              <w:t>将混凝土</w:t>
            </w:r>
            <w:r>
              <w:rPr>
                <w:rFonts w:hint="eastAsia"/>
                <w:color w:val="FF0000"/>
                <w:kern w:val="0"/>
                <w:sz w:val="24"/>
                <w:szCs w:val="28"/>
                <w:lang w:val="en-US" w:eastAsia="zh-CN"/>
              </w:rPr>
              <w:t>及木质纤维</w:t>
            </w:r>
            <w:r>
              <w:rPr>
                <w:rFonts w:hint="eastAsia"/>
                <w:color w:val="FF0000"/>
                <w:kern w:val="0"/>
                <w:sz w:val="24"/>
                <w:szCs w:val="28"/>
              </w:rPr>
              <w:t>定量浇筑至模具内，之后使用</w:t>
            </w:r>
            <w:r>
              <w:rPr>
                <w:rFonts w:hint="eastAsia"/>
                <w:color w:val="FF0000"/>
                <w:kern w:val="0"/>
                <w:sz w:val="24"/>
                <w:szCs w:val="28"/>
                <w:lang w:val="en-US" w:eastAsia="zh-CN"/>
              </w:rPr>
              <w:t>自动化流水线设备</w:t>
            </w:r>
            <w:r>
              <w:rPr>
                <w:rFonts w:hint="eastAsia"/>
                <w:color w:val="FF0000"/>
                <w:kern w:val="0"/>
                <w:sz w:val="24"/>
                <w:szCs w:val="28"/>
              </w:rPr>
              <w:t>将构件表面打磨平整。磨平过程中产生的混凝土循环使用。</w:t>
            </w:r>
          </w:p>
          <w:p w14:paraId="5C7CF25A">
            <w:pPr>
              <w:spacing w:line="360" w:lineRule="auto"/>
              <w:ind w:firstLine="480" w:firstLineChars="200"/>
              <w:rPr>
                <w:color w:val="FF0000"/>
                <w:kern w:val="0"/>
                <w:sz w:val="24"/>
                <w:szCs w:val="28"/>
              </w:rPr>
            </w:pPr>
            <w:r>
              <w:rPr>
                <w:rFonts w:hint="eastAsia"/>
                <w:color w:val="FF0000"/>
                <w:kern w:val="0"/>
                <w:sz w:val="24"/>
                <w:szCs w:val="28"/>
                <w:lang w:eastAsia="zh-CN"/>
              </w:rPr>
              <w:t>（</w:t>
            </w:r>
            <w:r>
              <w:rPr>
                <w:rFonts w:hint="eastAsia"/>
                <w:color w:val="FF0000"/>
                <w:kern w:val="0"/>
                <w:sz w:val="24"/>
                <w:szCs w:val="28"/>
                <w:lang w:val="en-US" w:eastAsia="zh-CN"/>
              </w:rPr>
              <w:t>3</w:t>
            </w:r>
            <w:r>
              <w:rPr>
                <w:rFonts w:hint="eastAsia"/>
                <w:color w:val="FF0000"/>
                <w:kern w:val="0"/>
                <w:sz w:val="24"/>
                <w:szCs w:val="28"/>
              </w:rPr>
              <w:t>）拉毛、抹光</w:t>
            </w:r>
          </w:p>
          <w:p w14:paraId="7A8DC36E">
            <w:pPr>
              <w:spacing w:line="360" w:lineRule="auto"/>
              <w:ind w:firstLine="480" w:firstLineChars="200"/>
              <w:rPr>
                <w:color w:val="FF0000"/>
                <w:kern w:val="0"/>
                <w:sz w:val="24"/>
                <w:szCs w:val="28"/>
              </w:rPr>
            </w:pPr>
            <w:r>
              <w:rPr>
                <w:rFonts w:hint="eastAsia"/>
                <w:color w:val="FF0000"/>
                <w:kern w:val="0"/>
                <w:sz w:val="24"/>
                <w:szCs w:val="28"/>
              </w:rPr>
              <w:t>混凝土浇筑成型后，对其表面进行拉毛、抹光作业，使其表面光滑，</w:t>
            </w:r>
            <w:r>
              <w:rPr>
                <w:rFonts w:hint="eastAsia"/>
                <w:color w:val="FF0000"/>
                <w:kern w:val="0"/>
                <w:sz w:val="24"/>
                <w:szCs w:val="28"/>
                <w:lang w:val="en-US" w:eastAsia="zh-CN"/>
              </w:rPr>
              <w:t>因自动化流水线无法针对浇筑成型构件表面凹坑及小毛刺全部处理，因此该流程为人工利用铲平工具对构件进行涂抹及铲平，</w:t>
            </w:r>
            <w:r>
              <w:rPr>
                <w:rFonts w:hint="eastAsia"/>
                <w:color w:val="FF0000"/>
                <w:kern w:val="0"/>
                <w:sz w:val="24"/>
                <w:szCs w:val="28"/>
              </w:rPr>
              <w:t>多余的混凝土返回循环使用。</w:t>
            </w:r>
          </w:p>
          <w:p w14:paraId="758C1F71">
            <w:pPr>
              <w:spacing w:line="360" w:lineRule="auto"/>
              <w:ind w:firstLine="480" w:firstLineChars="200"/>
              <w:rPr>
                <w:color w:val="FF0000"/>
                <w:kern w:val="0"/>
                <w:sz w:val="24"/>
                <w:szCs w:val="28"/>
              </w:rPr>
            </w:pPr>
            <w:r>
              <w:rPr>
                <w:rFonts w:hint="eastAsia"/>
                <w:color w:val="FF0000"/>
                <w:kern w:val="0"/>
                <w:sz w:val="24"/>
                <w:szCs w:val="28"/>
                <w:lang w:eastAsia="zh-CN"/>
              </w:rPr>
              <w:t>（</w:t>
            </w:r>
            <w:r>
              <w:rPr>
                <w:rFonts w:hint="eastAsia"/>
                <w:color w:val="FF0000"/>
                <w:kern w:val="0"/>
                <w:sz w:val="24"/>
                <w:szCs w:val="28"/>
                <w:lang w:val="en-US" w:eastAsia="zh-CN"/>
              </w:rPr>
              <w:t>4</w:t>
            </w:r>
            <w:r>
              <w:rPr>
                <w:rFonts w:hint="eastAsia"/>
                <w:color w:val="FF0000"/>
                <w:kern w:val="0"/>
                <w:sz w:val="24"/>
                <w:szCs w:val="28"/>
                <w:lang w:eastAsia="zh-CN"/>
              </w:rPr>
              <w:t>）</w:t>
            </w:r>
            <w:r>
              <w:rPr>
                <w:rFonts w:hint="eastAsia"/>
                <w:color w:val="FF0000"/>
                <w:kern w:val="0"/>
                <w:sz w:val="24"/>
                <w:szCs w:val="28"/>
              </w:rPr>
              <w:t>产品养护</w:t>
            </w:r>
          </w:p>
          <w:p w14:paraId="4820AC82">
            <w:pPr>
              <w:spacing w:line="360" w:lineRule="auto"/>
              <w:ind w:firstLine="480" w:firstLineChars="200"/>
              <w:rPr>
                <w:rFonts w:hint="default" w:eastAsia="宋体"/>
                <w:color w:val="FF0000"/>
                <w:kern w:val="0"/>
                <w:sz w:val="24"/>
                <w:szCs w:val="28"/>
                <w:lang w:val="en-US" w:eastAsia="zh-CN"/>
              </w:rPr>
            </w:pPr>
            <w:r>
              <w:rPr>
                <w:rFonts w:hint="eastAsia"/>
                <w:color w:val="FF0000"/>
                <w:kern w:val="0"/>
                <w:sz w:val="24"/>
                <w:szCs w:val="28"/>
              </w:rPr>
              <w:t>砼构件养护是为了加速混凝土物料间的水化反应，快速提高混凝土强度，</w:t>
            </w:r>
            <w:r>
              <w:rPr>
                <w:rFonts w:hint="eastAsia"/>
                <w:color w:val="FF0000"/>
                <w:kern w:val="0"/>
                <w:sz w:val="24"/>
                <w:szCs w:val="28"/>
                <w:lang w:eastAsia="zh-CN"/>
              </w:rPr>
              <w:t>进而</w:t>
            </w:r>
            <w:r>
              <w:rPr>
                <w:rFonts w:hint="eastAsia"/>
                <w:color w:val="FF0000"/>
                <w:kern w:val="0"/>
                <w:sz w:val="24"/>
                <w:szCs w:val="28"/>
              </w:rPr>
              <w:t>达到加快施工进度、提高产量的目的。</w:t>
            </w:r>
            <w:r>
              <w:rPr>
                <w:rFonts w:hint="eastAsia"/>
                <w:color w:val="FF0000"/>
                <w:kern w:val="0"/>
                <w:sz w:val="24"/>
                <w:szCs w:val="28"/>
                <w:lang w:val="en-US" w:eastAsia="zh-CN"/>
              </w:rPr>
              <w:t>本项目采用洒水养护。</w:t>
            </w:r>
          </w:p>
          <w:p w14:paraId="1C08566A">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eastAsia"/>
                <w:color w:val="FF0000"/>
                <w:kern w:val="0"/>
                <w:sz w:val="24"/>
                <w:szCs w:val="28"/>
              </w:rPr>
            </w:pPr>
            <w:r>
              <w:rPr>
                <w:rFonts w:hint="eastAsia"/>
                <w:color w:val="FF0000"/>
                <w:kern w:val="0"/>
                <w:sz w:val="24"/>
                <w:szCs w:val="28"/>
                <w:lang w:eastAsia="zh-CN"/>
              </w:rPr>
              <w:t>（</w:t>
            </w:r>
            <w:r>
              <w:rPr>
                <w:rFonts w:hint="eastAsia"/>
                <w:color w:val="FF0000"/>
                <w:kern w:val="0"/>
                <w:sz w:val="24"/>
                <w:szCs w:val="28"/>
                <w:lang w:val="en-US" w:eastAsia="zh-CN"/>
              </w:rPr>
              <w:t>5</w:t>
            </w:r>
            <w:r>
              <w:rPr>
                <w:rFonts w:hint="eastAsia"/>
                <w:color w:val="FF0000"/>
                <w:kern w:val="0"/>
                <w:sz w:val="24"/>
                <w:szCs w:val="28"/>
                <w:lang w:eastAsia="zh-CN"/>
              </w:rPr>
              <w:t>）</w:t>
            </w:r>
            <w:r>
              <w:rPr>
                <w:rFonts w:hint="eastAsia"/>
                <w:color w:val="FF0000"/>
                <w:kern w:val="0"/>
                <w:sz w:val="24"/>
                <w:szCs w:val="28"/>
              </w:rPr>
              <w:t>脱模、成品检验</w:t>
            </w:r>
          </w:p>
          <w:p w14:paraId="22C496CF">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eastAsia"/>
                <w:color w:val="FF0000"/>
                <w:kern w:val="0"/>
                <w:sz w:val="24"/>
                <w:szCs w:val="28"/>
              </w:rPr>
            </w:pPr>
            <w:r>
              <w:rPr>
                <w:rFonts w:hint="eastAsia"/>
                <w:color w:val="FF0000"/>
                <w:kern w:val="0"/>
                <w:sz w:val="24"/>
                <w:szCs w:val="28"/>
                <w:lang w:val="en-US" w:eastAsia="zh-CN"/>
              </w:rPr>
              <w:t>将保温模板</w:t>
            </w:r>
            <w:r>
              <w:rPr>
                <w:rFonts w:hint="eastAsia"/>
                <w:color w:val="FF0000"/>
                <w:kern w:val="0"/>
                <w:sz w:val="24"/>
                <w:szCs w:val="28"/>
              </w:rPr>
              <w:t>脱模后，经检验合格存放于成品区</w:t>
            </w:r>
            <w:r>
              <w:rPr>
                <w:rFonts w:hint="eastAsia"/>
                <w:color w:val="FF0000"/>
                <w:kern w:val="0"/>
                <w:sz w:val="24"/>
                <w:szCs w:val="28"/>
                <w:lang w:eastAsia="zh-CN"/>
              </w:rPr>
              <w:t>，</w:t>
            </w:r>
            <w:r>
              <w:rPr>
                <w:rFonts w:hint="eastAsia"/>
                <w:color w:val="FF0000"/>
                <w:kern w:val="0"/>
                <w:sz w:val="24"/>
                <w:szCs w:val="28"/>
                <w:lang w:val="en-US" w:eastAsia="zh-CN"/>
              </w:rPr>
              <w:t>不合格品回用于混凝土浇筑环节</w:t>
            </w:r>
            <w:r>
              <w:rPr>
                <w:rFonts w:hint="eastAsia"/>
                <w:color w:val="FF0000"/>
                <w:kern w:val="0"/>
                <w:sz w:val="24"/>
                <w:szCs w:val="28"/>
              </w:rPr>
              <w:t>。脱模后的模具返回模具组装工序循环使用。</w:t>
            </w:r>
          </w:p>
          <w:p w14:paraId="78940715">
            <w:pPr>
              <w:keepNext w:val="0"/>
              <w:keepLines w:val="0"/>
              <w:pageBreakBefore w:val="0"/>
              <w:widowControl w:val="0"/>
              <w:kinsoku/>
              <w:wordWrap/>
              <w:overflowPunct/>
              <w:topLinePunct w:val="0"/>
              <w:bidi w:val="0"/>
              <w:adjustRightInd w:val="0"/>
              <w:snapToGrid w:val="0"/>
              <w:spacing w:line="360" w:lineRule="auto"/>
              <w:ind w:firstLine="480"/>
              <w:textAlignment w:val="auto"/>
              <w:rPr>
                <w:rFonts w:hint="eastAsia"/>
                <w:b/>
                <w:bCs/>
                <w:color w:val="FF0000"/>
              </w:rPr>
            </w:pPr>
            <w:r>
              <w:rPr>
                <w:rFonts w:hint="eastAsia"/>
                <w:b/>
                <w:bCs/>
                <w:color w:val="FF0000"/>
                <w:lang w:val="en-US" w:eastAsia="zh-CN"/>
              </w:rPr>
              <w:t>三</w:t>
            </w:r>
            <w:r>
              <w:rPr>
                <w:rFonts w:hint="eastAsia"/>
                <w:b/>
                <w:bCs/>
                <w:color w:val="FF0000"/>
              </w:rPr>
              <w:t>、主要污染工序：</w:t>
            </w:r>
          </w:p>
          <w:p w14:paraId="765A42F6">
            <w:pPr>
              <w:keepNext w:val="0"/>
              <w:keepLines w:val="0"/>
              <w:pageBreakBefore w:val="0"/>
              <w:widowControl w:val="0"/>
              <w:kinsoku/>
              <w:wordWrap/>
              <w:overflowPunct/>
              <w:topLinePunct w:val="0"/>
              <w:bidi w:val="0"/>
              <w:adjustRightInd w:val="0"/>
              <w:snapToGrid w:val="0"/>
              <w:spacing w:line="360" w:lineRule="auto"/>
              <w:ind w:firstLine="480"/>
              <w:textAlignment w:val="auto"/>
              <w:rPr>
                <w:color w:val="FF0000"/>
              </w:rPr>
            </w:pPr>
            <w:r>
              <w:rPr>
                <w:color w:val="FF0000"/>
              </w:rPr>
              <w:t>项目建设主要污染工序见</w:t>
            </w:r>
            <w:r>
              <w:rPr>
                <w:rFonts w:hint="eastAsia"/>
                <w:color w:val="FF0000"/>
              </w:rPr>
              <w:t>表</w:t>
            </w:r>
            <w:r>
              <w:rPr>
                <w:rFonts w:hint="eastAsia"/>
                <w:color w:val="FF0000"/>
                <w:lang w:val="en-US" w:eastAsia="zh-CN"/>
              </w:rPr>
              <w:t>2-8</w:t>
            </w:r>
            <w:r>
              <w:rPr>
                <w:color w:val="FF0000"/>
              </w:rPr>
              <w:t>。</w:t>
            </w:r>
          </w:p>
          <w:p w14:paraId="675C0245">
            <w:pPr>
              <w:pStyle w:val="22"/>
              <w:tabs>
                <w:tab w:val="center" w:pos="4253"/>
                <w:tab w:val="right" w:pos="8387"/>
              </w:tabs>
              <w:spacing w:line="240" w:lineRule="auto"/>
              <w:ind w:firstLine="0" w:firstLineChars="0"/>
              <w:jc w:val="center"/>
              <w:rPr>
                <w:rFonts w:hint="eastAsia" w:ascii="Times New Roman" w:hAnsi="Times New Roman" w:cs="Times New Roman"/>
                <w:b/>
                <w:bCs/>
                <w:color w:val="FF0000"/>
                <w:lang w:val="en-US" w:eastAsia="zh-CN"/>
              </w:rPr>
            </w:pPr>
            <w:r>
              <w:rPr>
                <w:rFonts w:hint="eastAsia" w:ascii="Times New Roman" w:hAnsi="Times New Roman" w:cs="Times New Roman"/>
                <w:b/>
                <w:bCs/>
                <w:color w:val="FF0000"/>
                <w:lang w:val="en-US" w:eastAsia="zh-CN"/>
              </w:rPr>
              <w:t>表2-8 项目主要污染工序一览表</w:t>
            </w:r>
          </w:p>
          <w:tbl>
            <w:tblPr>
              <w:tblStyle w:val="41"/>
              <w:tblW w:w="8385"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922"/>
              <w:gridCol w:w="1773"/>
              <w:gridCol w:w="634"/>
              <w:gridCol w:w="2704"/>
              <w:gridCol w:w="2352"/>
            </w:tblGrid>
            <w:tr w14:paraId="4A0E4D0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48" w:hRule="atLeast"/>
                <w:jc w:val="center"/>
              </w:trPr>
              <w:tc>
                <w:tcPr>
                  <w:tcW w:w="922" w:type="dxa"/>
                  <w:tcBorders>
                    <w:tl2br w:val="nil"/>
                    <w:tr2bl w:val="nil"/>
                  </w:tcBorders>
                  <w:vAlign w:val="center"/>
                </w:tcPr>
                <w:p w14:paraId="48BD235B">
                  <w:pPr>
                    <w:pStyle w:val="56"/>
                    <w:bidi w:val="0"/>
                    <w:rPr>
                      <w:color w:val="FF0000"/>
                      <w:szCs w:val="21"/>
                    </w:rPr>
                  </w:pPr>
                  <w:r>
                    <w:rPr>
                      <w:color w:val="FF0000"/>
                    </w:rPr>
                    <w:t>污染类别</w:t>
                  </w:r>
                </w:p>
              </w:tc>
              <w:tc>
                <w:tcPr>
                  <w:tcW w:w="1773" w:type="dxa"/>
                  <w:tcBorders>
                    <w:tl2br w:val="nil"/>
                    <w:tr2bl w:val="nil"/>
                  </w:tcBorders>
                  <w:vAlign w:val="center"/>
                </w:tcPr>
                <w:p w14:paraId="7A1A109F">
                  <w:pPr>
                    <w:pStyle w:val="56"/>
                    <w:bidi w:val="0"/>
                    <w:rPr>
                      <w:color w:val="FF0000"/>
                      <w:szCs w:val="21"/>
                    </w:rPr>
                  </w:pPr>
                  <w:r>
                    <w:rPr>
                      <w:color w:val="FF0000"/>
                    </w:rPr>
                    <w:t>来源</w:t>
                  </w:r>
                </w:p>
              </w:tc>
              <w:tc>
                <w:tcPr>
                  <w:tcW w:w="634" w:type="dxa"/>
                  <w:tcBorders>
                    <w:tl2br w:val="nil"/>
                    <w:tr2bl w:val="nil"/>
                  </w:tcBorders>
                  <w:vAlign w:val="center"/>
                </w:tcPr>
                <w:p w14:paraId="4EEED8D9">
                  <w:pPr>
                    <w:pStyle w:val="56"/>
                    <w:bidi w:val="0"/>
                    <w:rPr>
                      <w:color w:val="FF0000"/>
                      <w:szCs w:val="21"/>
                    </w:rPr>
                  </w:pPr>
                  <w:r>
                    <w:rPr>
                      <w:rFonts w:hint="eastAsia"/>
                      <w:color w:val="FF0000"/>
                    </w:rPr>
                    <w:t>编号</w:t>
                  </w:r>
                </w:p>
              </w:tc>
              <w:tc>
                <w:tcPr>
                  <w:tcW w:w="2704" w:type="dxa"/>
                  <w:tcBorders>
                    <w:tl2br w:val="nil"/>
                    <w:tr2bl w:val="nil"/>
                  </w:tcBorders>
                  <w:vAlign w:val="center"/>
                </w:tcPr>
                <w:p w14:paraId="758CB7D1">
                  <w:pPr>
                    <w:pStyle w:val="56"/>
                    <w:bidi w:val="0"/>
                    <w:rPr>
                      <w:color w:val="FF0000"/>
                      <w:szCs w:val="21"/>
                    </w:rPr>
                  </w:pPr>
                  <w:r>
                    <w:rPr>
                      <w:color w:val="FF0000"/>
                    </w:rPr>
                    <w:t>污染物种类</w:t>
                  </w:r>
                </w:p>
              </w:tc>
              <w:tc>
                <w:tcPr>
                  <w:tcW w:w="2352" w:type="dxa"/>
                  <w:tcBorders>
                    <w:tl2br w:val="nil"/>
                    <w:tr2bl w:val="nil"/>
                  </w:tcBorders>
                  <w:vAlign w:val="center"/>
                </w:tcPr>
                <w:p w14:paraId="56F4675A">
                  <w:pPr>
                    <w:pStyle w:val="56"/>
                    <w:bidi w:val="0"/>
                    <w:rPr>
                      <w:rFonts w:hint="default" w:eastAsia="宋体"/>
                      <w:color w:val="FF0000"/>
                      <w:szCs w:val="21"/>
                      <w:lang w:val="en-US" w:eastAsia="zh-CN"/>
                    </w:rPr>
                  </w:pPr>
                  <w:r>
                    <w:rPr>
                      <w:rFonts w:hint="eastAsia"/>
                      <w:color w:val="FF0000"/>
                      <w:lang w:val="en-US" w:eastAsia="zh-CN"/>
                    </w:rPr>
                    <w:t>处理方式</w:t>
                  </w:r>
                </w:p>
              </w:tc>
            </w:tr>
            <w:tr w14:paraId="3FF5C44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142" w:hRule="atLeast"/>
                <w:jc w:val="center"/>
              </w:trPr>
              <w:tc>
                <w:tcPr>
                  <w:tcW w:w="922" w:type="dxa"/>
                  <w:vMerge w:val="restart"/>
                  <w:tcBorders>
                    <w:tl2br w:val="nil"/>
                    <w:tr2bl w:val="nil"/>
                  </w:tcBorders>
                  <w:shd w:val="clear" w:color="auto" w:fill="auto"/>
                  <w:vAlign w:val="center"/>
                </w:tcPr>
                <w:p w14:paraId="457C6DFC">
                  <w:pPr>
                    <w:pStyle w:val="56"/>
                    <w:bidi w:val="0"/>
                    <w:rPr>
                      <w:color w:val="FF0000"/>
                      <w:szCs w:val="21"/>
                    </w:rPr>
                  </w:pPr>
                  <w:r>
                    <w:rPr>
                      <w:color w:val="FF0000"/>
                    </w:rPr>
                    <w:t>废气</w:t>
                  </w:r>
                </w:p>
              </w:tc>
              <w:tc>
                <w:tcPr>
                  <w:tcW w:w="1773" w:type="dxa"/>
                  <w:tcBorders>
                    <w:tl2br w:val="nil"/>
                    <w:tr2bl w:val="nil"/>
                  </w:tcBorders>
                  <w:vAlign w:val="center"/>
                </w:tcPr>
                <w:p w14:paraId="70DC6D60">
                  <w:pPr>
                    <w:pStyle w:val="56"/>
                    <w:bidi w:val="0"/>
                    <w:rPr>
                      <w:rFonts w:hint="default"/>
                      <w:color w:val="FF0000"/>
                      <w:szCs w:val="21"/>
                      <w:lang w:val="en-US" w:eastAsia="zh-CN"/>
                    </w:rPr>
                  </w:pPr>
                  <w:r>
                    <w:rPr>
                      <w:rFonts w:hint="eastAsia"/>
                      <w:color w:val="FF0000"/>
                      <w:lang w:val="en-US" w:eastAsia="zh-CN"/>
                    </w:rPr>
                    <w:t>汽车运输扬尘</w:t>
                  </w:r>
                </w:p>
              </w:tc>
              <w:tc>
                <w:tcPr>
                  <w:tcW w:w="634" w:type="dxa"/>
                  <w:tcBorders>
                    <w:tl2br w:val="nil"/>
                    <w:tr2bl w:val="nil"/>
                  </w:tcBorders>
                  <w:shd w:val="clear" w:color="auto" w:fill="auto"/>
                  <w:vAlign w:val="center"/>
                </w:tcPr>
                <w:p w14:paraId="23354B7E">
                  <w:pPr>
                    <w:pStyle w:val="56"/>
                    <w:bidi w:val="0"/>
                    <w:rPr>
                      <w:rFonts w:hint="eastAsia" w:ascii="Times New Roman" w:hAnsi="Times New Roman" w:eastAsia="宋体" w:cs="Times New Roman"/>
                      <w:color w:val="FF0000"/>
                      <w:kern w:val="0"/>
                      <w:szCs w:val="21"/>
                      <w:lang w:val="en-US" w:eastAsia="zh-CN" w:bidi="ar-SA"/>
                    </w:rPr>
                  </w:pPr>
                  <w:r>
                    <w:rPr>
                      <w:rFonts w:hint="eastAsia"/>
                      <w:color w:val="FF0000"/>
                      <w:lang w:val="en-US" w:eastAsia="zh-CN"/>
                    </w:rPr>
                    <w:t>G1</w:t>
                  </w:r>
                </w:p>
              </w:tc>
              <w:tc>
                <w:tcPr>
                  <w:tcW w:w="2704" w:type="dxa"/>
                  <w:tcBorders>
                    <w:tl2br w:val="nil"/>
                    <w:tr2bl w:val="nil"/>
                  </w:tcBorders>
                  <w:vAlign w:val="center"/>
                </w:tcPr>
                <w:p w14:paraId="6C195590">
                  <w:pPr>
                    <w:pStyle w:val="56"/>
                    <w:bidi w:val="0"/>
                    <w:rPr>
                      <w:rFonts w:hint="default"/>
                      <w:color w:val="FF0000"/>
                      <w:szCs w:val="21"/>
                      <w:lang w:val="en-US" w:eastAsia="zh-CN"/>
                    </w:rPr>
                  </w:pPr>
                  <w:r>
                    <w:rPr>
                      <w:rFonts w:hint="eastAsia"/>
                      <w:color w:val="FF0000"/>
                      <w:lang w:val="en-US" w:eastAsia="zh-CN"/>
                    </w:rPr>
                    <w:t>颗粒物</w:t>
                  </w:r>
                </w:p>
              </w:tc>
              <w:tc>
                <w:tcPr>
                  <w:tcW w:w="2352" w:type="dxa"/>
                  <w:tcBorders>
                    <w:tl2br w:val="nil"/>
                    <w:tr2bl w:val="nil"/>
                  </w:tcBorders>
                  <w:vAlign w:val="center"/>
                </w:tcPr>
                <w:p w14:paraId="45C309EE">
                  <w:pPr>
                    <w:pStyle w:val="56"/>
                    <w:bidi w:val="0"/>
                    <w:rPr>
                      <w:rFonts w:hint="default"/>
                      <w:color w:val="FF0000"/>
                      <w:szCs w:val="21"/>
                      <w:lang w:val="en-US" w:eastAsia="zh-CN"/>
                    </w:rPr>
                  </w:pPr>
                  <w:r>
                    <w:rPr>
                      <w:rFonts w:hint="eastAsia"/>
                      <w:color w:val="FF0000"/>
                      <w:lang w:val="en-US" w:eastAsia="zh-CN"/>
                    </w:rPr>
                    <w:t>车辆冲洗，洒水抑尘</w:t>
                  </w:r>
                </w:p>
              </w:tc>
            </w:tr>
            <w:tr w14:paraId="0F674C7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jc w:val="center"/>
              </w:trPr>
              <w:tc>
                <w:tcPr>
                  <w:tcW w:w="922" w:type="dxa"/>
                  <w:vMerge w:val="continue"/>
                  <w:tcBorders>
                    <w:tl2br w:val="nil"/>
                    <w:tr2bl w:val="nil"/>
                  </w:tcBorders>
                  <w:shd w:val="clear" w:color="auto" w:fill="auto"/>
                  <w:vAlign w:val="center"/>
                </w:tcPr>
                <w:p w14:paraId="59B7C585">
                  <w:pPr>
                    <w:pStyle w:val="56"/>
                    <w:spacing w:line="240" w:lineRule="auto"/>
                    <w:jc w:val="center"/>
                    <w:rPr>
                      <w:color w:val="FF0000"/>
                      <w:sz w:val="21"/>
                      <w:szCs w:val="21"/>
                    </w:rPr>
                  </w:pPr>
                </w:p>
              </w:tc>
              <w:tc>
                <w:tcPr>
                  <w:tcW w:w="1773" w:type="dxa"/>
                  <w:tcBorders>
                    <w:tl2br w:val="nil"/>
                    <w:tr2bl w:val="nil"/>
                  </w:tcBorders>
                  <w:vAlign w:val="center"/>
                </w:tcPr>
                <w:p w14:paraId="563EC236">
                  <w:pPr>
                    <w:pStyle w:val="56"/>
                    <w:bidi w:val="0"/>
                    <w:rPr>
                      <w:rFonts w:hint="default"/>
                      <w:color w:val="FF0000"/>
                      <w:szCs w:val="21"/>
                      <w:lang w:val="en-US" w:eastAsia="zh-CN"/>
                    </w:rPr>
                  </w:pPr>
                  <w:r>
                    <w:rPr>
                      <w:rFonts w:hint="eastAsia"/>
                      <w:color w:val="FF0000"/>
                      <w:lang w:val="en-US" w:eastAsia="zh-CN"/>
                    </w:rPr>
                    <w:t>卸料、仓储粉尘</w:t>
                  </w:r>
                </w:p>
              </w:tc>
              <w:tc>
                <w:tcPr>
                  <w:tcW w:w="634" w:type="dxa"/>
                  <w:tcBorders>
                    <w:tl2br w:val="nil"/>
                    <w:tr2bl w:val="nil"/>
                  </w:tcBorders>
                  <w:shd w:val="clear" w:color="auto" w:fill="auto"/>
                  <w:vAlign w:val="center"/>
                </w:tcPr>
                <w:p w14:paraId="1EAD6D30">
                  <w:pPr>
                    <w:pStyle w:val="56"/>
                    <w:bidi w:val="0"/>
                    <w:rPr>
                      <w:rFonts w:hint="eastAsia"/>
                      <w:color w:val="FF0000"/>
                      <w:szCs w:val="21"/>
                      <w:lang w:val="en-US" w:eastAsia="zh-CN"/>
                    </w:rPr>
                  </w:pPr>
                  <w:r>
                    <w:rPr>
                      <w:rFonts w:hint="eastAsia"/>
                      <w:color w:val="FF0000"/>
                      <w:lang w:val="en-US" w:eastAsia="zh-CN"/>
                    </w:rPr>
                    <w:t>G2</w:t>
                  </w:r>
                </w:p>
              </w:tc>
              <w:tc>
                <w:tcPr>
                  <w:tcW w:w="2704" w:type="dxa"/>
                  <w:tcBorders>
                    <w:tl2br w:val="nil"/>
                    <w:tr2bl w:val="nil"/>
                  </w:tcBorders>
                  <w:vAlign w:val="center"/>
                </w:tcPr>
                <w:p w14:paraId="208B4BE7">
                  <w:pPr>
                    <w:pStyle w:val="56"/>
                    <w:bidi w:val="0"/>
                    <w:rPr>
                      <w:rFonts w:hint="default"/>
                      <w:color w:val="FF0000"/>
                      <w:szCs w:val="21"/>
                      <w:lang w:val="en-US" w:eastAsia="zh-CN"/>
                    </w:rPr>
                  </w:pPr>
                  <w:r>
                    <w:rPr>
                      <w:rFonts w:hint="eastAsia"/>
                      <w:color w:val="FF0000"/>
                      <w:lang w:val="en-US" w:eastAsia="zh-CN"/>
                    </w:rPr>
                    <w:t>颗粒物</w:t>
                  </w:r>
                </w:p>
              </w:tc>
              <w:tc>
                <w:tcPr>
                  <w:tcW w:w="2352" w:type="dxa"/>
                  <w:tcBorders>
                    <w:tl2br w:val="nil"/>
                    <w:tr2bl w:val="nil"/>
                  </w:tcBorders>
                  <w:vAlign w:val="center"/>
                </w:tcPr>
                <w:p w14:paraId="7281E430">
                  <w:pPr>
                    <w:pStyle w:val="56"/>
                    <w:bidi w:val="0"/>
                    <w:rPr>
                      <w:rFonts w:hint="default"/>
                      <w:color w:val="FF0000"/>
                      <w:szCs w:val="21"/>
                      <w:lang w:val="en-US" w:eastAsia="zh-CN"/>
                    </w:rPr>
                  </w:pPr>
                  <w:r>
                    <w:rPr>
                      <w:rFonts w:hint="eastAsia"/>
                      <w:color w:val="FF0000"/>
                      <w:lang w:val="en-US" w:eastAsia="zh-CN"/>
                    </w:rPr>
                    <w:t>车间密闭，洒水抑尘</w:t>
                  </w:r>
                </w:p>
              </w:tc>
            </w:tr>
            <w:tr w14:paraId="21E9CEF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jc w:val="center"/>
              </w:trPr>
              <w:tc>
                <w:tcPr>
                  <w:tcW w:w="922" w:type="dxa"/>
                  <w:vMerge w:val="continue"/>
                  <w:tcBorders>
                    <w:tl2br w:val="nil"/>
                    <w:tr2bl w:val="nil"/>
                  </w:tcBorders>
                  <w:shd w:val="clear" w:color="auto" w:fill="auto"/>
                  <w:vAlign w:val="center"/>
                </w:tcPr>
                <w:p w14:paraId="3003FBFD">
                  <w:pPr>
                    <w:pStyle w:val="56"/>
                    <w:spacing w:line="240" w:lineRule="auto"/>
                    <w:jc w:val="center"/>
                    <w:rPr>
                      <w:color w:val="FF0000"/>
                      <w:sz w:val="21"/>
                      <w:szCs w:val="21"/>
                    </w:rPr>
                  </w:pPr>
                </w:p>
              </w:tc>
              <w:tc>
                <w:tcPr>
                  <w:tcW w:w="1773" w:type="dxa"/>
                  <w:tcBorders>
                    <w:tl2br w:val="nil"/>
                    <w:tr2bl w:val="nil"/>
                  </w:tcBorders>
                  <w:vAlign w:val="center"/>
                </w:tcPr>
                <w:p w14:paraId="36A869D6">
                  <w:pPr>
                    <w:pStyle w:val="56"/>
                    <w:bidi w:val="0"/>
                    <w:rPr>
                      <w:rFonts w:hint="default"/>
                      <w:color w:val="FF0000"/>
                      <w:szCs w:val="21"/>
                      <w:lang w:val="en-US" w:eastAsia="zh-CN"/>
                    </w:rPr>
                  </w:pPr>
                  <w:r>
                    <w:rPr>
                      <w:rFonts w:hint="eastAsia"/>
                      <w:color w:val="FF0000"/>
                      <w:lang w:val="en-US" w:eastAsia="zh-CN"/>
                    </w:rPr>
                    <w:t>投料、输送粉尘</w:t>
                  </w:r>
                </w:p>
              </w:tc>
              <w:tc>
                <w:tcPr>
                  <w:tcW w:w="634" w:type="dxa"/>
                  <w:tcBorders>
                    <w:tl2br w:val="nil"/>
                    <w:tr2bl w:val="nil"/>
                  </w:tcBorders>
                  <w:shd w:val="clear" w:color="auto" w:fill="auto"/>
                  <w:vAlign w:val="center"/>
                </w:tcPr>
                <w:p w14:paraId="1605FF94">
                  <w:pPr>
                    <w:pStyle w:val="56"/>
                    <w:bidi w:val="0"/>
                    <w:rPr>
                      <w:rFonts w:hint="default" w:ascii="Times New Roman" w:hAnsi="Times New Roman" w:eastAsia="宋体" w:cs="Times New Roman"/>
                      <w:color w:val="FF0000"/>
                      <w:kern w:val="0"/>
                      <w:szCs w:val="21"/>
                      <w:lang w:val="en-US" w:eastAsia="zh-CN" w:bidi="ar-SA"/>
                    </w:rPr>
                  </w:pPr>
                  <w:r>
                    <w:rPr>
                      <w:rFonts w:hint="eastAsia"/>
                      <w:color w:val="FF0000"/>
                    </w:rPr>
                    <w:t>G</w:t>
                  </w:r>
                  <w:r>
                    <w:rPr>
                      <w:rFonts w:hint="eastAsia"/>
                      <w:color w:val="FF0000"/>
                      <w:lang w:val="en-US" w:eastAsia="zh-CN"/>
                    </w:rPr>
                    <w:t>3</w:t>
                  </w:r>
                </w:p>
              </w:tc>
              <w:tc>
                <w:tcPr>
                  <w:tcW w:w="2704" w:type="dxa"/>
                  <w:tcBorders>
                    <w:tl2br w:val="nil"/>
                    <w:tr2bl w:val="nil"/>
                  </w:tcBorders>
                  <w:vAlign w:val="center"/>
                </w:tcPr>
                <w:p w14:paraId="09F21175">
                  <w:pPr>
                    <w:pStyle w:val="56"/>
                    <w:bidi w:val="0"/>
                    <w:rPr>
                      <w:rFonts w:hint="default"/>
                      <w:color w:val="FF0000"/>
                      <w:szCs w:val="21"/>
                      <w:lang w:val="en-US" w:eastAsia="zh-CN"/>
                    </w:rPr>
                  </w:pPr>
                  <w:r>
                    <w:rPr>
                      <w:rFonts w:hint="eastAsia"/>
                      <w:color w:val="FF0000"/>
                      <w:lang w:val="en-US" w:eastAsia="zh-CN"/>
                    </w:rPr>
                    <w:t>颗粒物</w:t>
                  </w:r>
                </w:p>
              </w:tc>
              <w:tc>
                <w:tcPr>
                  <w:tcW w:w="2352" w:type="dxa"/>
                  <w:tcBorders>
                    <w:tl2br w:val="nil"/>
                    <w:tr2bl w:val="nil"/>
                  </w:tcBorders>
                  <w:vAlign w:val="center"/>
                </w:tcPr>
                <w:p w14:paraId="73B44583">
                  <w:pPr>
                    <w:pStyle w:val="56"/>
                    <w:bidi w:val="0"/>
                    <w:rPr>
                      <w:rFonts w:hint="default"/>
                      <w:color w:val="FF0000"/>
                      <w:szCs w:val="21"/>
                      <w:lang w:val="en-US" w:eastAsia="zh-CN"/>
                    </w:rPr>
                  </w:pPr>
                  <w:r>
                    <w:rPr>
                      <w:rFonts w:hint="eastAsia"/>
                      <w:color w:val="FF0000"/>
                      <w:lang w:val="en-US" w:eastAsia="zh-CN"/>
                    </w:rPr>
                    <w:t>车间密闭、洒水抑尘</w:t>
                  </w:r>
                </w:p>
              </w:tc>
            </w:tr>
            <w:tr w14:paraId="27AA92A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jc w:val="center"/>
              </w:trPr>
              <w:tc>
                <w:tcPr>
                  <w:tcW w:w="922" w:type="dxa"/>
                  <w:vMerge w:val="continue"/>
                  <w:tcBorders>
                    <w:tl2br w:val="nil"/>
                    <w:tr2bl w:val="nil"/>
                  </w:tcBorders>
                  <w:shd w:val="clear" w:color="auto" w:fill="auto"/>
                  <w:vAlign w:val="center"/>
                </w:tcPr>
                <w:p w14:paraId="043AD351">
                  <w:pPr>
                    <w:pStyle w:val="56"/>
                    <w:spacing w:line="240" w:lineRule="auto"/>
                    <w:jc w:val="center"/>
                    <w:rPr>
                      <w:color w:val="FF0000"/>
                      <w:sz w:val="21"/>
                      <w:szCs w:val="21"/>
                    </w:rPr>
                  </w:pPr>
                </w:p>
              </w:tc>
              <w:tc>
                <w:tcPr>
                  <w:tcW w:w="1773" w:type="dxa"/>
                  <w:tcBorders>
                    <w:tl2br w:val="nil"/>
                    <w:tr2bl w:val="nil"/>
                  </w:tcBorders>
                  <w:vAlign w:val="center"/>
                </w:tcPr>
                <w:p w14:paraId="09579A92">
                  <w:pPr>
                    <w:pStyle w:val="56"/>
                    <w:bidi w:val="0"/>
                    <w:rPr>
                      <w:rFonts w:hint="default" w:eastAsia="宋体"/>
                      <w:color w:val="FF0000"/>
                      <w:szCs w:val="21"/>
                      <w:lang w:val="en-US" w:eastAsia="zh-CN"/>
                    </w:rPr>
                  </w:pPr>
                  <w:r>
                    <w:rPr>
                      <w:rFonts w:hint="eastAsia"/>
                      <w:color w:val="FF0000"/>
                      <w:lang w:val="en-US" w:eastAsia="zh-CN"/>
                    </w:rPr>
                    <w:t>配料、搅拌</w:t>
                  </w:r>
                </w:p>
              </w:tc>
              <w:tc>
                <w:tcPr>
                  <w:tcW w:w="634" w:type="dxa"/>
                  <w:tcBorders>
                    <w:tl2br w:val="nil"/>
                    <w:tr2bl w:val="nil"/>
                  </w:tcBorders>
                  <w:vAlign w:val="center"/>
                </w:tcPr>
                <w:p w14:paraId="1CDAEAE0">
                  <w:pPr>
                    <w:pStyle w:val="56"/>
                    <w:bidi w:val="0"/>
                    <w:rPr>
                      <w:rFonts w:hint="eastAsia" w:eastAsia="宋体"/>
                      <w:color w:val="FF0000"/>
                      <w:szCs w:val="21"/>
                      <w:lang w:eastAsia="zh-CN"/>
                    </w:rPr>
                  </w:pPr>
                  <w:r>
                    <w:rPr>
                      <w:rFonts w:hint="eastAsia"/>
                      <w:color w:val="FF0000"/>
                    </w:rPr>
                    <w:t>G</w:t>
                  </w:r>
                  <w:r>
                    <w:rPr>
                      <w:rFonts w:hint="eastAsia"/>
                      <w:color w:val="FF0000"/>
                      <w:lang w:val="en-US" w:eastAsia="zh-CN"/>
                    </w:rPr>
                    <w:t>4</w:t>
                  </w:r>
                </w:p>
              </w:tc>
              <w:tc>
                <w:tcPr>
                  <w:tcW w:w="2704" w:type="dxa"/>
                  <w:tcBorders>
                    <w:tl2br w:val="nil"/>
                    <w:tr2bl w:val="nil"/>
                  </w:tcBorders>
                  <w:vAlign w:val="center"/>
                </w:tcPr>
                <w:p w14:paraId="6CA9B5FC">
                  <w:pPr>
                    <w:pStyle w:val="56"/>
                    <w:bidi w:val="0"/>
                    <w:rPr>
                      <w:rFonts w:hint="default" w:eastAsia="宋体"/>
                      <w:color w:val="FF0000"/>
                      <w:szCs w:val="21"/>
                      <w:lang w:val="en-US" w:eastAsia="zh-CN"/>
                    </w:rPr>
                  </w:pPr>
                  <w:r>
                    <w:rPr>
                      <w:rFonts w:hint="eastAsia"/>
                      <w:color w:val="FF0000"/>
                      <w:lang w:val="en-US" w:eastAsia="zh-CN"/>
                    </w:rPr>
                    <w:t>颗粒物</w:t>
                  </w:r>
                </w:p>
              </w:tc>
              <w:tc>
                <w:tcPr>
                  <w:tcW w:w="2352" w:type="dxa"/>
                  <w:tcBorders>
                    <w:tl2br w:val="nil"/>
                    <w:tr2bl w:val="nil"/>
                  </w:tcBorders>
                  <w:vAlign w:val="center"/>
                </w:tcPr>
                <w:p w14:paraId="20C504FE">
                  <w:pPr>
                    <w:pStyle w:val="56"/>
                    <w:bidi w:val="0"/>
                    <w:rPr>
                      <w:rFonts w:hint="default"/>
                      <w:color w:val="FF0000"/>
                      <w:szCs w:val="21"/>
                      <w:lang w:val="en-US" w:eastAsia="zh-CN"/>
                    </w:rPr>
                  </w:pPr>
                  <w:r>
                    <w:rPr>
                      <w:rFonts w:hint="eastAsia"/>
                      <w:color w:val="FF0000"/>
                      <w:lang w:val="en-US" w:eastAsia="zh-CN"/>
                    </w:rPr>
                    <w:t>布袋除尘</w:t>
                  </w:r>
                </w:p>
              </w:tc>
            </w:tr>
            <w:tr w14:paraId="48708FD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jc w:val="center"/>
              </w:trPr>
              <w:tc>
                <w:tcPr>
                  <w:tcW w:w="922" w:type="dxa"/>
                  <w:vMerge w:val="continue"/>
                  <w:tcBorders>
                    <w:tl2br w:val="nil"/>
                    <w:tr2bl w:val="nil"/>
                  </w:tcBorders>
                  <w:shd w:val="clear" w:color="auto" w:fill="auto"/>
                  <w:vAlign w:val="center"/>
                </w:tcPr>
                <w:p w14:paraId="1C1FEF4A">
                  <w:pPr>
                    <w:pStyle w:val="56"/>
                    <w:spacing w:line="240" w:lineRule="auto"/>
                    <w:jc w:val="center"/>
                    <w:rPr>
                      <w:color w:val="FF0000"/>
                      <w:sz w:val="21"/>
                      <w:szCs w:val="21"/>
                    </w:rPr>
                  </w:pPr>
                </w:p>
              </w:tc>
              <w:tc>
                <w:tcPr>
                  <w:tcW w:w="1773" w:type="dxa"/>
                  <w:tcBorders>
                    <w:tl2br w:val="nil"/>
                    <w:tr2bl w:val="nil"/>
                  </w:tcBorders>
                  <w:vAlign w:val="center"/>
                </w:tcPr>
                <w:p w14:paraId="665880FF">
                  <w:pPr>
                    <w:pStyle w:val="56"/>
                    <w:bidi w:val="0"/>
                    <w:rPr>
                      <w:rFonts w:hint="default"/>
                      <w:color w:val="FF0000"/>
                      <w:szCs w:val="21"/>
                      <w:lang w:val="en-US" w:eastAsia="zh-CN"/>
                    </w:rPr>
                  </w:pPr>
                  <w:r>
                    <w:rPr>
                      <w:rFonts w:hint="eastAsia"/>
                      <w:color w:val="FF0000"/>
                      <w:lang w:val="en-US" w:eastAsia="zh-CN"/>
                    </w:rPr>
                    <w:t>焊接</w:t>
                  </w:r>
                </w:p>
              </w:tc>
              <w:tc>
                <w:tcPr>
                  <w:tcW w:w="634" w:type="dxa"/>
                  <w:tcBorders>
                    <w:tl2br w:val="nil"/>
                    <w:tr2bl w:val="nil"/>
                  </w:tcBorders>
                  <w:vAlign w:val="center"/>
                </w:tcPr>
                <w:p w14:paraId="1B05F5AE">
                  <w:pPr>
                    <w:pStyle w:val="56"/>
                    <w:bidi w:val="0"/>
                    <w:rPr>
                      <w:rFonts w:hint="default" w:eastAsia="宋体"/>
                      <w:color w:val="FF0000"/>
                      <w:szCs w:val="21"/>
                      <w:lang w:val="en-US" w:eastAsia="zh-CN"/>
                    </w:rPr>
                  </w:pPr>
                  <w:r>
                    <w:rPr>
                      <w:rFonts w:hint="eastAsia"/>
                      <w:color w:val="FF0000"/>
                      <w:lang w:val="en-US" w:eastAsia="zh-CN"/>
                    </w:rPr>
                    <w:t>G5</w:t>
                  </w:r>
                </w:p>
              </w:tc>
              <w:tc>
                <w:tcPr>
                  <w:tcW w:w="2704" w:type="dxa"/>
                  <w:tcBorders>
                    <w:tl2br w:val="nil"/>
                    <w:tr2bl w:val="nil"/>
                  </w:tcBorders>
                  <w:vAlign w:val="center"/>
                </w:tcPr>
                <w:p w14:paraId="2E59BD0C">
                  <w:pPr>
                    <w:pStyle w:val="56"/>
                    <w:bidi w:val="0"/>
                    <w:rPr>
                      <w:rFonts w:hint="default"/>
                      <w:color w:val="FF0000"/>
                      <w:szCs w:val="21"/>
                      <w:lang w:val="en-US" w:eastAsia="zh-CN"/>
                    </w:rPr>
                  </w:pPr>
                  <w:r>
                    <w:rPr>
                      <w:rFonts w:hint="eastAsia"/>
                      <w:color w:val="FF0000"/>
                      <w:lang w:val="en-US" w:eastAsia="zh-CN"/>
                    </w:rPr>
                    <w:t>焊接烟尘</w:t>
                  </w:r>
                </w:p>
              </w:tc>
              <w:tc>
                <w:tcPr>
                  <w:tcW w:w="2352" w:type="dxa"/>
                  <w:tcBorders>
                    <w:tl2br w:val="nil"/>
                    <w:tr2bl w:val="nil"/>
                  </w:tcBorders>
                  <w:vAlign w:val="center"/>
                </w:tcPr>
                <w:p w14:paraId="6DFE8AC9">
                  <w:pPr>
                    <w:pStyle w:val="56"/>
                    <w:bidi w:val="0"/>
                    <w:rPr>
                      <w:rFonts w:hint="default"/>
                      <w:color w:val="FF0000"/>
                      <w:szCs w:val="21"/>
                      <w:lang w:val="en-US" w:eastAsia="zh-CN"/>
                    </w:rPr>
                  </w:pPr>
                  <w:r>
                    <w:rPr>
                      <w:rFonts w:hint="eastAsia"/>
                      <w:color w:val="FF0000"/>
                      <w:lang w:val="en-US" w:eastAsia="zh-CN"/>
                    </w:rPr>
                    <w:t>移动式焊烟净化器</w:t>
                  </w:r>
                </w:p>
              </w:tc>
            </w:tr>
            <w:tr w14:paraId="66547EA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jc w:val="center"/>
              </w:trPr>
              <w:tc>
                <w:tcPr>
                  <w:tcW w:w="922" w:type="dxa"/>
                  <w:vMerge w:val="continue"/>
                  <w:tcBorders>
                    <w:tl2br w:val="nil"/>
                    <w:tr2bl w:val="nil"/>
                  </w:tcBorders>
                  <w:shd w:val="clear" w:color="auto" w:fill="auto"/>
                  <w:vAlign w:val="center"/>
                </w:tcPr>
                <w:p w14:paraId="33035FED">
                  <w:pPr>
                    <w:pStyle w:val="56"/>
                    <w:spacing w:line="240" w:lineRule="auto"/>
                    <w:jc w:val="center"/>
                    <w:rPr>
                      <w:color w:val="FF0000"/>
                      <w:sz w:val="21"/>
                      <w:szCs w:val="21"/>
                    </w:rPr>
                  </w:pPr>
                </w:p>
              </w:tc>
              <w:tc>
                <w:tcPr>
                  <w:tcW w:w="1773" w:type="dxa"/>
                  <w:tcBorders>
                    <w:tl2br w:val="nil"/>
                    <w:tr2bl w:val="nil"/>
                  </w:tcBorders>
                  <w:vAlign w:val="center"/>
                </w:tcPr>
                <w:p w14:paraId="7CFB64FC">
                  <w:pPr>
                    <w:pStyle w:val="56"/>
                    <w:bidi w:val="0"/>
                    <w:rPr>
                      <w:rFonts w:hint="eastAsia"/>
                      <w:color w:val="FF0000"/>
                      <w:lang w:val="en-US" w:eastAsia="zh-CN"/>
                    </w:rPr>
                  </w:pPr>
                  <w:r>
                    <w:rPr>
                      <w:rFonts w:hint="eastAsia"/>
                      <w:color w:val="FF0000"/>
                      <w:lang w:val="en-US" w:eastAsia="zh-CN"/>
                    </w:rPr>
                    <w:t>设备冲洗废水</w:t>
                  </w:r>
                </w:p>
              </w:tc>
              <w:tc>
                <w:tcPr>
                  <w:tcW w:w="634" w:type="dxa"/>
                  <w:tcBorders>
                    <w:tl2br w:val="nil"/>
                    <w:tr2bl w:val="nil"/>
                  </w:tcBorders>
                  <w:vAlign w:val="center"/>
                </w:tcPr>
                <w:p w14:paraId="16F154A3">
                  <w:pPr>
                    <w:pStyle w:val="56"/>
                    <w:bidi w:val="0"/>
                    <w:rPr>
                      <w:rFonts w:hint="default"/>
                      <w:color w:val="FF0000"/>
                      <w:lang w:val="en-US" w:eastAsia="zh-CN"/>
                    </w:rPr>
                  </w:pPr>
                  <w:r>
                    <w:rPr>
                      <w:rFonts w:hint="eastAsia"/>
                      <w:color w:val="FF0000"/>
                      <w:lang w:val="en-US" w:eastAsia="zh-CN"/>
                    </w:rPr>
                    <w:t>W1</w:t>
                  </w:r>
                </w:p>
              </w:tc>
              <w:tc>
                <w:tcPr>
                  <w:tcW w:w="2704" w:type="dxa"/>
                  <w:tcBorders>
                    <w:tl2br w:val="nil"/>
                    <w:tr2bl w:val="nil"/>
                  </w:tcBorders>
                  <w:vAlign w:val="center"/>
                </w:tcPr>
                <w:p w14:paraId="0032B528">
                  <w:pPr>
                    <w:pStyle w:val="56"/>
                    <w:bidi w:val="0"/>
                    <w:rPr>
                      <w:rFonts w:hint="default"/>
                      <w:color w:val="FF0000"/>
                      <w:lang w:val="en-US" w:eastAsia="zh-CN"/>
                    </w:rPr>
                  </w:pPr>
                  <w:r>
                    <w:rPr>
                      <w:rFonts w:hint="eastAsia"/>
                      <w:color w:val="FF0000"/>
                      <w:lang w:val="en-US" w:eastAsia="zh-CN"/>
                    </w:rPr>
                    <w:t>SS</w:t>
                  </w:r>
                </w:p>
              </w:tc>
              <w:tc>
                <w:tcPr>
                  <w:tcW w:w="2352" w:type="dxa"/>
                  <w:tcBorders>
                    <w:tl2br w:val="nil"/>
                    <w:tr2bl w:val="nil"/>
                  </w:tcBorders>
                  <w:vAlign w:val="center"/>
                </w:tcPr>
                <w:p w14:paraId="14345FD7">
                  <w:pPr>
                    <w:pStyle w:val="56"/>
                    <w:bidi w:val="0"/>
                    <w:rPr>
                      <w:rFonts w:hint="eastAsia"/>
                      <w:color w:val="FF0000"/>
                      <w:lang w:val="en-US" w:eastAsia="zh-CN"/>
                    </w:rPr>
                  </w:pPr>
                  <w:r>
                    <w:rPr>
                      <w:rFonts w:hint="eastAsia"/>
                      <w:color w:val="FF0000"/>
                      <w:lang w:val="en-US" w:eastAsia="zh-CN"/>
                    </w:rPr>
                    <w:t>经沉淀处理后，回用作搅拌用水</w:t>
                  </w:r>
                </w:p>
              </w:tc>
            </w:tr>
            <w:tr w14:paraId="5FFCB74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jc w:val="center"/>
              </w:trPr>
              <w:tc>
                <w:tcPr>
                  <w:tcW w:w="922" w:type="dxa"/>
                  <w:vMerge w:val="continue"/>
                  <w:tcBorders>
                    <w:tl2br w:val="nil"/>
                    <w:tr2bl w:val="nil"/>
                  </w:tcBorders>
                  <w:shd w:val="clear" w:color="auto" w:fill="auto"/>
                  <w:vAlign w:val="center"/>
                </w:tcPr>
                <w:p w14:paraId="2E222EDB">
                  <w:pPr>
                    <w:pStyle w:val="56"/>
                    <w:spacing w:line="240" w:lineRule="auto"/>
                    <w:jc w:val="center"/>
                    <w:rPr>
                      <w:color w:val="FF0000"/>
                      <w:sz w:val="21"/>
                      <w:szCs w:val="21"/>
                    </w:rPr>
                  </w:pPr>
                </w:p>
              </w:tc>
              <w:tc>
                <w:tcPr>
                  <w:tcW w:w="1773" w:type="dxa"/>
                  <w:tcBorders>
                    <w:tl2br w:val="nil"/>
                    <w:tr2bl w:val="nil"/>
                  </w:tcBorders>
                  <w:vAlign w:val="center"/>
                </w:tcPr>
                <w:p w14:paraId="66CD4B33">
                  <w:pPr>
                    <w:pStyle w:val="56"/>
                    <w:bidi w:val="0"/>
                    <w:rPr>
                      <w:rFonts w:hint="eastAsia"/>
                      <w:color w:val="FF0000"/>
                      <w:lang w:val="en-US" w:eastAsia="zh-CN"/>
                    </w:rPr>
                  </w:pPr>
                  <w:r>
                    <w:rPr>
                      <w:rFonts w:hint="eastAsia"/>
                      <w:color w:val="FF0000"/>
                      <w:lang w:val="en-US" w:eastAsia="zh-CN"/>
                    </w:rPr>
                    <w:t>车辆冲洗废水</w:t>
                  </w:r>
                </w:p>
              </w:tc>
              <w:tc>
                <w:tcPr>
                  <w:tcW w:w="634" w:type="dxa"/>
                  <w:tcBorders>
                    <w:tl2br w:val="nil"/>
                    <w:tr2bl w:val="nil"/>
                  </w:tcBorders>
                  <w:vAlign w:val="center"/>
                </w:tcPr>
                <w:p w14:paraId="33E12C69">
                  <w:pPr>
                    <w:pStyle w:val="56"/>
                    <w:bidi w:val="0"/>
                    <w:rPr>
                      <w:rFonts w:hint="default"/>
                      <w:color w:val="FF0000"/>
                      <w:lang w:val="en-US" w:eastAsia="zh-CN"/>
                    </w:rPr>
                  </w:pPr>
                  <w:r>
                    <w:rPr>
                      <w:rFonts w:hint="eastAsia"/>
                      <w:color w:val="FF0000"/>
                      <w:lang w:val="en-US" w:eastAsia="zh-CN"/>
                    </w:rPr>
                    <w:t>W2</w:t>
                  </w:r>
                </w:p>
              </w:tc>
              <w:tc>
                <w:tcPr>
                  <w:tcW w:w="2704" w:type="dxa"/>
                  <w:tcBorders>
                    <w:tl2br w:val="nil"/>
                    <w:tr2bl w:val="nil"/>
                  </w:tcBorders>
                  <w:vAlign w:val="center"/>
                </w:tcPr>
                <w:p w14:paraId="11618D26">
                  <w:pPr>
                    <w:pStyle w:val="56"/>
                    <w:bidi w:val="0"/>
                    <w:rPr>
                      <w:rFonts w:hint="eastAsia"/>
                      <w:color w:val="FF0000"/>
                      <w:lang w:val="en-US" w:eastAsia="zh-CN"/>
                    </w:rPr>
                  </w:pPr>
                  <w:r>
                    <w:rPr>
                      <w:rFonts w:hint="eastAsia"/>
                      <w:color w:val="FF0000"/>
                      <w:lang w:val="en-US" w:eastAsia="zh-CN"/>
                    </w:rPr>
                    <w:t>SS</w:t>
                  </w:r>
                </w:p>
              </w:tc>
              <w:tc>
                <w:tcPr>
                  <w:tcW w:w="2352" w:type="dxa"/>
                  <w:tcBorders>
                    <w:tl2br w:val="nil"/>
                    <w:tr2bl w:val="nil"/>
                  </w:tcBorders>
                  <w:vAlign w:val="center"/>
                </w:tcPr>
                <w:p w14:paraId="0869E53A">
                  <w:pPr>
                    <w:pStyle w:val="56"/>
                    <w:bidi w:val="0"/>
                    <w:rPr>
                      <w:rFonts w:hint="eastAsia"/>
                      <w:color w:val="FF0000"/>
                      <w:lang w:val="en-US" w:eastAsia="zh-CN"/>
                    </w:rPr>
                  </w:pPr>
                  <w:r>
                    <w:rPr>
                      <w:rFonts w:hint="eastAsia"/>
                      <w:color w:val="FF0000"/>
                      <w:lang w:val="en-US" w:eastAsia="zh-CN"/>
                    </w:rPr>
                    <w:t>循环使用不外排</w:t>
                  </w:r>
                </w:p>
              </w:tc>
            </w:tr>
            <w:tr w14:paraId="08E0BDE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jc w:val="center"/>
              </w:trPr>
              <w:tc>
                <w:tcPr>
                  <w:tcW w:w="922" w:type="dxa"/>
                  <w:vMerge w:val="continue"/>
                  <w:tcBorders>
                    <w:tl2br w:val="nil"/>
                    <w:tr2bl w:val="nil"/>
                  </w:tcBorders>
                  <w:shd w:val="clear" w:color="auto" w:fill="auto"/>
                  <w:vAlign w:val="center"/>
                </w:tcPr>
                <w:p w14:paraId="403870EA">
                  <w:pPr>
                    <w:pStyle w:val="56"/>
                    <w:spacing w:line="240" w:lineRule="auto"/>
                    <w:jc w:val="center"/>
                    <w:rPr>
                      <w:color w:val="FF0000"/>
                      <w:sz w:val="21"/>
                      <w:szCs w:val="21"/>
                    </w:rPr>
                  </w:pPr>
                </w:p>
              </w:tc>
              <w:tc>
                <w:tcPr>
                  <w:tcW w:w="1773" w:type="dxa"/>
                  <w:tcBorders>
                    <w:tl2br w:val="nil"/>
                    <w:tr2bl w:val="nil"/>
                  </w:tcBorders>
                  <w:vAlign w:val="center"/>
                </w:tcPr>
                <w:p w14:paraId="67E9A952">
                  <w:pPr>
                    <w:pStyle w:val="56"/>
                    <w:bidi w:val="0"/>
                    <w:rPr>
                      <w:rFonts w:hint="eastAsia"/>
                      <w:color w:val="FF0000"/>
                      <w:lang w:val="en-US" w:eastAsia="zh-CN"/>
                    </w:rPr>
                  </w:pPr>
                  <w:r>
                    <w:rPr>
                      <w:rFonts w:hint="eastAsia"/>
                      <w:color w:val="FF0000"/>
                      <w:lang w:val="en-US" w:eastAsia="zh-CN"/>
                    </w:rPr>
                    <w:t>喷淋降尘及绿化用水</w:t>
                  </w:r>
                </w:p>
              </w:tc>
              <w:tc>
                <w:tcPr>
                  <w:tcW w:w="634" w:type="dxa"/>
                  <w:tcBorders>
                    <w:tl2br w:val="nil"/>
                    <w:tr2bl w:val="nil"/>
                  </w:tcBorders>
                  <w:vAlign w:val="center"/>
                </w:tcPr>
                <w:p w14:paraId="51760030">
                  <w:pPr>
                    <w:pStyle w:val="56"/>
                    <w:bidi w:val="0"/>
                    <w:rPr>
                      <w:rFonts w:hint="default"/>
                      <w:color w:val="FF0000"/>
                      <w:lang w:val="en-US" w:eastAsia="zh-CN"/>
                    </w:rPr>
                  </w:pPr>
                  <w:r>
                    <w:rPr>
                      <w:rFonts w:hint="eastAsia"/>
                      <w:color w:val="FF0000"/>
                      <w:lang w:val="en-US" w:eastAsia="zh-CN"/>
                    </w:rPr>
                    <w:t>W3</w:t>
                  </w:r>
                </w:p>
              </w:tc>
              <w:tc>
                <w:tcPr>
                  <w:tcW w:w="2704" w:type="dxa"/>
                  <w:tcBorders>
                    <w:tl2br w:val="nil"/>
                    <w:tr2bl w:val="nil"/>
                  </w:tcBorders>
                  <w:vAlign w:val="center"/>
                </w:tcPr>
                <w:p w14:paraId="0979E90D">
                  <w:pPr>
                    <w:pStyle w:val="56"/>
                    <w:bidi w:val="0"/>
                    <w:rPr>
                      <w:rFonts w:hint="default"/>
                      <w:color w:val="FF0000"/>
                      <w:lang w:val="en-US" w:eastAsia="zh-CN"/>
                    </w:rPr>
                  </w:pPr>
                  <w:r>
                    <w:rPr>
                      <w:rFonts w:hint="eastAsia"/>
                      <w:color w:val="FF0000"/>
                      <w:lang w:val="en-US" w:eastAsia="zh-CN"/>
                    </w:rPr>
                    <w:t>SS</w:t>
                  </w:r>
                </w:p>
              </w:tc>
              <w:tc>
                <w:tcPr>
                  <w:tcW w:w="2352" w:type="dxa"/>
                  <w:tcBorders>
                    <w:tl2br w:val="nil"/>
                    <w:tr2bl w:val="nil"/>
                  </w:tcBorders>
                  <w:vAlign w:val="center"/>
                </w:tcPr>
                <w:p w14:paraId="6756E06C">
                  <w:pPr>
                    <w:pStyle w:val="56"/>
                    <w:bidi w:val="0"/>
                    <w:rPr>
                      <w:rFonts w:hint="eastAsia"/>
                      <w:color w:val="FF0000"/>
                      <w:lang w:val="en-US" w:eastAsia="zh-CN"/>
                    </w:rPr>
                  </w:pPr>
                  <w:r>
                    <w:rPr>
                      <w:rFonts w:hint="eastAsia"/>
                      <w:color w:val="FF0000"/>
                      <w:lang w:val="en-US" w:eastAsia="zh-CN"/>
                    </w:rPr>
                    <w:t>蒸发损耗不外排</w:t>
                  </w:r>
                </w:p>
              </w:tc>
            </w:tr>
            <w:tr w14:paraId="772ADD7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jc w:val="center"/>
              </w:trPr>
              <w:tc>
                <w:tcPr>
                  <w:tcW w:w="922" w:type="dxa"/>
                  <w:vMerge w:val="continue"/>
                  <w:tcBorders>
                    <w:tl2br w:val="nil"/>
                    <w:tr2bl w:val="nil"/>
                  </w:tcBorders>
                  <w:shd w:val="clear" w:color="auto" w:fill="auto"/>
                  <w:vAlign w:val="center"/>
                </w:tcPr>
                <w:p w14:paraId="6D34B141">
                  <w:pPr>
                    <w:pStyle w:val="56"/>
                    <w:spacing w:line="240" w:lineRule="auto"/>
                    <w:jc w:val="center"/>
                    <w:rPr>
                      <w:color w:val="FF0000"/>
                      <w:sz w:val="21"/>
                      <w:szCs w:val="21"/>
                    </w:rPr>
                  </w:pPr>
                </w:p>
              </w:tc>
              <w:tc>
                <w:tcPr>
                  <w:tcW w:w="1773" w:type="dxa"/>
                  <w:tcBorders>
                    <w:tl2br w:val="nil"/>
                    <w:tr2bl w:val="nil"/>
                  </w:tcBorders>
                  <w:vAlign w:val="center"/>
                </w:tcPr>
                <w:p w14:paraId="013E758F">
                  <w:pPr>
                    <w:pStyle w:val="56"/>
                    <w:bidi w:val="0"/>
                    <w:rPr>
                      <w:rFonts w:hint="eastAsia"/>
                      <w:color w:val="FF0000"/>
                      <w:lang w:val="en-US" w:eastAsia="zh-CN"/>
                    </w:rPr>
                  </w:pPr>
                  <w:r>
                    <w:rPr>
                      <w:rFonts w:hint="eastAsia"/>
                      <w:color w:val="FF0000"/>
                      <w:lang w:val="en-US" w:eastAsia="zh-CN"/>
                    </w:rPr>
                    <w:t>初期雨水</w:t>
                  </w:r>
                </w:p>
              </w:tc>
              <w:tc>
                <w:tcPr>
                  <w:tcW w:w="634" w:type="dxa"/>
                  <w:tcBorders>
                    <w:tl2br w:val="nil"/>
                    <w:tr2bl w:val="nil"/>
                  </w:tcBorders>
                  <w:vAlign w:val="center"/>
                </w:tcPr>
                <w:p w14:paraId="7170758F">
                  <w:pPr>
                    <w:pStyle w:val="56"/>
                    <w:bidi w:val="0"/>
                    <w:rPr>
                      <w:rFonts w:hint="default"/>
                      <w:color w:val="FF0000"/>
                      <w:lang w:val="en-US" w:eastAsia="zh-CN"/>
                    </w:rPr>
                  </w:pPr>
                  <w:r>
                    <w:rPr>
                      <w:rFonts w:hint="eastAsia"/>
                      <w:color w:val="FF0000"/>
                      <w:lang w:val="en-US" w:eastAsia="zh-CN"/>
                    </w:rPr>
                    <w:t>W4</w:t>
                  </w:r>
                </w:p>
              </w:tc>
              <w:tc>
                <w:tcPr>
                  <w:tcW w:w="2704" w:type="dxa"/>
                  <w:tcBorders>
                    <w:tl2br w:val="nil"/>
                    <w:tr2bl w:val="nil"/>
                  </w:tcBorders>
                  <w:vAlign w:val="center"/>
                </w:tcPr>
                <w:p w14:paraId="1C1BA4CA">
                  <w:pPr>
                    <w:pStyle w:val="56"/>
                    <w:bidi w:val="0"/>
                    <w:rPr>
                      <w:rFonts w:hint="default"/>
                      <w:color w:val="FF0000"/>
                      <w:lang w:val="en-US" w:eastAsia="zh-CN"/>
                    </w:rPr>
                  </w:pPr>
                  <w:r>
                    <w:rPr>
                      <w:rFonts w:hint="eastAsia"/>
                      <w:color w:val="FF0000"/>
                      <w:lang w:val="en-US" w:eastAsia="zh-CN"/>
                    </w:rPr>
                    <w:t>SS</w:t>
                  </w:r>
                </w:p>
              </w:tc>
              <w:tc>
                <w:tcPr>
                  <w:tcW w:w="2352" w:type="dxa"/>
                  <w:tcBorders>
                    <w:tl2br w:val="nil"/>
                    <w:tr2bl w:val="nil"/>
                  </w:tcBorders>
                  <w:vAlign w:val="center"/>
                </w:tcPr>
                <w:p w14:paraId="4A8717F1">
                  <w:pPr>
                    <w:pStyle w:val="56"/>
                    <w:bidi w:val="0"/>
                    <w:rPr>
                      <w:rFonts w:hint="eastAsia"/>
                      <w:color w:val="FF0000"/>
                      <w:lang w:val="en-US" w:eastAsia="zh-CN"/>
                    </w:rPr>
                  </w:pPr>
                  <w:r>
                    <w:rPr>
                      <w:rFonts w:hint="eastAsia"/>
                      <w:color w:val="FF0000"/>
                      <w:lang w:val="en-US" w:eastAsia="zh-CN"/>
                    </w:rPr>
                    <w:t>经沉淀池沉淀后用于喷淋降尘。</w:t>
                  </w:r>
                </w:p>
              </w:tc>
            </w:tr>
            <w:tr w14:paraId="6ED2A9C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jc w:val="center"/>
              </w:trPr>
              <w:tc>
                <w:tcPr>
                  <w:tcW w:w="922" w:type="dxa"/>
                  <w:vMerge w:val="restart"/>
                  <w:tcBorders>
                    <w:tl2br w:val="nil"/>
                    <w:tr2bl w:val="nil"/>
                  </w:tcBorders>
                  <w:shd w:val="clear" w:color="auto" w:fill="auto"/>
                  <w:vAlign w:val="center"/>
                </w:tcPr>
                <w:p w14:paraId="7D251D3E">
                  <w:pPr>
                    <w:pStyle w:val="56"/>
                    <w:bidi w:val="0"/>
                    <w:rPr>
                      <w:color w:val="FF0000"/>
                      <w:szCs w:val="21"/>
                    </w:rPr>
                  </w:pPr>
                  <w:r>
                    <w:rPr>
                      <w:rFonts w:hint="eastAsia"/>
                      <w:color w:val="FF0000"/>
                    </w:rPr>
                    <w:t>一般固废</w:t>
                  </w:r>
                </w:p>
              </w:tc>
              <w:tc>
                <w:tcPr>
                  <w:tcW w:w="1773" w:type="dxa"/>
                  <w:tcBorders>
                    <w:tl2br w:val="nil"/>
                    <w:tr2bl w:val="nil"/>
                  </w:tcBorders>
                  <w:shd w:val="clear" w:color="auto" w:fill="auto"/>
                  <w:vAlign w:val="center"/>
                </w:tcPr>
                <w:p w14:paraId="3A0CC316">
                  <w:pPr>
                    <w:pStyle w:val="56"/>
                    <w:bidi w:val="0"/>
                    <w:rPr>
                      <w:rFonts w:hint="default" w:eastAsia="宋体"/>
                      <w:color w:val="FF0000"/>
                      <w:szCs w:val="21"/>
                      <w:lang w:val="en-US" w:eastAsia="zh-CN"/>
                    </w:rPr>
                  </w:pPr>
                  <w:r>
                    <w:rPr>
                      <w:rFonts w:hint="eastAsia"/>
                      <w:color w:val="FF0000"/>
                      <w:lang w:val="en-US" w:eastAsia="zh-CN"/>
                    </w:rPr>
                    <w:t>钢筋加工</w:t>
                  </w:r>
                </w:p>
              </w:tc>
              <w:tc>
                <w:tcPr>
                  <w:tcW w:w="634" w:type="dxa"/>
                  <w:tcBorders>
                    <w:tl2br w:val="nil"/>
                    <w:tr2bl w:val="nil"/>
                  </w:tcBorders>
                  <w:vAlign w:val="center"/>
                </w:tcPr>
                <w:p w14:paraId="6E0B862A">
                  <w:pPr>
                    <w:pStyle w:val="56"/>
                    <w:bidi w:val="0"/>
                    <w:rPr>
                      <w:color w:val="FF0000"/>
                      <w:szCs w:val="21"/>
                    </w:rPr>
                  </w:pPr>
                  <w:r>
                    <w:rPr>
                      <w:rFonts w:hint="eastAsia"/>
                      <w:color w:val="FF0000"/>
                    </w:rPr>
                    <w:t>S1</w:t>
                  </w:r>
                </w:p>
              </w:tc>
              <w:tc>
                <w:tcPr>
                  <w:tcW w:w="2704" w:type="dxa"/>
                  <w:tcBorders>
                    <w:tl2br w:val="nil"/>
                    <w:tr2bl w:val="nil"/>
                  </w:tcBorders>
                  <w:shd w:val="clear" w:color="auto" w:fill="auto"/>
                  <w:vAlign w:val="center"/>
                </w:tcPr>
                <w:p w14:paraId="6A1AFAC5">
                  <w:pPr>
                    <w:pStyle w:val="56"/>
                    <w:bidi w:val="0"/>
                    <w:rPr>
                      <w:color w:val="FF0000"/>
                      <w:szCs w:val="21"/>
                    </w:rPr>
                  </w:pPr>
                  <w:r>
                    <w:rPr>
                      <w:rFonts w:hint="eastAsia"/>
                      <w:color w:val="FF0000"/>
                    </w:rPr>
                    <w:t>钢筋下脚料</w:t>
                  </w:r>
                </w:p>
              </w:tc>
              <w:tc>
                <w:tcPr>
                  <w:tcW w:w="2352" w:type="dxa"/>
                  <w:tcBorders>
                    <w:tl2br w:val="nil"/>
                    <w:tr2bl w:val="nil"/>
                  </w:tcBorders>
                  <w:shd w:val="clear" w:color="auto" w:fill="auto"/>
                  <w:vAlign w:val="center"/>
                </w:tcPr>
                <w:p w14:paraId="1E55FE5F">
                  <w:pPr>
                    <w:pStyle w:val="56"/>
                    <w:bidi w:val="0"/>
                    <w:rPr>
                      <w:rFonts w:hint="default" w:eastAsia="宋体"/>
                      <w:color w:val="FF0000"/>
                      <w:szCs w:val="21"/>
                      <w:lang w:val="en-US" w:eastAsia="zh-CN"/>
                    </w:rPr>
                  </w:pPr>
                  <w:r>
                    <w:rPr>
                      <w:rFonts w:hint="eastAsia"/>
                      <w:color w:val="FF0000"/>
                      <w:lang w:val="en-US" w:eastAsia="zh-CN"/>
                    </w:rPr>
                    <w:t>外售物资回收单位</w:t>
                  </w:r>
                </w:p>
              </w:tc>
            </w:tr>
            <w:tr w14:paraId="3667644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279" w:hRule="atLeast"/>
                <w:jc w:val="center"/>
              </w:trPr>
              <w:tc>
                <w:tcPr>
                  <w:tcW w:w="922" w:type="dxa"/>
                  <w:vMerge w:val="continue"/>
                  <w:tcBorders>
                    <w:tl2br w:val="nil"/>
                    <w:tr2bl w:val="nil"/>
                  </w:tcBorders>
                  <w:shd w:val="clear" w:color="auto" w:fill="auto"/>
                  <w:vAlign w:val="center"/>
                </w:tcPr>
                <w:p w14:paraId="6B2FB0D1">
                  <w:pPr>
                    <w:pStyle w:val="56"/>
                    <w:spacing w:line="240" w:lineRule="auto"/>
                    <w:jc w:val="center"/>
                    <w:rPr>
                      <w:color w:val="FF0000"/>
                      <w:sz w:val="21"/>
                      <w:szCs w:val="21"/>
                    </w:rPr>
                  </w:pPr>
                </w:p>
              </w:tc>
              <w:tc>
                <w:tcPr>
                  <w:tcW w:w="1773" w:type="dxa"/>
                  <w:tcBorders>
                    <w:tl2br w:val="nil"/>
                    <w:tr2bl w:val="nil"/>
                  </w:tcBorders>
                  <w:shd w:val="clear" w:color="auto" w:fill="auto"/>
                  <w:vAlign w:val="center"/>
                </w:tcPr>
                <w:p w14:paraId="1AF257FA">
                  <w:pPr>
                    <w:pStyle w:val="56"/>
                    <w:bidi w:val="0"/>
                    <w:rPr>
                      <w:rFonts w:hint="default" w:eastAsia="宋体"/>
                      <w:color w:val="FF0000"/>
                      <w:szCs w:val="21"/>
                      <w:lang w:val="en-US" w:eastAsia="zh-CN"/>
                    </w:rPr>
                  </w:pPr>
                  <w:r>
                    <w:rPr>
                      <w:rFonts w:hint="eastAsia"/>
                      <w:color w:val="FF0000"/>
                      <w:lang w:val="en-US" w:eastAsia="zh-CN"/>
                    </w:rPr>
                    <w:t>生产过程</w:t>
                  </w:r>
                </w:p>
              </w:tc>
              <w:tc>
                <w:tcPr>
                  <w:tcW w:w="634" w:type="dxa"/>
                  <w:tcBorders>
                    <w:tl2br w:val="nil"/>
                    <w:tr2bl w:val="nil"/>
                  </w:tcBorders>
                  <w:vAlign w:val="center"/>
                </w:tcPr>
                <w:p w14:paraId="0E164CDE">
                  <w:pPr>
                    <w:pStyle w:val="56"/>
                    <w:bidi w:val="0"/>
                    <w:rPr>
                      <w:color w:val="FF0000"/>
                      <w:szCs w:val="21"/>
                    </w:rPr>
                  </w:pPr>
                  <w:r>
                    <w:rPr>
                      <w:rFonts w:hint="eastAsia"/>
                      <w:color w:val="FF0000"/>
                    </w:rPr>
                    <w:t>S2</w:t>
                  </w:r>
                </w:p>
              </w:tc>
              <w:tc>
                <w:tcPr>
                  <w:tcW w:w="2704" w:type="dxa"/>
                  <w:tcBorders>
                    <w:tl2br w:val="nil"/>
                    <w:tr2bl w:val="nil"/>
                  </w:tcBorders>
                  <w:shd w:val="clear" w:color="auto" w:fill="auto"/>
                  <w:vAlign w:val="center"/>
                </w:tcPr>
                <w:p w14:paraId="0EA76265">
                  <w:pPr>
                    <w:pStyle w:val="56"/>
                    <w:bidi w:val="0"/>
                    <w:jc w:val="left"/>
                    <w:rPr>
                      <w:rFonts w:hint="default" w:eastAsia="宋体"/>
                      <w:color w:val="FF0000"/>
                      <w:szCs w:val="21"/>
                      <w:lang w:val="en-US" w:eastAsia="zh-CN"/>
                    </w:rPr>
                  </w:pPr>
                  <w:r>
                    <w:rPr>
                      <w:rFonts w:hint="eastAsia"/>
                      <w:color w:val="FF0000"/>
                    </w:rPr>
                    <w:t>不合格品</w:t>
                  </w:r>
                  <w:r>
                    <w:rPr>
                      <w:rFonts w:hint="eastAsia"/>
                      <w:color w:val="FF0000"/>
                      <w:lang w:val="en-US" w:eastAsia="zh-CN"/>
                    </w:rPr>
                    <w:t>及混凝土边角料</w:t>
                  </w:r>
                </w:p>
              </w:tc>
              <w:tc>
                <w:tcPr>
                  <w:tcW w:w="2352" w:type="dxa"/>
                  <w:tcBorders>
                    <w:tl2br w:val="nil"/>
                    <w:tr2bl w:val="nil"/>
                  </w:tcBorders>
                  <w:shd w:val="clear" w:color="auto" w:fill="auto"/>
                  <w:vAlign w:val="center"/>
                </w:tcPr>
                <w:p w14:paraId="7103BE07">
                  <w:pPr>
                    <w:pStyle w:val="56"/>
                    <w:bidi w:val="0"/>
                    <w:rPr>
                      <w:rFonts w:hint="default" w:eastAsia="宋体"/>
                      <w:color w:val="FF0000"/>
                      <w:szCs w:val="21"/>
                      <w:lang w:val="en-US" w:eastAsia="zh-CN"/>
                    </w:rPr>
                  </w:pPr>
                  <w:r>
                    <w:rPr>
                      <w:rFonts w:hint="eastAsia"/>
                      <w:color w:val="FF0000"/>
                      <w:szCs w:val="21"/>
                      <w:lang w:val="en-US" w:eastAsia="zh-CN"/>
                    </w:rPr>
                    <w:t>外售综合利用</w:t>
                  </w:r>
                </w:p>
              </w:tc>
            </w:tr>
            <w:tr w14:paraId="5707888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279" w:hRule="atLeast"/>
                <w:jc w:val="center"/>
              </w:trPr>
              <w:tc>
                <w:tcPr>
                  <w:tcW w:w="922" w:type="dxa"/>
                  <w:vMerge w:val="continue"/>
                  <w:tcBorders>
                    <w:tl2br w:val="nil"/>
                    <w:tr2bl w:val="nil"/>
                  </w:tcBorders>
                  <w:shd w:val="clear" w:color="auto" w:fill="auto"/>
                  <w:vAlign w:val="center"/>
                </w:tcPr>
                <w:p w14:paraId="70D26824">
                  <w:pPr>
                    <w:pStyle w:val="56"/>
                    <w:spacing w:line="240" w:lineRule="auto"/>
                    <w:jc w:val="center"/>
                    <w:rPr>
                      <w:color w:val="FF0000"/>
                      <w:sz w:val="21"/>
                      <w:szCs w:val="21"/>
                    </w:rPr>
                  </w:pPr>
                </w:p>
              </w:tc>
              <w:tc>
                <w:tcPr>
                  <w:tcW w:w="1773" w:type="dxa"/>
                  <w:tcBorders>
                    <w:tl2br w:val="nil"/>
                    <w:tr2bl w:val="nil"/>
                  </w:tcBorders>
                  <w:vAlign w:val="center"/>
                </w:tcPr>
                <w:p w14:paraId="6D287CAE">
                  <w:pPr>
                    <w:pStyle w:val="56"/>
                    <w:bidi w:val="0"/>
                    <w:rPr>
                      <w:color w:val="FF0000"/>
                      <w:szCs w:val="21"/>
                    </w:rPr>
                  </w:pPr>
                  <w:r>
                    <w:rPr>
                      <w:rFonts w:hint="eastAsia"/>
                      <w:color w:val="FF0000"/>
                    </w:rPr>
                    <w:t>原料和产品包装</w:t>
                  </w:r>
                </w:p>
              </w:tc>
              <w:tc>
                <w:tcPr>
                  <w:tcW w:w="634" w:type="dxa"/>
                  <w:tcBorders>
                    <w:tl2br w:val="nil"/>
                    <w:tr2bl w:val="nil"/>
                  </w:tcBorders>
                  <w:vAlign w:val="center"/>
                </w:tcPr>
                <w:p w14:paraId="6EC883CD">
                  <w:pPr>
                    <w:pStyle w:val="56"/>
                    <w:bidi w:val="0"/>
                    <w:rPr>
                      <w:color w:val="FF0000"/>
                      <w:szCs w:val="21"/>
                    </w:rPr>
                  </w:pPr>
                  <w:r>
                    <w:rPr>
                      <w:rFonts w:hint="eastAsia"/>
                      <w:color w:val="FF0000"/>
                    </w:rPr>
                    <w:t>S3</w:t>
                  </w:r>
                </w:p>
              </w:tc>
              <w:tc>
                <w:tcPr>
                  <w:tcW w:w="2704" w:type="dxa"/>
                  <w:tcBorders>
                    <w:tl2br w:val="nil"/>
                    <w:tr2bl w:val="nil"/>
                  </w:tcBorders>
                  <w:vAlign w:val="center"/>
                </w:tcPr>
                <w:p w14:paraId="7D46D942">
                  <w:pPr>
                    <w:pStyle w:val="56"/>
                    <w:bidi w:val="0"/>
                    <w:jc w:val="left"/>
                    <w:rPr>
                      <w:rFonts w:hint="default" w:eastAsia="宋体"/>
                      <w:color w:val="FF0000"/>
                      <w:szCs w:val="21"/>
                      <w:lang w:val="en-US" w:eastAsia="zh-CN"/>
                    </w:rPr>
                  </w:pPr>
                  <w:r>
                    <w:rPr>
                      <w:rFonts w:hint="eastAsia"/>
                      <w:color w:val="FF0000"/>
                      <w:lang w:val="en-US" w:eastAsia="zh-CN"/>
                    </w:rPr>
                    <w:t>木质纤维、减水剂、脱模剂塑料袋</w:t>
                  </w:r>
                </w:p>
              </w:tc>
              <w:tc>
                <w:tcPr>
                  <w:tcW w:w="2352" w:type="dxa"/>
                  <w:tcBorders>
                    <w:tl2br w:val="nil"/>
                    <w:tr2bl w:val="nil"/>
                  </w:tcBorders>
                  <w:vAlign w:val="center"/>
                </w:tcPr>
                <w:p w14:paraId="3CD4E744">
                  <w:pPr>
                    <w:pStyle w:val="56"/>
                    <w:bidi w:val="0"/>
                    <w:rPr>
                      <w:rFonts w:hint="default" w:eastAsia="宋体"/>
                      <w:color w:val="FF0000"/>
                      <w:szCs w:val="21"/>
                      <w:lang w:val="en-US" w:eastAsia="zh-CN"/>
                    </w:rPr>
                  </w:pPr>
                  <w:r>
                    <w:rPr>
                      <w:rFonts w:hint="eastAsia"/>
                      <w:color w:val="FF0000"/>
                      <w:lang w:val="en-US" w:eastAsia="zh-CN"/>
                    </w:rPr>
                    <w:t>外售综合利用</w:t>
                  </w:r>
                </w:p>
              </w:tc>
            </w:tr>
            <w:tr w14:paraId="7DE6E51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279" w:hRule="atLeast"/>
                <w:jc w:val="center"/>
              </w:trPr>
              <w:tc>
                <w:tcPr>
                  <w:tcW w:w="922" w:type="dxa"/>
                  <w:vMerge w:val="continue"/>
                  <w:tcBorders>
                    <w:tl2br w:val="nil"/>
                    <w:tr2bl w:val="nil"/>
                  </w:tcBorders>
                  <w:shd w:val="clear" w:color="auto" w:fill="auto"/>
                  <w:vAlign w:val="center"/>
                </w:tcPr>
                <w:p w14:paraId="3416BE4B">
                  <w:pPr>
                    <w:pStyle w:val="56"/>
                    <w:spacing w:line="240" w:lineRule="auto"/>
                    <w:jc w:val="center"/>
                    <w:rPr>
                      <w:color w:val="FF0000"/>
                      <w:sz w:val="21"/>
                      <w:szCs w:val="21"/>
                    </w:rPr>
                  </w:pPr>
                </w:p>
              </w:tc>
              <w:tc>
                <w:tcPr>
                  <w:tcW w:w="1773" w:type="dxa"/>
                  <w:tcBorders>
                    <w:tl2br w:val="nil"/>
                    <w:tr2bl w:val="nil"/>
                  </w:tcBorders>
                  <w:vAlign w:val="center"/>
                </w:tcPr>
                <w:p w14:paraId="17D5C5C3">
                  <w:pPr>
                    <w:pStyle w:val="56"/>
                    <w:bidi w:val="0"/>
                    <w:rPr>
                      <w:rFonts w:hint="eastAsia" w:eastAsia="宋体"/>
                      <w:color w:val="FF0000"/>
                      <w:szCs w:val="21"/>
                      <w:lang w:val="en-US" w:eastAsia="zh-CN"/>
                    </w:rPr>
                  </w:pPr>
                  <w:r>
                    <w:rPr>
                      <w:rFonts w:hint="eastAsia"/>
                      <w:color w:val="FF0000"/>
                      <w:lang w:val="en-US" w:eastAsia="zh-CN"/>
                    </w:rPr>
                    <w:t>沉淀池</w:t>
                  </w:r>
                </w:p>
              </w:tc>
              <w:tc>
                <w:tcPr>
                  <w:tcW w:w="634" w:type="dxa"/>
                  <w:tcBorders>
                    <w:tl2br w:val="nil"/>
                    <w:tr2bl w:val="nil"/>
                  </w:tcBorders>
                  <w:vAlign w:val="center"/>
                </w:tcPr>
                <w:p w14:paraId="6FD784A0">
                  <w:pPr>
                    <w:pStyle w:val="56"/>
                    <w:bidi w:val="0"/>
                    <w:rPr>
                      <w:rFonts w:hint="eastAsia" w:eastAsia="宋体"/>
                      <w:color w:val="FF0000"/>
                      <w:szCs w:val="21"/>
                      <w:lang w:eastAsia="zh-CN"/>
                    </w:rPr>
                  </w:pPr>
                  <w:r>
                    <w:rPr>
                      <w:rFonts w:hint="eastAsia"/>
                      <w:color w:val="FF0000"/>
                    </w:rPr>
                    <w:t>S</w:t>
                  </w:r>
                  <w:r>
                    <w:rPr>
                      <w:rFonts w:hint="eastAsia"/>
                      <w:color w:val="FF0000"/>
                      <w:lang w:val="en-US" w:eastAsia="zh-CN"/>
                    </w:rPr>
                    <w:t>4</w:t>
                  </w:r>
                </w:p>
              </w:tc>
              <w:tc>
                <w:tcPr>
                  <w:tcW w:w="2704" w:type="dxa"/>
                  <w:tcBorders>
                    <w:tl2br w:val="nil"/>
                    <w:tr2bl w:val="nil"/>
                  </w:tcBorders>
                  <w:vAlign w:val="center"/>
                </w:tcPr>
                <w:p w14:paraId="68FBC8B2">
                  <w:pPr>
                    <w:pStyle w:val="56"/>
                    <w:bidi w:val="0"/>
                    <w:rPr>
                      <w:rFonts w:hint="default" w:eastAsia="宋体"/>
                      <w:color w:val="FF0000"/>
                      <w:szCs w:val="21"/>
                      <w:lang w:val="en-US" w:eastAsia="zh-CN"/>
                    </w:rPr>
                  </w:pPr>
                  <w:r>
                    <w:rPr>
                      <w:rFonts w:hint="eastAsia"/>
                      <w:color w:val="FF0000"/>
                      <w:lang w:val="en-US" w:eastAsia="zh-CN"/>
                    </w:rPr>
                    <w:t>沉淀池污泥</w:t>
                  </w:r>
                </w:p>
              </w:tc>
              <w:tc>
                <w:tcPr>
                  <w:tcW w:w="2352" w:type="dxa"/>
                  <w:tcBorders>
                    <w:tl2br w:val="nil"/>
                    <w:tr2bl w:val="nil"/>
                  </w:tcBorders>
                  <w:vAlign w:val="center"/>
                </w:tcPr>
                <w:p w14:paraId="0F91774D">
                  <w:pPr>
                    <w:pStyle w:val="56"/>
                    <w:bidi w:val="0"/>
                    <w:rPr>
                      <w:rFonts w:hint="default"/>
                      <w:color w:val="FF0000"/>
                      <w:szCs w:val="21"/>
                      <w:lang w:val="en-US" w:eastAsia="zh-CN"/>
                    </w:rPr>
                  </w:pPr>
                  <w:r>
                    <w:rPr>
                      <w:rFonts w:hint="eastAsia"/>
                      <w:color w:val="FF0000"/>
                      <w:lang w:val="en-US" w:eastAsia="zh-CN"/>
                    </w:rPr>
                    <w:t>干化后外售综合利用</w:t>
                  </w:r>
                </w:p>
              </w:tc>
            </w:tr>
            <w:tr w14:paraId="2B5117A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0" w:hRule="atLeast"/>
                <w:jc w:val="center"/>
              </w:trPr>
              <w:tc>
                <w:tcPr>
                  <w:tcW w:w="922" w:type="dxa"/>
                  <w:vMerge w:val="continue"/>
                  <w:tcBorders>
                    <w:tl2br w:val="nil"/>
                    <w:tr2bl w:val="nil"/>
                  </w:tcBorders>
                  <w:shd w:val="clear" w:color="auto" w:fill="auto"/>
                  <w:vAlign w:val="center"/>
                </w:tcPr>
                <w:p w14:paraId="0F1D3A40">
                  <w:pPr>
                    <w:pStyle w:val="56"/>
                    <w:spacing w:line="240" w:lineRule="auto"/>
                    <w:jc w:val="center"/>
                    <w:rPr>
                      <w:color w:val="FF0000"/>
                      <w:sz w:val="21"/>
                      <w:szCs w:val="21"/>
                    </w:rPr>
                  </w:pPr>
                </w:p>
              </w:tc>
              <w:tc>
                <w:tcPr>
                  <w:tcW w:w="1773" w:type="dxa"/>
                  <w:tcBorders>
                    <w:tl2br w:val="nil"/>
                    <w:tr2bl w:val="nil"/>
                  </w:tcBorders>
                  <w:vAlign w:val="center"/>
                </w:tcPr>
                <w:p w14:paraId="49869D28">
                  <w:pPr>
                    <w:pStyle w:val="56"/>
                    <w:bidi w:val="0"/>
                    <w:rPr>
                      <w:rFonts w:hint="default"/>
                      <w:color w:val="FF0000"/>
                      <w:szCs w:val="21"/>
                      <w:lang w:val="en-US" w:eastAsia="zh-CN"/>
                    </w:rPr>
                  </w:pPr>
                  <w:r>
                    <w:rPr>
                      <w:rFonts w:hint="eastAsia"/>
                      <w:color w:val="FF0000"/>
                      <w:lang w:val="en-US" w:eastAsia="zh-CN"/>
                    </w:rPr>
                    <w:t>布袋除尘</w:t>
                  </w:r>
                </w:p>
              </w:tc>
              <w:tc>
                <w:tcPr>
                  <w:tcW w:w="634" w:type="dxa"/>
                  <w:tcBorders>
                    <w:tl2br w:val="nil"/>
                    <w:tr2bl w:val="nil"/>
                  </w:tcBorders>
                  <w:vAlign w:val="center"/>
                </w:tcPr>
                <w:p w14:paraId="35F92B09">
                  <w:pPr>
                    <w:pStyle w:val="56"/>
                    <w:bidi w:val="0"/>
                    <w:rPr>
                      <w:rFonts w:hint="default" w:eastAsia="宋体"/>
                      <w:color w:val="FF0000"/>
                      <w:szCs w:val="21"/>
                      <w:lang w:val="en-US" w:eastAsia="zh-CN"/>
                    </w:rPr>
                  </w:pPr>
                  <w:r>
                    <w:rPr>
                      <w:rFonts w:hint="eastAsia"/>
                      <w:color w:val="FF0000"/>
                      <w:lang w:val="en-US" w:eastAsia="zh-CN"/>
                    </w:rPr>
                    <w:t>S5</w:t>
                  </w:r>
                </w:p>
              </w:tc>
              <w:tc>
                <w:tcPr>
                  <w:tcW w:w="2704" w:type="dxa"/>
                  <w:tcBorders>
                    <w:tl2br w:val="nil"/>
                    <w:tr2bl w:val="nil"/>
                  </w:tcBorders>
                  <w:vAlign w:val="center"/>
                </w:tcPr>
                <w:p w14:paraId="1635EF75">
                  <w:pPr>
                    <w:pStyle w:val="56"/>
                    <w:bidi w:val="0"/>
                    <w:rPr>
                      <w:rFonts w:hint="default"/>
                      <w:color w:val="FF0000"/>
                      <w:szCs w:val="21"/>
                      <w:lang w:val="en-US" w:eastAsia="zh-CN"/>
                    </w:rPr>
                  </w:pPr>
                  <w:r>
                    <w:rPr>
                      <w:rFonts w:hint="eastAsia"/>
                      <w:color w:val="FF0000"/>
                      <w:lang w:val="en-US" w:eastAsia="zh-CN"/>
                    </w:rPr>
                    <w:t>收集的粉尘</w:t>
                  </w:r>
                </w:p>
              </w:tc>
              <w:tc>
                <w:tcPr>
                  <w:tcW w:w="2352" w:type="dxa"/>
                  <w:tcBorders>
                    <w:tl2br w:val="nil"/>
                    <w:tr2bl w:val="nil"/>
                  </w:tcBorders>
                  <w:vAlign w:val="center"/>
                </w:tcPr>
                <w:p w14:paraId="58908254">
                  <w:pPr>
                    <w:pStyle w:val="56"/>
                    <w:bidi w:val="0"/>
                    <w:rPr>
                      <w:rFonts w:hint="default"/>
                      <w:color w:val="FF0000"/>
                      <w:szCs w:val="21"/>
                      <w:lang w:val="en-US" w:eastAsia="zh-CN"/>
                    </w:rPr>
                  </w:pPr>
                  <w:r>
                    <w:rPr>
                      <w:rFonts w:hint="eastAsia"/>
                      <w:color w:val="FF0000"/>
                      <w:lang w:val="en-US" w:eastAsia="zh-CN"/>
                    </w:rPr>
                    <w:t>回用于生产</w:t>
                  </w:r>
                </w:p>
              </w:tc>
            </w:tr>
            <w:tr w14:paraId="0309755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279" w:hRule="atLeast"/>
                <w:jc w:val="center"/>
              </w:trPr>
              <w:tc>
                <w:tcPr>
                  <w:tcW w:w="922" w:type="dxa"/>
                  <w:vMerge w:val="continue"/>
                  <w:tcBorders>
                    <w:tl2br w:val="nil"/>
                    <w:tr2bl w:val="nil"/>
                  </w:tcBorders>
                  <w:shd w:val="clear" w:color="auto" w:fill="auto"/>
                  <w:vAlign w:val="center"/>
                </w:tcPr>
                <w:p w14:paraId="3D77AC2D">
                  <w:pPr>
                    <w:pStyle w:val="56"/>
                    <w:spacing w:line="240" w:lineRule="auto"/>
                    <w:jc w:val="center"/>
                    <w:rPr>
                      <w:color w:val="FF0000"/>
                      <w:sz w:val="21"/>
                      <w:szCs w:val="21"/>
                    </w:rPr>
                  </w:pPr>
                </w:p>
              </w:tc>
              <w:tc>
                <w:tcPr>
                  <w:tcW w:w="1773" w:type="dxa"/>
                  <w:tcBorders>
                    <w:tl2br w:val="nil"/>
                    <w:tr2bl w:val="nil"/>
                  </w:tcBorders>
                  <w:vAlign w:val="center"/>
                </w:tcPr>
                <w:p w14:paraId="6B351D76">
                  <w:pPr>
                    <w:pStyle w:val="56"/>
                    <w:bidi w:val="0"/>
                    <w:rPr>
                      <w:rFonts w:hint="default"/>
                      <w:color w:val="FF0000"/>
                      <w:szCs w:val="21"/>
                      <w:lang w:val="en-US" w:eastAsia="zh-CN"/>
                    </w:rPr>
                  </w:pPr>
                  <w:r>
                    <w:rPr>
                      <w:rFonts w:hint="eastAsia"/>
                      <w:color w:val="FF0000"/>
                      <w:lang w:val="en-US" w:eastAsia="zh-CN"/>
                    </w:rPr>
                    <w:t>布袋除尘</w:t>
                  </w:r>
                </w:p>
              </w:tc>
              <w:tc>
                <w:tcPr>
                  <w:tcW w:w="634" w:type="dxa"/>
                  <w:tcBorders>
                    <w:tl2br w:val="nil"/>
                    <w:tr2bl w:val="nil"/>
                  </w:tcBorders>
                  <w:vAlign w:val="center"/>
                </w:tcPr>
                <w:p w14:paraId="7D52434B">
                  <w:pPr>
                    <w:pStyle w:val="56"/>
                    <w:bidi w:val="0"/>
                    <w:rPr>
                      <w:rFonts w:hint="default" w:eastAsia="宋体"/>
                      <w:color w:val="FF0000"/>
                      <w:szCs w:val="21"/>
                      <w:lang w:val="en-US" w:eastAsia="zh-CN"/>
                    </w:rPr>
                  </w:pPr>
                  <w:r>
                    <w:rPr>
                      <w:rFonts w:hint="eastAsia"/>
                      <w:color w:val="FF0000"/>
                      <w:lang w:val="en-US" w:eastAsia="zh-CN"/>
                    </w:rPr>
                    <w:t>S6</w:t>
                  </w:r>
                </w:p>
              </w:tc>
              <w:tc>
                <w:tcPr>
                  <w:tcW w:w="2704" w:type="dxa"/>
                  <w:tcBorders>
                    <w:tl2br w:val="nil"/>
                    <w:tr2bl w:val="nil"/>
                  </w:tcBorders>
                  <w:vAlign w:val="center"/>
                </w:tcPr>
                <w:p w14:paraId="5723483C">
                  <w:pPr>
                    <w:pStyle w:val="56"/>
                    <w:bidi w:val="0"/>
                    <w:rPr>
                      <w:rFonts w:hint="default"/>
                      <w:color w:val="FF0000"/>
                      <w:szCs w:val="21"/>
                      <w:lang w:val="en-US" w:eastAsia="zh-CN"/>
                    </w:rPr>
                  </w:pPr>
                  <w:r>
                    <w:rPr>
                      <w:rFonts w:hint="eastAsia"/>
                      <w:color w:val="FF0000"/>
                      <w:lang w:val="en-US" w:eastAsia="zh-CN"/>
                    </w:rPr>
                    <w:t>废布袋</w:t>
                  </w:r>
                </w:p>
              </w:tc>
              <w:tc>
                <w:tcPr>
                  <w:tcW w:w="2352" w:type="dxa"/>
                  <w:tcBorders>
                    <w:tl2br w:val="nil"/>
                    <w:tr2bl w:val="nil"/>
                  </w:tcBorders>
                  <w:vAlign w:val="center"/>
                </w:tcPr>
                <w:p w14:paraId="50ACC165">
                  <w:pPr>
                    <w:pStyle w:val="56"/>
                    <w:bidi w:val="0"/>
                    <w:rPr>
                      <w:rFonts w:hint="default"/>
                      <w:color w:val="FF0000"/>
                      <w:szCs w:val="21"/>
                      <w:lang w:val="en-US" w:eastAsia="zh-CN"/>
                    </w:rPr>
                  </w:pPr>
                  <w:r>
                    <w:rPr>
                      <w:rFonts w:hint="eastAsia"/>
                      <w:color w:val="FF0000"/>
                      <w:lang w:val="en-US" w:eastAsia="zh-CN"/>
                    </w:rPr>
                    <w:t>外售综合利用</w:t>
                  </w:r>
                </w:p>
              </w:tc>
            </w:tr>
            <w:tr w14:paraId="4719BE8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279" w:hRule="atLeast"/>
                <w:jc w:val="center"/>
              </w:trPr>
              <w:tc>
                <w:tcPr>
                  <w:tcW w:w="922" w:type="dxa"/>
                  <w:vMerge w:val="continue"/>
                  <w:tcBorders>
                    <w:tl2br w:val="nil"/>
                    <w:tr2bl w:val="nil"/>
                  </w:tcBorders>
                  <w:shd w:val="clear" w:color="auto" w:fill="auto"/>
                  <w:vAlign w:val="center"/>
                </w:tcPr>
                <w:p w14:paraId="1215EC3C">
                  <w:pPr>
                    <w:pStyle w:val="56"/>
                    <w:spacing w:line="240" w:lineRule="auto"/>
                    <w:jc w:val="center"/>
                    <w:rPr>
                      <w:color w:val="FF0000"/>
                      <w:sz w:val="21"/>
                      <w:szCs w:val="21"/>
                    </w:rPr>
                  </w:pPr>
                </w:p>
              </w:tc>
              <w:tc>
                <w:tcPr>
                  <w:tcW w:w="1773" w:type="dxa"/>
                  <w:tcBorders>
                    <w:tl2br w:val="nil"/>
                    <w:tr2bl w:val="nil"/>
                  </w:tcBorders>
                  <w:vAlign w:val="center"/>
                </w:tcPr>
                <w:p w14:paraId="682AC7F3">
                  <w:pPr>
                    <w:pStyle w:val="56"/>
                    <w:bidi w:val="0"/>
                    <w:rPr>
                      <w:rFonts w:hint="default"/>
                      <w:color w:val="FF0000"/>
                      <w:szCs w:val="21"/>
                      <w:lang w:val="en-US" w:eastAsia="zh-CN"/>
                    </w:rPr>
                  </w:pPr>
                  <w:r>
                    <w:rPr>
                      <w:rFonts w:hint="eastAsia"/>
                      <w:color w:val="FF0000"/>
                      <w:lang w:val="en-US" w:eastAsia="zh-CN"/>
                    </w:rPr>
                    <w:t>焊接</w:t>
                  </w:r>
                </w:p>
              </w:tc>
              <w:tc>
                <w:tcPr>
                  <w:tcW w:w="634" w:type="dxa"/>
                  <w:tcBorders>
                    <w:tl2br w:val="nil"/>
                    <w:tr2bl w:val="nil"/>
                  </w:tcBorders>
                  <w:vAlign w:val="center"/>
                </w:tcPr>
                <w:p w14:paraId="14B279C8">
                  <w:pPr>
                    <w:pStyle w:val="56"/>
                    <w:bidi w:val="0"/>
                    <w:rPr>
                      <w:rFonts w:hint="default"/>
                      <w:color w:val="FF0000"/>
                      <w:szCs w:val="21"/>
                      <w:lang w:val="en-US" w:eastAsia="zh-CN"/>
                    </w:rPr>
                  </w:pPr>
                  <w:r>
                    <w:rPr>
                      <w:rFonts w:hint="eastAsia"/>
                      <w:color w:val="FF0000"/>
                      <w:lang w:val="en-US" w:eastAsia="zh-CN"/>
                    </w:rPr>
                    <w:t>S7</w:t>
                  </w:r>
                </w:p>
              </w:tc>
              <w:tc>
                <w:tcPr>
                  <w:tcW w:w="2704" w:type="dxa"/>
                  <w:tcBorders>
                    <w:tl2br w:val="nil"/>
                    <w:tr2bl w:val="nil"/>
                  </w:tcBorders>
                  <w:vAlign w:val="center"/>
                </w:tcPr>
                <w:p w14:paraId="667A1C1A">
                  <w:pPr>
                    <w:pStyle w:val="56"/>
                    <w:bidi w:val="0"/>
                    <w:rPr>
                      <w:rFonts w:hint="default"/>
                      <w:color w:val="FF0000"/>
                      <w:szCs w:val="21"/>
                      <w:lang w:val="en-US" w:eastAsia="zh-CN"/>
                    </w:rPr>
                  </w:pPr>
                  <w:r>
                    <w:rPr>
                      <w:rFonts w:hint="eastAsia"/>
                      <w:color w:val="FF0000"/>
                      <w:lang w:val="en-US" w:eastAsia="zh-CN"/>
                    </w:rPr>
                    <w:t>焊接烟尘</w:t>
                  </w:r>
                </w:p>
              </w:tc>
              <w:tc>
                <w:tcPr>
                  <w:tcW w:w="2352" w:type="dxa"/>
                  <w:tcBorders>
                    <w:tl2br w:val="nil"/>
                    <w:tr2bl w:val="nil"/>
                  </w:tcBorders>
                  <w:vAlign w:val="center"/>
                </w:tcPr>
                <w:p w14:paraId="00B79F6B">
                  <w:pPr>
                    <w:pStyle w:val="56"/>
                    <w:bidi w:val="0"/>
                    <w:rPr>
                      <w:rFonts w:hint="default"/>
                      <w:color w:val="FF0000"/>
                      <w:szCs w:val="21"/>
                      <w:lang w:val="en-US" w:eastAsia="zh-CN"/>
                    </w:rPr>
                  </w:pPr>
                  <w:r>
                    <w:rPr>
                      <w:rFonts w:hint="eastAsia"/>
                      <w:color w:val="FF0000"/>
                      <w:lang w:val="en-US" w:eastAsia="zh-CN"/>
                    </w:rPr>
                    <w:t>外售综合利用</w:t>
                  </w:r>
                </w:p>
              </w:tc>
            </w:tr>
            <w:tr w14:paraId="6E4D370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279" w:hRule="atLeast"/>
                <w:jc w:val="center"/>
              </w:trPr>
              <w:tc>
                <w:tcPr>
                  <w:tcW w:w="922" w:type="dxa"/>
                  <w:vMerge w:val="continue"/>
                  <w:tcBorders>
                    <w:tl2br w:val="nil"/>
                    <w:tr2bl w:val="nil"/>
                  </w:tcBorders>
                  <w:shd w:val="clear" w:color="auto" w:fill="auto"/>
                  <w:vAlign w:val="center"/>
                </w:tcPr>
                <w:p w14:paraId="56A3188A">
                  <w:pPr>
                    <w:pStyle w:val="56"/>
                    <w:spacing w:line="240" w:lineRule="auto"/>
                    <w:jc w:val="center"/>
                    <w:rPr>
                      <w:color w:val="FF0000"/>
                      <w:sz w:val="21"/>
                      <w:szCs w:val="21"/>
                    </w:rPr>
                  </w:pPr>
                </w:p>
              </w:tc>
              <w:tc>
                <w:tcPr>
                  <w:tcW w:w="1773" w:type="dxa"/>
                  <w:tcBorders>
                    <w:tl2br w:val="nil"/>
                    <w:tr2bl w:val="nil"/>
                  </w:tcBorders>
                  <w:vAlign w:val="center"/>
                </w:tcPr>
                <w:p w14:paraId="53C37F8B">
                  <w:pPr>
                    <w:pStyle w:val="56"/>
                    <w:bidi w:val="0"/>
                    <w:rPr>
                      <w:rFonts w:hint="default"/>
                      <w:color w:val="FF0000"/>
                      <w:szCs w:val="21"/>
                      <w:lang w:val="en-US" w:eastAsia="zh-CN"/>
                    </w:rPr>
                  </w:pPr>
                  <w:r>
                    <w:rPr>
                      <w:rFonts w:hint="eastAsia"/>
                      <w:color w:val="FF0000"/>
                      <w:lang w:val="en-US" w:eastAsia="zh-CN"/>
                    </w:rPr>
                    <w:t>员工生活</w:t>
                  </w:r>
                </w:p>
              </w:tc>
              <w:tc>
                <w:tcPr>
                  <w:tcW w:w="634" w:type="dxa"/>
                  <w:tcBorders>
                    <w:tl2br w:val="nil"/>
                    <w:tr2bl w:val="nil"/>
                  </w:tcBorders>
                  <w:shd w:val="clear" w:color="auto" w:fill="auto"/>
                  <w:vAlign w:val="center"/>
                </w:tcPr>
                <w:p w14:paraId="7C2D6279">
                  <w:pPr>
                    <w:pStyle w:val="56"/>
                    <w:bidi w:val="0"/>
                    <w:rPr>
                      <w:rFonts w:hint="eastAsia" w:ascii="Times New Roman" w:hAnsi="Times New Roman" w:eastAsia="宋体" w:cs="Times New Roman"/>
                      <w:color w:val="FF0000"/>
                      <w:kern w:val="0"/>
                      <w:szCs w:val="21"/>
                      <w:lang w:val="en-US" w:eastAsia="zh-CN" w:bidi="ar-SA"/>
                    </w:rPr>
                  </w:pPr>
                  <w:r>
                    <w:rPr>
                      <w:rFonts w:hint="eastAsia"/>
                      <w:color w:val="FF0000"/>
                    </w:rPr>
                    <w:t>S</w:t>
                  </w:r>
                  <w:r>
                    <w:rPr>
                      <w:rFonts w:hint="eastAsia"/>
                      <w:color w:val="FF0000"/>
                      <w:lang w:val="en-US" w:eastAsia="zh-CN"/>
                    </w:rPr>
                    <w:t>8</w:t>
                  </w:r>
                </w:p>
              </w:tc>
              <w:tc>
                <w:tcPr>
                  <w:tcW w:w="2704" w:type="dxa"/>
                  <w:tcBorders>
                    <w:tl2br w:val="nil"/>
                    <w:tr2bl w:val="nil"/>
                  </w:tcBorders>
                  <w:vAlign w:val="center"/>
                </w:tcPr>
                <w:p w14:paraId="246AEDFB">
                  <w:pPr>
                    <w:pStyle w:val="56"/>
                    <w:bidi w:val="0"/>
                    <w:rPr>
                      <w:rFonts w:hint="default"/>
                      <w:color w:val="FF0000"/>
                      <w:szCs w:val="21"/>
                      <w:lang w:val="en-US" w:eastAsia="zh-CN"/>
                    </w:rPr>
                  </w:pPr>
                  <w:r>
                    <w:rPr>
                      <w:rFonts w:hint="eastAsia"/>
                      <w:color w:val="FF0000"/>
                      <w:lang w:val="en-US" w:eastAsia="zh-CN"/>
                    </w:rPr>
                    <w:t>生活垃圾</w:t>
                  </w:r>
                </w:p>
              </w:tc>
              <w:tc>
                <w:tcPr>
                  <w:tcW w:w="2352" w:type="dxa"/>
                  <w:tcBorders>
                    <w:tl2br w:val="nil"/>
                    <w:tr2bl w:val="nil"/>
                  </w:tcBorders>
                  <w:vAlign w:val="center"/>
                </w:tcPr>
                <w:p w14:paraId="10D2B45F">
                  <w:pPr>
                    <w:pStyle w:val="56"/>
                    <w:bidi w:val="0"/>
                    <w:rPr>
                      <w:rFonts w:hint="default"/>
                      <w:color w:val="FF0000"/>
                      <w:szCs w:val="21"/>
                      <w:lang w:val="en-US" w:eastAsia="zh-CN"/>
                    </w:rPr>
                  </w:pPr>
                  <w:r>
                    <w:rPr>
                      <w:rFonts w:hint="eastAsia"/>
                      <w:color w:val="FF0000"/>
                      <w:lang w:val="en-US" w:eastAsia="zh-CN"/>
                    </w:rPr>
                    <w:t>交由环卫部门清运</w:t>
                  </w:r>
                </w:p>
              </w:tc>
            </w:tr>
            <w:tr w14:paraId="2DFD501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279" w:hRule="atLeast"/>
                <w:jc w:val="center"/>
              </w:trPr>
              <w:tc>
                <w:tcPr>
                  <w:tcW w:w="922" w:type="dxa"/>
                  <w:vMerge w:val="restart"/>
                  <w:tcBorders>
                    <w:tl2br w:val="nil"/>
                    <w:tr2bl w:val="nil"/>
                  </w:tcBorders>
                  <w:shd w:val="clear" w:color="auto" w:fill="auto"/>
                  <w:vAlign w:val="center"/>
                </w:tcPr>
                <w:p w14:paraId="65E76EC2">
                  <w:pPr>
                    <w:pStyle w:val="56"/>
                    <w:bidi w:val="0"/>
                    <w:rPr>
                      <w:color w:val="FF0000"/>
                      <w:szCs w:val="21"/>
                    </w:rPr>
                  </w:pPr>
                  <w:r>
                    <w:rPr>
                      <w:rFonts w:hint="eastAsia"/>
                      <w:color w:val="FF0000"/>
                    </w:rPr>
                    <w:t>危险废物</w:t>
                  </w:r>
                </w:p>
              </w:tc>
              <w:tc>
                <w:tcPr>
                  <w:tcW w:w="1773" w:type="dxa"/>
                  <w:vMerge w:val="restart"/>
                  <w:tcBorders>
                    <w:tl2br w:val="nil"/>
                    <w:tr2bl w:val="nil"/>
                  </w:tcBorders>
                  <w:vAlign w:val="center"/>
                </w:tcPr>
                <w:p w14:paraId="378C07E4">
                  <w:pPr>
                    <w:widowControl/>
                    <w:spacing w:line="240" w:lineRule="auto"/>
                    <w:ind w:firstLine="0" w:firstLineChars="0"/>
                    <w:jc w:val="center"/>
                    <w:rPr>
                      <w:color w:val="FF0000"/>
                      <w:sz w:val="21"/>
                      <w:szCs w:val="21"/>
                    </w:rPr>
                  </w:pPr>
                  <w:r>
                    <w:rPr>
                      <w:rFonts w:hint="eastAsia"/>
                      <w:color w:val="FF0000"/>
                      <w:kern w:val="0"/>
                      <w:sz w:val="21"/>
                      <w:szCs w:val="21"/>
                    </w:rPr>
                    <w:t>设备维修</w:t>
                  </w:r>
                </w:p>
              </w:tc>
              <w:tc>
                <w:tcPr>
                  <w:tcW w:w="634" w:type="dxa"/>
                  <w:tcBorders>
                    <w:tl2br w:val="nil"/>
                    <w:tr2bl w:val="nil"/>
                  </w:tcBorders>
                  <w:shd w:val="clear" w:color="auto" w:fill="auto"/>
                  <w:vAlign w:val="center"/>
                </w:tcPr>
                <w:p w14:paraId="5F1FBA47">
                  <w:pPr>
                    <w:pStyle w:val="56"/>
                    <w:bidi w:val="0"/>
                    <w:rPr>
                      <w:rFonts w:hint="eastAsia" w:ascii="Times New Roman" w:hAnsi="Times New Roman" w:eastAsia="宋体" w:cs="Times New Roman"/>
                      <w:color w:val="FF0000"/>
                      <w:kern w:val="0"/>
                      <w:szCs w:val="21"/>
                      <w:lang w:val="en-US" w:eastAsia="zh-CN" w:bidi="ar-SA"/>
                    </w:rPr>
                  </w:pPr>
                  <w:r>
                    <w:rPr>
                      <w:rFonts w:hint="eastAsia"/>
                      <w:color w:val="FF0000"/>
                    </w:rPr>
                    <w:t>S</w:t>
                  </w:r>
                  <w:r>
                    <w:rPr>
                      <w:rFonts w:hint="eastAsia"/>
                      <w:color w:val="FF0000"/>
                      <w:lang w:val="en-US" w:eastAsia="zh-CN"/>
                    </w:rPr>
                    <w:t>9</w:t>
                  </w:r>
                </w:p>
              </w:tc>
              <w:tc>
                <w:tcPr>
                  <w:tcW w:w="2704" w:type="dxa"/>
                  <w:tcBorders>
                    <w:tl2br w:val="nil"/>
                    <w:tr2bl w:val="nil"/>
                  </w:tcBorders>
                  <w:vAlign w:val="center"/>
                </w:tcPr>
                <w:p w14:paraId="045E6432">
                  <w:pPr>
                    <w:pStyle w:val="56"/>
                    <w:bidi w:val="0"/>
                    <w:rPr>
                      <w:color w:val="FF0000"/>
                      <w:szCs w:val="21"/>
                    </w:rPr>
                  </w:pPr>
                  <w:r>
                    <w:rPr>
                      <w:rFonts w:hint="eastAsia"/>
                      <w:color w:val="FF0000"/>
                    </w:rPr>
                    <w:t>含油抹布和手套</w:t>
                  </w:r>
                </w:p>
              </w:tc>
              <w:tc>
                <w:tcPr>
                  <w:tcW w:w="2352" w:type="dxa"/>
                  <w:vMerge w:val="restart"/>
                  <w:tcBorders>
                    <w:tl2br w:val="nil"/>
                    <w:tr2bl w:val="nil"/>
                  </w:tcBorders>
                  <w:vAlign w:val="center"/>
                </w:tcPr>
                <w:p w14:paraId="65F5F283">
                  <w:pPr>
                    <w:pStyle w:val="56"/>
                    <w:bidi w:val="0"/>
                    <w:rPr>
                      <w:rFonts w:hint="default" w:eastAsia="宋体"/>
                      <w:color w:val="FF0000"/>
                      <w:szCs w:val="21"/>
                      <w:lang w:val="en-US" w:eastAsia="zh-CN"/>
                    </w:rPr>
                  </w:pPr>
                  <w:r>
                    <w:rPr>
                      <w:rFonts w:hint="eastAsia"/>
                      <w:color w:val="FF0000"/>
                      <w:lang w:val="en-US" w:eastAsia="zh-CN"/>
                    </w:rPr>
                    <w:t>交由有资质单位处理</w:t>
                  </w:r>
                </w:p>
              </w:tc>
            </w:tr>
            <w:tr w14:paraId="7866331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279" w:hRule="atLeast"/>
                <w:jc w:val="center"/>
              </w:trPr>
              <w:tc>
                <w:tcPr>
                  <w:tcW w:w="922" w:type="dxa"/>
                  <w:vMerge w:val="continue"/>
                  <w:tcBorders>
                    <w:tl2br w:val="nil"/>
                    <w:tr2bl w:val="nil"/>
                  </w:tcBorders>
                  <w:shd w:val="clear" w:color="auto" w:fill="auto"/>
                  <w:vAlign w:val="center"/>
                </w:tcPr>
                <w:p w14:paraId="1759C75D">
                  <w:pPr>
                    <w:pStyle w:val="56"/>
                    <w:spacing w:line="240" w:lineRule="auto"/>
                    <w:jc w:val="center"/>
                    <w:rPr>
                      <w:color w:val="FF0000"/>
                      <w:sz w:val="21"/>
                      <w:szCs w:val="21"/>
                    </w:rPr>
                  </w:pPr>
                </w:p>
              </w:tc>
              <w:tc>
                <w:tcPr>
                  <w:tcW w:w="1773" w:type="dxa"/>
                  <w:vMerge w:val="continue"/>
                  <w:tcBorders>
                    <w:tl2br w:val="nil"/>
                    <w:tr2bl w:val="nil"/>
                  </w:tcBorders>
                  <w:vAlign w:val="center"/>
                </w:tcPr>
                <w:p w14:paraId="0CBC398D">
                  <w:pPr>
                    <w:pStyle w:val="56"/>
                    <w:spacing w:line="240" w:lineRule="auto"/>
                    <w:jc w:val="center"/>
                    <w:rPr>
                      <w:color w:val="FF0000"/>
                      <w:sz w:val="21"/>
                      <w:szCs w:val="21"/>
                    </w:rPr>
                  </w:pPr>
                </w:p>
              </w:tc>
              <w:tc>
                <w:tcPr>
                  <w:tcW w:w="634" w:type="dxa"/>
                  <w:tcBorders>
                    <w:tl2br w:val="nil"/>
                    <w:tr2bl w:val="nil"/>
                  </w:tcBorders>
                  <w:shd w:val="clear" w:color="auto" w:fill="auto"/>
                  <w:vAlign w:val="center"/>
                </w:tcPr>
                <w:p w14:paraId="35B2B6F8">
                  <w:pPr>
                    <w:pStyle w:val="56"/>
                    <w:bidi w:val="0"/>
                    <w:rPr>
                      <w:rFonts w:hint="eastAsia" w:ascii="Times New Roman" w:hAnsi="Times New Roman" w:eastAsia="宋体" w:cs="Times New Roman"/>
                      <w:color w:val="FF0000"/>
                      <w:kern w:val="0"/>
                      <w:szCs w:val="21"/>
                      <w:lang w:val="en-US" w:eastAsia="zh-CN" w:bidi="ar-SA"/>
                    </w:rPr>
                  </w:pPr>
                  <w:r>
                    <w:rPr>
                      <w:rFonts w:hint="eastAsia"/>
                      <w:color w:val="FF0000"/>
                      <w:lang w:val="en-US" w:eastAsia="zh-CN"/>
                    </w:rPr>
                    <w:t>S10</w:t>
                  </w:r>
                </w:p>
              </w:tc>
              <w:tc>
                <w:tcPr>
                  <w:tcW w:w="2704" w:type="dxa"/>
                  <w:tcBorders>
                    <w:tl2br w:val="nil"/>
                    <w:tr2bl w:val="nil"/>
                  </w:tcBorders>
                  <w:vAlign w:val="center"/>
                </w:tcPr>
                <w:p w14:paraId="1C57985E">
                  <w:pPr>
                    <w:pStyle w:val="56"/>
                    <w:bidi w:val="0"/>
                    <w:rPr>
                      <w:color w:val="FF0000"/>
                      <w:szCs w:val="21"/>
                    </w:rPr>
                  </w:pPr>
                  <w:r>
                    <w:rPr>
                      <w:rFonts w:hint="eastAsia"/>
                      <w:color w:val="FF0000"/>
                    </w:rPr>
                    <w:t>废机油</w:t>
                  </w:r>
                </w:p>
              </w:tc>
              <w:tc>
                <w:tcPr>
                  <w:tcW w:w="2352" w:type="dxa"/>
                  <w:vMerge w:val="continue"/>
                  <w:tcBorders>
                    <w:tl2br w:val="nil"/>
                    <w:tr2bl w:val="nil"/>
                  </w:tcBorders>
                  <w:vAlign w:val="center"/>
                </w:tcPr>
                <w:p w14:paraId="1B9698BF">
                  <w:pPr>
                    <w:pStyle w:val="56"/>
                    <w:spacing w:line="240" w:lineRule="auto"/>
                    <w:jc w:val="center"/>
                    <w:rPr>
                      <w:rFonts w:hint="eastAsia"/>
                      <w:color w:val="FF0000"/>
                      <w:sz w:val="21"/>
                      <w:szCs w:val="21"/>
                    </w:rPr>
                  </w:pPr>
                </w:p>
              </w:tc>
            </w:tr>
            <w:tr w14:paraId="3D93CF4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279" w:hRule="atLeast"/>
                <w:jc w:val="center"/>
              </w:trPr>
              <w:tc>
                <w:tcPr>
                  <w:tcW w:w="922" w:type="dxa"/>
                  <w:vMerge w:val="continue"/>
                  <w:tcBorders>
                    <w:tl2br w:val="nil"/>
                    <w:tr2bl w:val="nil"/>
                  </w:tcBorders>
                  <w:shd w:val="clear" w:color="auto" w:fill="auto"/>
                  <w:vAlign w:val="center"/>
                </w:tcPr>
                <w:p w14:paraId="297B149B">
                  <w:pPr>
                    <w:pStyle w:val="56"/>
                    <w:spacing w:line="240" w:lineRule="auto"/>
                    <w:jc w:val="center"/>
                    <w:rPr>
                      <w:color w:val="FF0000"/>
                      <w:sz w:val="21"/>
                      <w:szCs w:val="21"/>
                    </w:rPr>
                  </w:pPr>
                </w:p>
              </w:tc>
              <w:tc>
                <w:tcPr>
                  <w:tcW w:w="1773" w:type="dxa"/>
                  <w:vMerge w:val="continue"/>
                  <w:tcBorders>
                    <w:tl2br w:val="nil"/>
                    <w:tr2bl w:val="nil"/>
                  </w:tcBorders>
                  <w:vAlign w:val="center"/>
                </w:tcPr>
                <w:p w14:paraId="4B88F590">
                  <w:pPr>
                    <w:pStyle w:val="56"/>
                    <w:spacing w:line="240" w:lineRule="auto"/>
                    <w:jc w:val="center"/>
                    <w:rPr>
                      <w:rFonts w:hint="eastAsia"/>
                      <w:color w:val="FF0000"/>
                      <w:sz w:val="21"/>
                      <w:szCs w:val="21"/>
                    </w:rPr>
                  </w:pPr>
                </w:p>
              </w:tc>
              <w:tc>
                <w:tcPr>
                  <w:tcW w:w="634" w:type="dxa"/>
                  <w:tcBorders>
                    <w:tl2br w:val="nil"/>
                    <w:tr2bl w:val="nil"/>
                  </w:tcBorders>
                  <w:shd w:val="clear" w:color="auto" w:fill="auto"/>
                  <w:vAlign w:val="center"/>
                </w:tcPr>
                <w:p w14:paraId="79FBAC83">
                  <w:pPr>
                    <w:pStyle w:val="56"/>
                    <w:bidi w:val="0"/>
                    <w:rPr>
                      <w:rFonts w:hint="default" w:ascii="Times New Roman" w:hAnsi="Times New Roman" w:eastAsia="宋体" w:cs="Times New Roman"/>
                      <w:color w:val="FF0000"/>
                      <w:kern w:val="0"/>
                      <w:szCs w:val="21"/>
                      <w:lang w:val="en-US" w:eastAsia="zh-CN" w:bidi="ar-SA"/>
                    </w:rPr>
                  </w:pPr>
                  <w:r>
                    <w:rPr>
                      <w:rFonts w:hint="eastAsia"/>
                      <w:color w:val="FF0000"/>
                      <w:lang w:val="en-US" w:eastAsia="zh-CN"/>
                    </w:rPr>
                    <w:t>S11</w:t>
                  </w:r>
                </w:p>
              </w:tc>
              <w:tc>
                <w:tcPr>
                  <w:tcW w:w="2704" w:type="dxa"/>
                  <w:tcBorders>
                    <w:tl2br w:val="nil"/>
                    <w:tr2bl w:val="nil"/>
                  </w:tcBorders>
                  <w:vAlign w:val="center"/>
                </w:tcPr>
                <w:p w14:paraId="4B8B7872">
                  <w:pPr>
                    <w:pStyle w:val="56"/>
                    <w:bidi w:val="0"/>
                    <w:rPr>
                      <w:rFonts w:hint="eastAsia"/>
                      <w:color w:val="FF0000"/>
                      <w:szCs w:val="21"/>
                    </w:rPr>
                  </w:pPr>
                  <w:r>
                    <w:rPr>
                      <w:rFonts w:hint="eastAsia"/>
                      <w:color w:val="FF0000"/>
                      <w:lang w:val="en-US" w:eastAsia="zh-CN"/>
                    </w:rPr>
                    <w:t>废</w:t>
                  </w:r>
                  <w:r>
                    <w:rPr>
                      <w:rFonts w:hint="eastAsia"/>
                      <w:color w:val="FF0000"/>
                    </w:rPr>
                    <w:t>机油桶</w:t>
                  </w:r>
                </w:p>
              </w:tc>
              <w:tc>
                <w:tcPr>
                  <w:tcW w:w="2352" w:type="dxa"/>
                  <w:vMerge w:val="continue"/>
                  <w:tcBorders>
                    <w:tl2br w:val="nil"/>
                    <w:tr2bl w:val="nil"/>
                  </w:tcBorders>
                  <w:vAlign w:val="center"/>
                </w:tcPr>
                <w:p w14:paraId="7D601C9C">
                  <w:pPr>
                    <w:pStyle w:val="56"/>
                    <w:spacing w:line="240" w:lineRule="auto"/>
                    <w:jc w:val="center"/>
                    <w:rPr>
                      <w:rFonts w:hint="eastAsia"/>
                      <w:color w:val="FF0000"/>
                      <w:sz w:val="21"/>
                      <w:szCs w:val="21"/>
                    </w:rPr>
                  </w:pPr>
                </w:p>
              </w:tc>
            </w:tr>
            <w:tr w14:paraId="3748739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74" w:hRule="atLeast"/>
                <w:jc w:val="center"/>
              </w:trPr>
              <w:tc>
                <w:tcPr>
                  <w:tcW w:w="922" w:type="dxa"/>
                  <w:tcBorders>
                    <w:tl2br w:val="nil"/>
                    <w:tr2bl w:val="nil"/>
                  </w:tcBorders>
                  <w:shd w:val="clear" w:color="auto" w:fill="auto"/>
                  <w:vAlign w:val="center"/>
                </w:tcPr>
                <w:p w14:paraId="3B3A0394">
                  <w:pPr>
                    <w:pStyle w:val="56"/>
                    <w:bidi w:val="0"/>
                    <w:rPr>
                      <w:color w:val="FF0000"/>
                      <w:szCs w:val="21"/>
                    </w:rPr>
                  </w:pPr>
                  <w:r>
                    <w:rPr>
                      <w:color w:val="FF0000"/>
                    </w:rPr>
                    <w:t>噪声</w:t>
                  </w:r>
                </w:p>
              </w:tc>
              <w:tc>
                <w:tcPr>
                  <w:tcW w:w="2407" w:type="dxa"/>
                  <w:gridSpan w:val="2"/>
                  <w:tcBorders>
                    <w:tl2br w:val="nil"/>
                    <w:tr2bl w:val="nil"/>
                  </w:tcBorders>
                  <w:vAlign w:val="center"/>
                </w:tcPr>
                <w:p w14:paraId="59D20199">
                  <w:pPr>
                    <w:pStyle w:val="56"/>
                    <w:bidi w:val="0"/>
                    <w:rPr>
                      <w:color w:val="FF0000"/>
                      <w:szCs w:val="21"/>
                    </w:rPr>
                  </w:pPr>
                  <w:r>
                    <w:rPr>
                      <w:color w:val="FF0000"/>
                    </w:rPr>
                    <w:t>设备运行</w:t>
                  </w:r>
                </w:p>
              </w:tc>
              <w:tc>
                <w:tcPr>
                  <w:tcW w:w="2704" w:type="dxa"/>
                  <w:tcBorders>
                    <w:tl2br w:val="nil"/>
                    <w:tr2bl w:val="nil"/>
                  </w:tcBorders>
                  <w:vAlign w:val="center"/>
                </w:tcPr>
                <w:p w14:paraId="48116D95">
                  <w:pPr>
                    <w:pStyle w:val="56"/>
                    <w:bidi w:val="0"/>
                    <w:rPr>
                      <w:color w:val="FF0000"/>
                      <w:szCs w:val="21"/>
                    </w:rPr>
                  </w:pPr>
                  <w:r>
                    <w:rPr>
                      <w:color w:val="FF0000"/>
                    </w:rPr>
                    <w:t>设备噪声</w:t>
                  </w:r>
                </w:p>
              </w:tc>
              <w:tc>
                <w:tcPr>
                  <w:tcW w:w="2352" w:type="dxa"/>
                  <w:tcBorders>
                    <w:tl2br w:val="nil"/>
                    <w:tr2bl w:val="nil"/>
                  </w:tcBorders>
                  <w:vAlign w:val="center"/>
                </w:tcPr>
                <w:p w14:paraId="039259A0">
                  <w:pPr>
                    <w:pStyle w:val="56"/>
                    <w:bidi w:val="0"/>
                    <w:rPr>
                      <w:rFonts w:hint="default" w:eastAsia="宋体"/>
                      <w:color w:val="FF0000"/>
                      <w:szCs w:val="21"/>
                      <w:lang w:val="en-US" w:eastAsia="zh-CN"/>
                    </w:rPr>
                  </w:pPr>
                  <w:r>
                    <w:rPr>
                      <w:rFonts w:hint="eastAsia"/>
                      <w:color w:val="FF0000"/>
                      <w:lang w:val="en-US" w:eastAsia="zh-CN"/>
                    </w:rPr>
                    <w:t>基础减振、厂房隔声</w:t>
                  </w:r>
                </w:p>
              </w:tc>
            </w:tr>
          </w:tbl>
          <w:p w14:paraId="57CC9D56">
            <w:pPr>
              <w:pStyle w:val="19"/>
              <w:ind w:left="0" w:leftChars="0" w:firstLine="482" w:firstLineChars="200"/>
              <w:rPr>
                <w:rFonts w:hint="default" w:ascii="Times New Roman" w:hAnsi="Times New Roman" w:eastAsia="宋体" w:cs="Times New Roman"/>
                <w:b/>
                <w:bCs/>
                <w:color w:val="FF0000"/>
                <w:highlight w:val="none"/>
                <w:lang w:val="en-US" w:eastAsia="zh-CN"/>
              </w:rPr>
            </w:pPr>
            <w:r>
              <w:rPr>
                <w:rFonts w:hint="eastAsia" w:ascii="Times New Roman" w:hAnsi="Times New Roman" w:eastAsia="宋体" w:cs="Times New Roman"/>
                <w:b/>
                <w:bCs/>
                <w:color w:val="FF0000"/>
                <w:highlight w:val="none"/>
                <w:lang w:val="en-US" w:eastAsia="zh-CN"/>
              </w:rPr>
              <w:t xml:space="preserve">四 </w:t>
            </w:r>
            <w:r>
              <w:rPr>
                <w:rFonts w:hint="default" w:ascii="Times New Roman" w:hAnsi="Times New Roman" w:eastAsia="宋体" w:cs="Times New Roman"/>
                <w:b/>
                <w:bCs/>
                <w:color w:val="FF0000"/>
                <w:highlight w:val="none"/>
                <w:lang w:val="en-US" w:eastAsia="zh-CN"/>
              </w:rPr>
              <w:t>物料平衡</w:t>
            </w:r>
          </w:p>
          <w:p w14:paraId="717791B6">
            <w:pPr>
              <w:keepNext w:val="0"/>
              <w:keepLines w:val="0"/>
              <w:pageBreakBefore w:val="0"/>
              <w:widowControl w:val="0"/>
              <w:tabs>
                <w:tab w:val="left" w:pos="525"/>
              </w:tabs>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FF0000"/>
                <w:kern w:val="21"/>
                <w:sz w:val="21"/>
                <w:szCs w:val="21"/>
                <w:lang w:val="en-US" w:eastAsia="zh-CN"/>
              </w:rPr>
            </w:pPr>
            <w:r>
              <w:rPr>
                <w:rFonts w:ascii="Times New Roman" w:hAnsi="Times New Roman" w:eastAsia="宋体" w:cs="Times New Roman"/>
                <w:b/>
                <w:color w:val="FF0000"/>
                <w:kern w:val="21"/>
                <w:sz w:val="21"/>
                <w:szCs w:val="21"/>
              </w:rPr>
              <w:t>表</w:t>
            </w:r>
            <w:r>
              <w:rPr>
                <w:rFonts w:hint="eastAsia" w:ascii="Times New Roman" w:hAnsi="Times New Roman" w:eastAsia="宋体" w:cs="Times New Roman"/>
                <w:b/>
                <w:color w:val="FF0000"/>
                <w:kern w:val="21"/>
                <w:sz w:val="21"/>
                <w:szCs w:val="21"/>
                <w:lang w:val="en-US" w:eastAsia="zh-CN"/>
              </w:rPr>
              <w:t>2-</w:t>
            </w:r>
            <w:r>
              <w:rPr>
                <w:rFonts w:hint="eastAsia" w:cs="Times New Roman"/>
                <w:b/>
                <w:color w:val="FF0000"/>
                <w:kern w:val="21"/>
                <w:sz w:val="21"/>
                <w:szCs w:val="21"/>
                <w:lang w:val="en-US" w:eastAsia="zh-CN"/>
              </w:rPr>
              <w:t>9</w:t>
            </w:r>
            <w:r>
              <w:rPr>
                <w:rFonts w:hint="eastAsia" w:ascii="Times New Roman" w:hAnsi="Times New Roman" w:eastAsia="宋体" w:cs="Times New Roman"/>
                <w:b/>
                <w:color w:val="FF0000"/>
                <w:kern w:val="21"/>
                <w:sz w:val="21"/>
                <w:szCs w:val="21"/>
                <w:lang w:val="en-US" w:eastAsia="zh-CN" w:bidi="ar-SA"/>
              </w:rPr>
              <w:t xml:space="preserve"> 本项目预制件物料平衡表</w:t>
            </w:r>
          </w:p>
          <w:tbl>
            <w:tblPr>
              <w:tblStyle w:val="41"/>
              <w:tblW w:w="83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17" w:type="dxa"/>
                <w:left w:w="108" w:type="dxa"/>
                <w:bottom w:w="17" w:type="dxa"/>
                <w:right w:w="108" w:type="dxa"/>
              </w:tblCellMar>
            </w:tblPr>
            <w:tblGrid>
              <w:gridCol w:w="783"/>
              <w:gridCol w:w="1440"/>
              <w:gridCol w:w="1214"/>
              <w:gridCol w:w="670"/>
              <w:gridCol w:w="658"/>
              <w:gridCol w:w="2382"/>
              <w:gridCol w:w="1214"/>
            </w:tblGrid>
            <w:tr w14:paraId="6C2D27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3437" w:type="dxa"/>
                  <w:gridSpan w:val="3"/>
                  <w:tcBorders>
                    <w:tl2br w:val="nil"/>
                    <w:tr2bl w:val="nil"/>
                  </w:tcBorders>
                  <w:noWrap w:val="0"/>
                  <w:vAlign w:val="center"/>
                </w:tcPr>
                <w:p w14:paraId="4743EF0A">
                  <w:pPr>
                    <w:keepNext w:val="0"/>
                    <w:keepLines w:val="0"/>
                    <w:pageBreakBefore w:val="0"/>
                    <w:wordWrap/>
                    <w:topLinePunct w:val="0"/>
                    <w:bidi w:val="0"/>
                    <w:spacing w:line="240" w:lineRule="auto"/>
                    <w:ind w:firstLine="0" w:firstLineChars="0"/>
                    <w:jc w:val="center"/>
                    <w:textAlignment w:val="auto"/>
                    <w:rPr>
                      <w:rFonts w:ascii="Times New Roman" w:hAnsi="Times New Roman" w:eastAsia="宋体" w:cs="Times New Roman"/>
                      <w:color w:val="FF0000"/>
                      <w:sz w:val="21"/>
                    </w:rPr>
                  </w:pPr>
                  <w:r>
                    <w:rPr>
                      <w:rFonts w:hint="eastAsia" w:ascii="Times New Roman" w:hAnsi="Times New Roman" w:eastAsia="宋体" w:cs="Times New Roman"/>
                      <w:color w:val="FF0000"/>
                      <w:sz w:val="21"/>
                    </w:rPr>
                    <w:t>投入</w:t>
                  </w:r>
                </w:p>
              </w:tc>
              <w:tc>
                <w:tcPr>
                  <w:tcW w:w="4924" w:type="dxa"/>
                  <w:gridSpan w:val="4"/>
                  <w:tcBorders>
                    <w:tl2br w:val="nil"/>
                    <w:tr2bl w:val="nil"/>
                  </w:tcBorders>
                  <w:noWrap w:val="0"/>
                  <w:vAlign w:val="center"/>
                </w:tcPr>
                <w:p w14:paraId="5DC29C3D">
                  <w:pPr>
                    <w:keepNext w:val="0"/>
                    <w:keepLines w:val="0"/>
                    <w:pageBreakBefore w:val="0"/>
                    <w:wordWrap/>
                    <w:topLinePunct w:val="0"/>
                    <w:bidi w:val="0"/>
                    <w:spacing w:line="240" w:lineRule="auto"/>
                    <w:ind w:firstLine="0" w:firstLineChars="0"/>
                    <w:jc w:val="center"/>
                    <w:textAlignment w:val="auto"/>
                    <w:rPr>
                      <w:rFonts w:ascii="Times New Roman" w:hAnsi="Times New Roman" w:eastAsia="宋体" w:cs="Times New Roman"/>
                      <w:color w:val="FF0000"/>
                      <w:sz w:val="21"/>
                    </w:rPr>
                  </w:pPr>
                  <w:r>
                    <w:rPr>
                      <w:rFonts w:hint="eastAsia" w:ascii="Times New Roman" w:hAnsi="Times New Roman" w:eastAsia="宋体" w:cs="Times New Roman"/>
                      <w:color w:val="FF0000"/>
                      <w:sz w:val="21"/>
                    </w:rPr>
                    <w:t>产出</w:t>
                  </w:r>
                </w:p>
              </w:tc>
            </w:tr>
            <w:tr w14:paraId="20E8A9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783" w:type="dxa"/>
                  <w:tcBorders>
                    <w:tl2br w:val="nil"/>
                    <w:tr2bl w:val="nil"/>
                  </w:tcBorders>
                  <w:noWrap w:val="0"/>
                  <w:vAlign w:val="center"/>
                </w:tcPr>
                <w:p w14:paraId="6F924380">
                  <w:pPr>
                    <w:keepNext w:val="0"/>
                    <w:keepLines w:val="0"/>
                    <w:pageBreakBefore w:val="0"/>
                    <w:wordWrap/>
                    <w:topLinePunct w:val="0"/>
                    <w:bidi w:val="0"/>
                    <w:spacing w:line="240" w:lineRule="auto"/>
                    <w:ind w:firstLine="0" w:firstLineChars="0"/>
                    <w:jc w:val="center"/>
                    <w:textAlignment w:val="auto"/>
                    <w:rPr>
                      <w:rFonts w:ascii="Times New Roman" w:hAnsi="Times New Roman" w:eastAsia="宋体" w:cs="Times New Roman"/>
                      <w:color w:val="FF0000"/>
                      <w:sz w:val="21"/>
                    </w:rPr>
                  </w:pPr>
                  <w:r>
                    <w:rPr>
                      <w:rFonts w:ascii="Times New Roman" w:hAnsi="Times New Roman" w:eastAsia="宋体" w:cs="Times New Roman"/>
                      <w:color w:val="FF0000"/>
                      <w:sz w:val="21"/>
                    </w:rPr>
                    <w:t>序号</w:t>
                  </w:r>
                </w:p>
              </w:tc>
              <w:tc>
                <w:tcPr>
                  <w:tcW w:w="1440" w:type="dxa"/>
                  <w:tcBorders>
                    <w:tl2br w:val="nil"/>
                    <w:tr2bl w:val="nil"/>
                  </w:tcBorders>
                  <w:noWrap w:val="0"/>
                  <w:vAlign w:val="center"/>
                </w:tcPr>
                <w:p w14:paraId="1DD1DE69">
                  <w:pPr>
                    <w:keepNext w:val="0"/>
                    <w:keepLines w:val="0"/>
                    <w:pageBreakBefore w:val="0"/>
                    <w:wordWrap/>
                    <w:topLinePunct w:val="0"/>
                    <w:bidi w:val="0"/>
                    <w:spacing w:line="240" w:lineRule="auto"/>
                    <w:ind w:firstLine="0" w:firstLineChars="0"/>
                    <w:jc w:val="center"/>
                    <w:textAlignment w:val="auto"/>
                    <w:rPr>
                      <w:rFonts w:ascii="Times New Roman" w:hAnsi="Times New Roman" w:eastAsia="宋体" w:cs="Times New Roman"/>
                      <w:color w:val="FF0000"/>
                      <w:sz w:val="21"/>
                    </w:rPr>
                  </w:pPr>
                  <w:r>
                    <w:rPr>
                      <w:rFonts w:ascii="Times New Roman" w:hAnsi="Times New Roman" w:eastAsia="宋体" w:cs="Times New Roman"/>
                      <w:color w:val="FF0000"/>
                      <w:sz w:val="21"/>
                    </w:rPr>
                    <w:t>名称</w:t>
                  </w:r>
                </w:p>
              </w:tc>
              <w:tc>
                <w:tcPr>
                  <w:tcW w:w="1214" w:type="dxa"/>
                  <w:tcBorders>
                    <w:tl2br w:val="nil"/>
                    <w:tr2bl w:val="nil"/>
                  </w:tcBorders>
                  <w:noWrap w:val="0"/>
                  <w:vAlign w:val="center"/>
                </w:tcPr>
                <w:p w14:paraId="4D301A85">
                  <w:pPr>
                    <w:keepNext w:val="0"/>
                    <w:keepLines w:val="0"/>
                    <w:pageBreakBefore w:val="0"/>
                    <w:wordWrap/>
                    <w:topLinePunct w:val="0"/>
                    <w:bidi w:val="0"/>
                    <w:spacing w:line="240" w:lineRule="auto"/>
                    <w:ind w:firstLine="0" w:firstLineChars="0"/>
                    <w:jc w:val="center"/>
                    <w:textAlignment w:val="auto"/>
                    <w:rPr>
                      <w:rFonts w:ascii="Times New Roman" w:hAnsi="Times New Roman" w:eastAsia="宋体" w:cs="Times New Roman"/>
                      <w:color w:val="FF0000"/>
                      <w:sz w:val="21"/>
                    </w:rPr>
                  </w:pPr>
                  <w:r>
                    <w:rPr>
                      <w:rFonts w:ascii="Times New Roman" w:hAnsi="Times New Roman" w:eastAsia="宋体" w:cs="Times New Roman"/>
                      <w:color w:val="FF0000"/>
                      <w:sz w:val="21"/>
                    </w:rPr>
                    <w:t>数量</w:t>
                  </w:r>
                  <w:r>
                    <w:rPr>
                      <w:rFonts w:hint="eastAsia" w:ascii="Times New Roman" w:hAnsi="Times New Roman" w:eastAsia="宋体" w:cs="Times New Roman"/>
                      <w:color w:val="FF0000"/>
                      <w:sz w:val="21"/>
                    </w:rPr>
                    <w:t>（t/a）</w:t>
                  </w:r>
                </w:p>
              </w:tc>
              <w:tc>
                <w:tcPr>
                  <w:tcW w:w="670" w:type="dxa"/>
                  <w:tcBorders>
                    <w:tl2br w:val="nil"/>
                    <w:tr2bl w:val="nil"/>
                  </w:tcBorders>
                  <w:noWrap w:val="0"/>
                  <w:vAlign w:val="center"/>
                </w:tcPr>
                <w:p w14:paraId="3F4333FB">
                  <w:pPr>
                    <w:keepNext w:val="0"/>
                    <w:keepLines w:val="0"/>
                    <w:pageBreakBefore w:val="0"/>
                    <w:wordWrap/>
                    <w:topLinePunct w:val="0"/>
                    <w:bidi w:val="0"/>
                    <w:spacing w:line="240" w:lineRule="auto"/>
                    <w:ind w:firstLine="0" w:firstLineChars="0"/>
                    <w:jc w:val="center"/>
                    <w:textAlignment w:val="auto"/>
                    <w:rPr>
                      <w:rFonts w:ascii="Times New Roman" w:hAnsi="Times New Roman" w:eastAsia="宋体" w:cs="Times New Roman"/>
                      <w:color w:val="FF0000"/>
                      <w:sz w:val="21"/>
                    </w:rPr>
                  </w:pPr>
                  <w:r>
                    <w:rPr>
                      <w:rFonts w:ascii="Times New Roman" w:hAnsi="Times New Roman" w:eastAsia="宋体" w:cs="Times New Roman"/>
                      <w:color w:val="FF0000"/>
                      <w:sz w:val="21"/>
                    </w:rPr>
                    <w:t>序号</w:t>
                  </w:r>
                </w:p>
              </w:tc>
              <w:tc>
                <w:tcPr>
                  <w:tcW w:w="3040" w:type="dxa"/>
                  <w:gridSpan w:val="2"/>
                  <w:tcBorders>
                    <w:tl2br w:val="nil"/>
                    <w:tr2bl w:val="nil"/>
                  </w:tcBorders>
                  <w:noWrap w:val="0"/>
                  <w:vAlign w:val="center"/>
                </w:tcPr>
                <w:p w14:paraId="7709F3C1">
                  <w:pPr>
                    <w:keepNext w:val="0"/>
                    <w:keepLines w:val="0"/>
                    <w:pageBreakBefore w:val="0"/>
                    <w:wordWrap/>
                    <w:topLinePunct w:val="0"/>
                    <w:bidi w:val="0"/>
                    <w:spacing w:line="240" w:lineRule="auto"/>
                    <w:ind w:firstLine="0" w:firstLineChars="0"/>
                    <w:jc w:val="center"/>
                    <w:textAlignment w:val="auto"/>
                    <w:rPr>
                      <w:rFonts w:ascii="Times New Roman" w:hAnsi="Times New Roman" w:eastAsia="宋体" w:cs="Times New Roman"/>
                      <w:color w:val="FF0000"/>
                      <w:sz w:val="21"/>
                    </w:rPr>
                  </w:pPr>
                  <w:r>
                    <w:rPr>
                      <w:rFonts w:ascii="Times New Roman" w:hAnsi="Times New Roman" w:eastAsia="宋体" w:cs="Times New Roman"/>
                      <w:color w:val="FF0000"/>
                      <w:sz w:val="21"/>
                    </w:rPr>
                    <w:t>名称</w:t>
                  </w:r>
                </w:p>
              </w:tc>
              <w:tc>
                <w:tcPr>
                  <w:tcW w:w="1214" w:type="dxa"/>
                  <w:tcBorders>
                    <w:tl2br w:val="nil"/>
                    <w:tr2bl w:val="nil"/>
                  </w:tcBorders>
                  <w:noWrap w:val="0"/>
                  <w:vAlign w:val="center"/>
                </w:tcPr>
                <w:p w14:paraId="51025629">
                  <w:pPr>
                    <w:keepNext w:val="0"/>
                    <w:keepLines w:val="0"/>
                    <w:pageBreakBefore w:val="0"/>
                    <w:wordWrap/>
                    <w:topLinePunct w:val="0"/>
                    <w:bidi w:val="0"/>
                    <w:spacing w:line="240" w:lineRule="auto"/>
                    <w:ind w:firstLine="0" w:firstLineChars="0"/>
                    <w:jc w:val="center"/>
                    <w:textAlignment w:val="auto"/>
                    <w:rPr>
                      <w:rFonts w:ascii="Times New Roman" w:hAnsi="Times New Roman" w:eastAsia="宋体" w:cs="Times New Roman"/>
                      <w:color w:val="FF0000"/>
                      <w:sz w:val="21"/>
                    </w:rPr>
                  </w:pPr>
                  <w:r>
                    <w:rPr>
                      <w:rFonts w:ascii="Times New Roman" w:hAnsi="Times New Roman" w:eastAsia="宋体" w:cs="Times New Roman"/>
                      <w:color w:val="FF0000"/>
                      <w:sz w:val="21"/>
                    </w:rPr>
                    <w:t>数量</w:t>
                  </w:r>
                  <w:r>
                    <w:rPr>
                      <w:rFonts w:hint="eastAsia" w:ascii="Times New Roman" w:hAnsi="Times New Roman" w:eastAsia="宋体" w:cs="Times New Roman"/>
                      <w:color w:val="FF0000"/>
                      <w:sz w:val="21"/>
                    </w:rPr>
                    <w:t>（t/a）</w:t>
                  </w:r>
                </w:p>
              </w:tc>
            </w:tr>
            <w:tr w14:paraId="004F57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783" w:type="dxa"/>
                  <w:tcBorders>
                    <w:tl2br w:val="nil"/>
                    <w:tr2bl w:val="nil"/>
                  </w:tcBorders>
                  <w:noWrap w:val="0"/>
                  <w:vAlign w:val="center"/>
                </w:tcPr>
                <w:p w14:paraId="5D44A8A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FF0000"/>
                      <w:sz w:val="21"/>
                    </w:rPr>
                  </w:pPr>
                  <w:r>
                    <w:rPr>
                      <w:rFonts w:hint="eastAsia" w:ascii="Times New Roman" w:hAnsi="Times New Roman" w:eastAsia="宋体" w:cs="Times New Roman"/>
                      <w:color w:val="FF0000"/>
                      <w:sz w:val="21"/>
                    </w:rPr>
                    <w:t>1</w:t>
                  </w:r>
                </w:p>
              </w:tc>
              <w:tc>
                <w:tcPr>
                  <w:tcW w:w="1440" w:type="dxa"/>
                  <w:tcBorders>
                    <w:tl2br w:val="nil"/>
                    <w:tr2bl w:val="nil"/>
                  </w:tcBorders>
                  <w:shd w:val="clear" w:color="auto" w:fill="auto"/>
                  <w:noWrap w:val="0"/>
                  <w:vAlign w:val="center"/>
                </w:tcPr>
                <w:p w14:paraId="783273F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iCs w:val="0"/>
                      <w:color w:val="FF0000"/>
                      <w:kern w:val="2"/>
                      <w:sz w:val="21"/>
                      <w:szCs w:val="21"/>
                      <w:u w:val="none"/>
                      <w:lang w:val="en-US" w:eastAsia="zh-CN" w:bidi="ar-SA"/>
                    </w:rPr>
                  </w:pPr>
                  <w:r>
                    <w:rPr>
                      <w:rFonts w:hint="eastAsia" w:ascii="宋体" w:hAnsi="宋体" w:eastAsia="宋体" w:cs="宋体"/>
                      <w:i w:val="0"/>
                      <w:iCs w:val="0"/>
                      <w:color w:val="FF0000"/>
                      <w:kern w:val="0"/>
                      <w:sz w:val="21"/>
                      <w:szCs w:val="21"/>
                      <w:u w:val="none"/>
                      <w:lang w:val="en-US" w:eastAsia="zh-CN" w:bidi="ar"/>
                    </w:rPr>
                    <w:t>水</w:t>
                  </w:r>
                </w:p>
              </w:tc>
              <w:tc>
                <w:tcPr>
                  <w:tcW w:w="1214" w:type="dxa"/>
                  <w:tcBorders>
                    <w:tl2br w:val="nil"/>
                    <w:tr2bl w:val="nil"/>
                  </w:tcBorders>
                  <w:noWrap w:val="0"/>
                  <w:vAlign w:val="center"/>
                </w:tcPr>
                <w:p w14:paraId="73E61954">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964</w:t>
                  </w:r>
                </w:p>
              </w:tc>
              <w:tc>
                <w:tcPr>
                  <w:tcW w:w="670" w:type="dxa"/>
                  <w:vMerge w:val="restart"/>
                  <w:tcBorders>
                    <w:tl2br w:val="nil"/>
                    <w:tr2bl w:val="nil"/>
                  </w:tcBorders>
                  <w:noWrap w:val="0"/>
                  <w:vAlign w:val="center"/>
                </w:tcPr>
                <w:p w14:paraId="0FFB2AED">
                  <w:pPr>
                    <w:keepNext w:val="0"/>
                    <w:keepLines w:val="0"/>
                    <w:pageBreakBefore w:val="0"/>
                    <w:wordWrap/>
                    <w:topLinePunct w:val="0"/>
                    <w:bidi w:val="0"/>
                    <w:spacing w:line="240" w:lineRule="auto"/>
                    <w:ind w:firstLine="0" w:firstLineChars="0"/>
                    <w:jc w:val="center"/>
                    <w:textAlignment w:val="auto"/>
                    <w:rPr>
                      <w:rFonts w:hint="eastAsia" w:ascii="Times New Roman" w:hAnsi="Times New Roman" w:eastAsia="宋体" w:cs="Times New Roman"/>
                      <w:color w:val="FF0000"/>
                      <w:sz w:val="21"/>
                    </w:rPr>
                  </w:pPr>
                  <w:r>
                    <w:rPr>
                      <w:rFonts w:hint="eastAsia" w:ascii="Times New Roman" w:hAnsi="Times New Roman" w:eastAsia="宋体" w:cs="Times New Roman"/>
                      <w:color w:val="FF0000"/>
                      <w:sz w:val="21"/>
                    </w:rPr>
                    <w:t>1</w:t>
                  </w:r>
                </w:p>
                <w:p w14:paraId="47D45AA1">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2</w:t>
                  </w:r>
                </w:p>
              </w:tc>
              <w:tc>
                <w:tcPr>
                  <w:tcW w:w="658" w:type="dxa"/>
                  <w:vMerge w:val="restart"/>
                  <w:tcBorders>
                    <w:tl2br w:val="nil"/>
                    <w:tr2bl w:val="nil"/>
                  </w:tcBorders>
                  <w:noWrap w:val="0"/>
                  <w:vAlign w:val="center"/>
                </w:tcPr>
                <w:p w14:paraId="552ED7BF">
                  <w:pPr>
                    <w:keepNext w:val="0"/>
                    <w:keepLines w:val="0"/>
                    <w:pageBreakBefore w:val="0"/>
                    <w:wordWrap/>
                    <w:topLinePunct w:val="0"/>
                    <w:bidi w:val="0"/>
                    <w:spacing w:line="240" w:lineRule="auto"/>
                    <w:ind w:firstLine="0" w:firstLineChars="0"/>
                    <w:jc w:val="center"/>
                    <w:textAlignment w:val="auto"/>
                    <w:rPr>
                      <w:rFonts w:ascii="Times New Roman" w:hAnsi="Times New Roman" w:eastAsia="宋体" w:cs="Times New Roman"/>
                      <w:color w:val="FF0000"/>
                      <w:sz w:val="21"/>
                    </w:rPr>
                  </w:pPr>
                  <w:r>
                    <w:rPr>
                      <w:rFonts w:ascii="Times New Roman" w:hAnsi="Times New Roman" w:eastAsia="宋体" w:cs="Times New Roman"/>
                      <w:color w:val="FF0000"/>
                      <w:sz w:val="21"/>
                    </w:rPr>
                    <w:t>产品</w:t>
                  </w:r>
                </w:p>
              </w:tc>
              <w:tc>
                <w:tcPr>
                  <w:tcW w:w="2382" w:type="dxa"/>
                  <w:tcBorders>
                    <w:tl2br w:val="nil"/>
                    <w:tr2bl w:val="nil"/>
                  </w:tcBorders>
                  <w:noWrap w:val="0"/>
                  <w:vAlign w:val="center"/>
                </w:tcPr>
                <w:p w14:paraId="69763522">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光伏预制装配式围墙</w:t>
                  </w:r>
                </w:p>
              </w:tc>
              <w:tc>
                <w:tcPr>
                  <w:tcW w:w="1214" w:type="dxa"/>
                  <w:tcBorders>
                    <w:tl2br w:val="nil"/>
                    <w:tr2bl w:val="nil"/>
                  </w:tcBorders>
                  <w:noWrap w:val="0"/>
                  <w:vAlign w:val="center"/>
                </w:tcPr>
                <w:p w14:paraId="253B8C9A">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9912</w:t>
                  </w:r>
                </w:p>
              </w:tc>
            </w:tr>
            <w:tr w14:paraId="0989A6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783" w:type="dxa"/>
                  <w:tcBorders>
                    <w:tl2br w:val="nil"/>
                    <w:tr2bl w:val="nil"/>
                  </w:tcBorders>
                  <w:noWrap w:val="0"/>
                  <w:vAlign w:val="center"/>
                </w:tcPr>
                <w:p w14:paraId="2573CCA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2</w:t>
                  </w:r>
                </w:p>
              </w:tc>
              <w:tc>
                <w:tcPr>
                  <w:tcW w:w="1440" w:type="dxa"/>
                  <w:tcBorders>
                    <w:tl2br w:val="nil"/>
                    <w:tr2bl w:val="nil"/>
                  </w:tcBorders>
                  <w:noWrap w:val="0"/>
                  <w:vAlign w:val="center"/>
                </w:tcPr>
                <w:p w14:paraId="59528D6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FF0000"/>
                      <w:sz w:val="21"/>
                      <w:lang w:val="en-US" w:eastAsia="zh-CN"/>
                    </w:rPr>
                  </w:pPr>
                  <w:r>
                    <w:rPr>
                      <w:rFonts w:hint="eastAsia" w:ascii="宋体" w:hAnsi="宋体" w:eastAsia="宋体" w:cs="宋体"/>
                      <w:i w:val="0"/>
                      <w:iCs w:val="0"/>
                      <w:color w:val="FF0000"/>
                      <w:kern w:val="0"/>
                      <w:sz w:val="21"/>
                      <w:szCs w:val="21"/>
                      <w:u w:val="none"/>
                      <w:lang w:val="en-US" w:eastAsia="zh-CN" w:bidi="ar"/>
                    </w:rPr>
                    <w:t>水泥</w:t>
                  </w:r>
                </w:p>
              </w:tc>
              <w:tc>
                <w:tcPr>
                  <w:tcW w:w="1214" w:type="dxa"/>
                  <w:tcBorders>
                    <w:tl2br w:val="nil"/>
                    <w:tr2bl w:val="nil"/>
                  </w:tcBorders>
                  <w:noWrap w:val="0"/>
                  <w:vAlign w:val="center"/>
                </w:tcPr>
                <w:p w14:paraId="58795B06">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2189</w:t>
                  </w:r>
                </w:p>
              </w:tc>
              <w:tc>
                <w:tcPr>
                  <w:tcW w:w="670" w:type="dxa"/>
                  <w:vMerge w:val="continue"/>
                  <w:tcBorders>
                    <w:tl2br w:val="nil"/>
                    <w:tr2bl w:val="nil"/>
                  </w:tcBorders>
                  <w:noWrap w:val="0"/>
                  <w:vAlign w:val="center"/>
                </w:tcPr>
                <w:p w14:paraId="5AED982A">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p>
              </w:tc>
              <w:tc>
                <w:tcPr>
                  <w:tcW w:w="658" w:type="dxa"/>
                  <w:vMerge w:val="continue"/>
                  <w:tcBorders>
                    <w:tl2br w:val="nil"/>
                    <w:tr2bl w:val="nil"/>
                  </w:tcBorders>
                  <w:noWrap w:val="0"/>
                  <w:vAlign w:val="center"/>
                </w:tcPr>
                <w:p w14:paraId="5982FBF3">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p>
              </w:tc>
              <w:tc>
                <w:tcPr>
                  <w:tcW w:w="2382" w:type="dxa"/>
                  <w:tcBorders>
                    <w:tl2br w:val="nil"/>
                    <w:tr2bl w:val="nil"/>
                  </w:tcBorders>
                  <w:noWrap w:val="0"/>
                  <w:vAlign w:val="center"/>
                </w:tcPr>
                <w:p w14:paraId="1F2E0531">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预制箱变基础</w:t>
                  </w:r>
                </w:p>
              </w:tc>
              <w:tc>
                <w:tcPr>
                  <w:tcW w:w="1214" w:type="dxa"/>
                  <w:tcBorders>
                    <w:tl2br w:val="nil"/>
                    <w:tr2bl w:val="nil"/>
                  </w:tcBorders>
                  <w:noWrap w:val="0"/>
                  <w:vAlign w:val="center"/>
                </w:tcPr>
                <w:p w14:paraId="51C4EB3A">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1650</w:t>
                  </w:r>
                </w:p>
              </w:tc>
            </w:tr>
            <w:tr w14:paraId="1EA570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365" w:hRule="atLeast"/>
                <w:tblHeader/>
                <w:jc w:val="center"/>
              </w:trPr>
              <w:tc>
                <w:tcPr>
                  <w:tcW w:w="783" w:type="dxa"/>
                  <w:tcBorders>
                    <w:tl2br w:val="nil"/>
                    <w:tr2bl w:val="nil"/>
                  </w:tcBorders>
                  <w:shd w:val="clear" w:color="auto" w:fill="auto"/>
                  <w:noWrap w:val="0"/>
                  <w:vAlign w:val="center"/>
                </w:tcPr>
                <w:p w14:paraId="52858F7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3</w:t>
                  </w:r>
                </w:p>
              </w:tc>
              <w:tc>
                <w:tcPr>
                  <w:tcW w:w="1440" w:type="dxa"/>
                  <w:tcBorders>
                    <w:tl2br w:val="nil"/>
                    <w:tr2bl w:val="nil"/>
                  </w:tcBorders>
                  <w:shd w:val="clear" w:color="auto" w:fill="auto"/>
                  <w:noWrap w:val="0"/>
                  <w:vAlign w:val="center"/>
                </w:tcPr>
                <w:p w14:paraId="2E468F0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eastAsia="宋体" w:cs="Times New Roman"/>
                      <w:color w:val="FF0000"/>
                      <w:sz w:val="21"/>
                      <w:lang w:val="en-US" w:eastAsia="zh-CN"/>
                    </w:rPr>
                  </w:pPr>
                  <w:r>
                    <w:rPr>
                      <w:rFonts w:hint="eastAsia" w:ascii="宋体" w:hAnsi="宋体" w:eastAsia="宋体" w:cs="宋体"/>
                      <w:i w:val="0"/>
                      <w:iCs w:val="0"/>
                      <w:color w:val="FF0000"/>
                      <w:kern w:val="0"/>
                      <w:sz w:val="21"/>
                      <w:szCs w:val="21"/>
                      <w:u w:val="none"/>
                      <w:lang w:val="en-US" w:eastAsia="zh-CN" w:bidi="ar"/>
                    </w:rPr>
                    <w:t>机制砂</w:t>
                  </w:r>
                </w:p>
              </w:tc>
              <w:tc>
                <w:tcPr>
                  <w:tcW w:w="1214" w:type="dxa"/>
                  <w:tcBorders>
                    <w:tl2br w:val="nil"/>
                    <w:tr2bl w:val="nil"/>
                  </w:tcBorders>
                  <w:shd w:val="clear" w:color="auto" w:fill="auto"/>
                  <w:noWrap w:val="0"/>
                  <w:vAlign w:val="center"/>
                </w:tcPr>
                <w:p w14:paraId="7ACF470C">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3109</w:t>
                  </w:r>
                </w:p>
              </w:tc>
              <w:tc>
                <w:tcPr>
                  <w:tcW w:w="670" w:type="dxa"/>
                  <w:vMerge w:val="continue"/>
                  <w:tcBorders>
                    <w:tl2br w:val="nil"/>
                    <w:tr2bl w:val="nil"/>
                  </w:tcBorders>
                  <w:noWrap w:val="0"/>
                  <w:vAlign w:val="center"/>
                </w:tcPr>
                <w:p w14:paraId="349E59C7">
                  <w:pPr>
                    <w:keepNext w:val="0"/>
                    <w:keepLines w:val="0"/>
                    <w:pageBreakBefore w:val="0"/>
                    <w:wordWrap/>
                    <w:topLinePunct w:val="0"/>
                    <w:bidi w:val="0"/>
                    <w:spacing w:line="240" w:lineRule="auto"/>
                    <w:ind w:firstLine="0" w:firstLineChars="0"/>
                    <w:jc w:val="center"/>
                    <w:textAlignment w:val="auto"/>
                    <w:rPr>
                      <w:rFonts w:hint="eastAsia" w:ascii="Times New Roman" w:hAnsi="Times New Roman" w:eastAsia="宋体" w:cs="Times New Roman"/>
                      <w:color w:val="FF0000"/>
                      <w:sz w:val="21"/>
                      <w:lang w:val="en-US" w:eastAsia="zh-CN"/>
                    </w:rPr>
                  </w:pPr>
                </w:p>
              </w:tc>
              <w:tc>
                <w:tcPr>
                  <w:tcW w:w="658" w:type="dxa"/>
                  <w:vMerge w:val="continue"/>
                  <w:tcBorders>
                    <w:tl2br w:val="nil"/>
                    <w:tr2bl w:val="nil"/>
                  </w:tcBorders>
                  <w:noWrap w:val="0"/>
                  <w:vAlign w:val="center"/>
                </w:tcPr>
                <w:p w14:paraId="2B817D46">
                  <w:pPr>
                    <w:keepNext w:val="0"/>
                    <w:keepLines w:val="0"/>
                    <w:pageBreakBefore w:val="0"/>
                    <w:wordWrap/>
                    <w:topLinePunct w:val="0"/>
                    <w:bidi w:val="0"/>
                    <w:spacing w:line="240" w:lineRule="auto"/>
                    <w:ind w:firstLine="0" w:firstLineChars="0"/>
                    <w:jc w:val="center"/>
                    <w:textAlignment w:val="auto"/>
                    <w:rPr>
                      <w:rFonts w:hint="eastAsia" w:ascii="Times New Roman" w:hAnsi="Times New Roman" w:eastAsia="宋体" w:cs="Times New Roman"/>
                      <w:color w:val="FF0000"/>
                      <w:sz w:val="21"/>
                      <w:lang w:val="en-US" w:eastAsia="zh-CN"/>
                    </w:rPr>
                  </w:pPr>
                </w:p>
              </w:tc>
              <w:tc>
                <w:tcPr>
                  <w:tcW w:w="2382" w:type="dxa"/>
                  <w:tcBorders>
                    <w:tl2br w:val="nil"/>
                    <w:tr2bl w:val="nil"/>
                  </w:tcBorders>
                  <w:noWrap w:val="0"/>
                  <w:vAlign w:val="center"/>
                </w:tcPr>
                <w:p w14:paraId="5E1537CA">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预制环网柜基础</w:t>
                  </w:r>
                </w:p>
              </w:tc>
              <w:tc>
                <w:tcPr>
                  <w:tcW w:w="1214" w:type="dxa"/>
                  <w:tcBorders>
                    <w:tl2br w:val="nil"/>
                    <w:tr2bl w:val="nil"/>
                  </w:tcBorders>
                  <w:noWrap w:val="0"/>
                  <w:vAlign w:val="center"/>
                </w:tcPr>
                <w:p w14:paraId="773AF7F5">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62</w:t>
                  </w:r>
                </w:p>
              </w:tc>
            </w:tr>
            <w:tr w14:paraId="15F9F3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783" w:type="dxa"/>
                  <w:tcBorders>
                    <w:tl2br w:val="nil"/>
                    <w:tr2bl w:val="nil"/>
                  </w:tcBorders>
                  <w:shd w:val="clear" w:color="auto" w:fill="auto"/>
                  <w:noWrap w:val="0"/>
                  <w:vAlign w:val="center"/>
                </w:tcPr>
                <w:p w14:paraId="5A82D96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4</w:t>
                  </w:r>
                </w:p>
              </w:tc>
              <w:tc>
                <w:tcPr>
                  <w:tcW w:w="1440" w:type="dxa"/>
                  <w:tcBorders>
                    <w:tl2br w:val="nil"/>
                    <w:tr2bl w:val="nil"/>
                  </w:tcBorders>
                  <w:shd w:val="clear" w:color="auto" w:fill="auto"/>
                  <w:noWrap w:val="0"/>
                  <w:vAlign w:val="center"/>
                </w:tcPr>
                <w:p w14:paraId="6943F17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FF0000"/>
                      <w:sz w:val="21"/>
                      <w:lang w:val="en-US" w:eastAsia="zh-CN"/>
                    </w:rPr>
                  </w:pPr>
                  <w:r>
                    <w:rPr>
                      <w:rFonts w:hint="eastAsia" w:ascii="宋体" w:hAnsi="宋体" w:eastAsia="宋体" w:cs="宋体"/>
                      <w:i w:val="0"/>
                      <w:iCs w:val="0"/>
                      <w:color w:val="FF0000"/>
                      <w:kern w:val="0"/>
                      <w:sz w:val="21"/>
                      <w:szCs w:val="21"/>
                      <w:u w:val="none"/>
                      <w:lang w:val="en-US" w:eastAsia="zh-CN" w:bidi="ar"/>
                    </w:rPr>
                    <w:t>碎石</w:t>
                  </w:r>
                </w:p>
              </w:tc>
              <w:tc>
                <w:tcPr>
                  <w:tcW w:w="1214" w:type="dxa"/>
                  <w:tcBorders>
                    <w:tl2br w:val="nil"/>
                    <w:tr2bl w:val="nil"/>
                  </w:tcBorders>
                  <w:shd w:val="clear" w:color="auto" w:fill="auto"/>
                  <w:noWrap w:val="0"/>
                  <w:vAlign w:val="center"/>
                </w:tcPr>
                <w:p w14:paraId="183F01D0">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6939</w:t>
                  </w:r>
                </w:p>
              </w:tc>
              <w:tc>
                <w:tcPr>
                  <w:tcW w:w="670" w:type="dxa"/>
                  <w:vMerge w:val="continue"/>
                  <w:tcBorders>
                    <w:tl2br w:val="nil"/>
                    <w:tr2bl w:val="nil"/>
                  </w:tcBorders>
                  <w:noWrap w:val="0"/>
                  <w:vAlign w:val="center"/>
                </w:tcPr>
                <w:p w14:paraId="14E2BDB6">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p>
              </w:tc>
              <w:tc>
                <w:tcPr>
                  <w:tcW w:w="658" w:type="dxa"/>
                  <w:vMerge w:val="continue"/>
                  <w:tcBorders>
                    <w:tl2br w:val="nil"/>
                    <w:tr2bl w:val="nil"/>
                  </w:tcBorders>
                  <w:noWrap w:val="0"/>
                  <w:vAlign w:val="center"/>
                </w:tcPr>
                <w:p w14:paraId="1AD05B00">
                  <w:pPr>
                    <w:keepNext w:val="0"/>
                    <w:keepLines w:val="0"/>
                    <w:pageBreakBefore w:val="0"/>
                    <w:wordWrap/>
                    <w:topLinePunct w:val="0"/>
                    <w:bidi w:val="0"/>
                    <w:spacing w:line="240" w:lineRule="auto"/>
                    <w:ind w:firstLine="0" w:firstLineChars="0"/>
                    <w:jc w:val="center"/>
                    <w:textAlignment w:val="auto"/>
                    <w:rPr>
                      <w:rFonts w:hint="eastAsia" w:ascii="Times New Roman" w:hAnsi="Times New Roman" w:eastAsia="宋体" w:cs="Times New Roman"/>
                      <w:color w:val="FF0000"/>
                      <w:sz w:val="21"/>
                      <w:lang w:val="en-US" w:eastAsia="zh-CN"/>
                    </w:rPr>
                  </w:pPr>
                </w:p>
              </w:tc>
              <w:tc>
                <w:tcPr>
                  <w:tcW w:w="2382" w:type="dxa"/>
                  <w:tcBorders>
                    <w:tl2br w:val="nil"/>
                    <w:tr2bl w:val="nil"/>
                  </w:tcBorders>
                  <w:noWrap w:val="0"/>
                  <w:vAlign w:val="center"/>
                </w:tcPr>
                <w:p w14:paraId="269316AC">
                  <w:pPr>
                    <w:keepNext w:val="0"/>
                    <w:keepLines w:val="0"/>
                    <w:pageBreakBefore w:val="0"/>
                    <w:wordWrap/>
                    <w:topLinePunct w:val="0"/>
                    <w:bidi w:val="0"/>
                    <w:spacing w:line="240" w:lineRule="auto"/>
                    <w:ind w:firstLine="0" w:firstLineChars="0"/>
                    <w:jc w:val="center"/>
                    <w:textAlignment w:val="auto"/>
                    <w:rPr>
                      <w:rFonts w:hint="eastAsia"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预制“小十件”</w:t>
                  </w:r>
                </w:p>
              </w:tc>
              <w:tc>
                <w:tcPr>
                  <w:tcW w:w="1214" w:type="dxa"/>
                  <w:tcBorders>
                    <w:tl2br w:val="nil"/>
                    <w:tr2bl w:val="nil"/>
                  </w:tcBorders>
                  <w:noWrap w:val="0"/>
                  <w:vAlign w:val="center"/>
                </w:tcPr>
                <w:p w14:paraId="5AB88FAE">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2970</w:t>
                  </w:r>
                </w:p>
              </w:tc>
            </w:tr>
            <w:tr w14:paraId="7D6EBA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783" w:type="dxa"/>
                  <w:tcBorders>
                    <w:tl2br w:val="nil"/>
                    <w:tr2bl w:val="nil"/>
                  </w:tcBorders>
                  <w:shd w:val="clear" w:color="auto" w:fill="auto"/>
                  <w:noWrap w:val="0"/>
                  <w:vAlign w:val="center"/>
                </w:tcPr>
                <w:p w14:paraId="13F925E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5</w:t>
                  </w:r>
                </w:p>
              </w:tc>
              <w:tc>
                <w:tcPr>
                  <w:tcW w:w="1440" w:type="dxa"/>
                  <w:tcBorders>
                    <w:tl2br w:val="nil"/>
                    <w:tr2bl w:val="nil"/>
                  </w:tcBorders>
                  <w:shd w:val="clear" w:color="auto" w:fill="auto"/>
                  <w:noWrap w:val="0"/>
                  <w:vAlign w:val="center"/>
                </w:tcPr>
                <w:p w14:paraId="394E57C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FF0000"/>
                      <w:sz w:val="21"/>
                      <w:lang w:val="en-US" w:eastAsia="zh-CN"/>
                    </w:rPr>
                  </w:pPr>
                  <w:r>
                    <w:rPr>
                      <w:rFonts w:hint="eastAsia" w:ascii="宋体" w:hAnsi="宋体" w:eastAsia="宋体" w:cs="宋体"/>
                      <w:i w:val="0"/>
                      <w:iCs w:val="0"/>
                      <w:color w:val="FF0000"/>
                      <w:kern w:val="0"/>
                      <w:sz w:val="21"/>
                      <w:szCs w:val="21"/>
                      <w:u w:val="none"/>
                      <w:lang w:val="en-US" w:eastAsia="zh-CN" w:bidi="ar"/>
                    </w:rPr>
                    <w:t>钢筋</w:t>
                  </w:r>
                </w:p>
              </w:tc>
              <w:tc>
                <w:tcPr>
                  <w:tcW w:w="1214" w:type="dxa"/>
                  <w:tcBorders>
                    <w:tl2br w:val="nil"/>
                    <w:tr2bl w:val="nil"/>
                  </w:tcBorders>
                  <w:shd w:val="clear" w:color="auto" w:fill="auto"/>
                  <w:noWrap w:val="0"/>
                  <w:vAlign w:val="center"/>
                </w:tcPr>
                <w:p w14:paraId="1CEC30DD">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cs="Times New Roman"/>
                      <w:color w:val="FF0000"/>
                      <w:sz w:val="21"/>
                      <w:lang w:val="en-US" w:eastAsia="zh-CN"/>
                    </w:rPr>
                    <w:t>1419</w:t>
                  </w:r>
                </w:p>
              </w:tc>
              <w:tc>
                <w:tcPr>
                  <w:tcW w:w="670" w:type="dxa"/>
                  <w:vMerge w:val="restart"/>
                  <w:tcBorders>
                    <w:tl2br w:val="nil"/>
                    <w:tr2bl w:val="nil"/>
                  </w:tcBorders>
                  <w:noWrap w:val="0"/>
                  <w:vAlign w:val="center"/>
                </w:tcPr>
                <w:p w14:paraId="0A6005D1">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cs="Times New Roman"/>
                      <w:color w:val="FF0000"/>
                      <w:sz w:val="21"/>
                      <w:lang w:val="en-US" w:eastAsia="zh-CN"/>
                    </w:rPr>
                    <w:t>2</w:t>
                  </w:r>
                </w:p>
              </w:tc>
              <w:tc>
                <w:tcPr>
                  <w:tcW w:w="658" w:type="dxa"/>
                  <w:vMerge w:val="restart"/>
                  <w:tcBorders>
                    <w:tl2br w:val="nil"/>
                    <w:tr2bl w:val="nil"/>
                  </w:tcBorders>
                  <w:noWrap w:val="0"/>
                  <w:vAlign w:val="center"/>
                </w:tcPr>
                <w:p w14:paraId="25AA1F18">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固废</w:t>
                  </w:r>
                </w:p>
              </w:tc>
              <w:tc>
                <w:tcPr>
                  <w:tcW w:w="2382" w:type="dxa"/>
                  <w:tcBorders>
                    <w:tl2br w:val="nil"/>
                    <w:tr2bl w:val="nil"/>
                  </w:tcBorders>
                  <w:noWrap w:val="0"/>
                  <w:vAlign w:val="center"/>
                </w:tcPr>
                <w:p w14:paraId="720BE67B">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布袋粉尘</w:t>
                  </w:r>
                </w:p>
              </w:tc>
              <w:tc>
                <w:tcPr>
                  <w:tcW w:w="1214" w:type="dxa"/>
                  <w:tcBorders>
                    <w:tl2br w:val="nil"/>
                    <w:tr2bl w:val="nil"/>
                  </w:tcBorders>
                  <w:noWrap w:val="0"/>
                  <w:vAlign w:val="center"/>
                </w:tcPr>
                <w:p w14:paraId="21ECAF2C">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cs="Times New Roman"/>
                      <w:color w:val="FF0000"/>
                      <w:sz w:val="21"/>
                      <w:lang w:val="en-US" w:eastAsia="zh-CN"/>
                    </w:rPr>
                    <w:t>6.551</w:t>
                  </w:r>
                </w:p>
              </w:tc>
            </w:tr>
            <w:tr w14:paraId="30C78B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783" w:type="dxa"/>
                  <w:tcBorders>
                    <w:tl2br w:val="nil"/>
                    <w:tr2bl w:val="nil"/>
                  </w:tcBorders>
                  <w:shd w:val="clear" w:color="auto" w:fill="auto"/>
                  <w:noWrap w:val="0"/>
                  <w:vAlign w:val="center"/>
                </w:tcPr>
                <w:p w14:paraId="21A5ECC1">
                  <w:pPr>
                    <w:keepNext w:val="0"/>
                    <w:keepLines w:val="0"/>
                    <w:pageBreakBefore w:val="0"/>
                    <w:wordWrap/>
                    <w:topLinePunct w:val="0"/>
                    <w:bidi w:val="0"/>
                    <w:spacing w:line="240" w:lineRule="auto"/>
                    <w:ind w:firstLine="0" w:firstLineChars="0"/>
                    <w:jc w:val="center"/>
                    <w:textAlignment w:val="auto"/>
                    <w:rPr>
                      <w:rFonts w:hint="eastAsia"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w:t>
                  </w:r>
                </w:p>
              </w:tc>
              <w:tc>
                <w:tcPr>
                  <w:tcW w:w="1440" w:type="dxa"/>
                  <w:tcBorders>
                    <w:tl2br w:val="nil"/>
                    <w:tr2bl w:val="nil"/>
                  </w:tcBorders>
                  <w:shd w:val="clear" w:color="auto" w:fill="auto"/>
                  <w:noWrap w:val="0"/>
                  <w:vAlign w:val="center"/>
                </w:tcPr>
                <w:p w14:paraId="4EC5BF7E">
                  <w:pPr>
                    <w:keepNext w:val="0"/>
                    <w:keepLines w:val="0"/>
                    <w:pageBreakBefore w:val="0"/>
                    <w:wordWrap/>
                    <w:topLinePunct w:val="0"/>
                    <w:bidi w:val="0"/>
                    <w:spacing w:line="240" w:lineRule="auto"/>
                    <w:ind w:firstLine="0" w:firstLineChars="0"/>
                    <w:jc w:val="center"/>
                    <w:textAlignment w:val="auto"/>
                    <w:rPr>
                      <w:rFonts w:hint="eastAsia" w:ascii="宋体" w:hAnsi="宋体" w:eastAsia="宋体" w:cs="宋体"/>
                      <w:i w:val="0"/>
                      <w:iCs w:val="0"/>
                      <w:color w:val="FF0000"/>
                      <w:kern w:val="0"/>
                      <w:sz w:val="21"/>
                      <w:szCs w:val="21"/>
                      <w:u w:val="none"/>
                      <w:lang w:val="en-US" w:eastAsia="zh-CN" w:bidi="ar"/>
                    </w:rPr>
                  </w:pPr>
                  <w:r>
                    <w:rPr>
                      <w:rFonts w:hint="eastAsia" w:ascii="Times New Roman" w:hAnsi="Times New Roman" w:eastAsia="宋体" w:cs="Times New Roman"/>
                      <w:color w:val="FF0000"/>
                      <w:sz w:val="21"/>
                      <w:lang w:val="en-US" w:eastAsia="zh-CN"/>
                    </w:rPr>
                    <w:t>/</w:t>
                  </w:r>
                </w:p>
              </w:tc>
              <w:tc>
                <w:tcPr>
                  <w:tcW w:w="1214" w:type="dxa"/>
                  <w:tcBorders>
                    <w:tl2br w:val="nil"/>
                    <w:tr2bl w:val="nil"/>
                  </w:tcBorders>
                  <w:shd w:val="clear" w:color="auto" w:fill="auto"/>
                  <w:noWrap w:val="0"/>
                  <w:vAlign w:val="center"/>
                </w:tcPr>
                <w:p w14:paraId="23926CBF">
                  <w:pPr>
                    <w:keepNext w:val="0"/>
                    <w:keepLines w:val="0"/>
                    <w:pageBreakBefore w:val="0"/>
                    <w:wordWrap/>
                    <w:topLinePunct w:val="0"/>
                    <w:bidi w:val="0"/>
                    <w:spacing w:line="240" w:lineRule="auto"/>
                    <w:ind w:firstLine="0" w:firstLineChars="0"/>
                    <w:jc w:val="center"/>
                    <w:textAlignment w:val="auto"/>
                    <w:rPr>
                      <w:rFonts w:hint="eastAsia"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w:t>
                  </w:r>
                </w:p>
              </w:tc>
              <w:tc>
                <w:tcPr>
                  <w:tcW w:w="670" w:type="dxa"/>
                  <w:vMerge w:val="continue"/>
                  <w:tcBorders>
                    <w:tl2br w:val="nil"/>
                    <w:tr2bl w:val="nil"/>
                  </w:tcBorders>
                  <w:noWrap w:val="0"/>
                  <w:vAlign w:val="center"/>
                </w:tcPr>
                <w:p w14:paraId="5C3EC51F">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p>
              </w:tc>
              <w:tc>
                <w:tcPr>
                  <w:tcW w:w="658" w:type="dxa"/>
                  <w:vMerge w:val="continue"/>
                  <w:tcBorders>
                    <w:tl2br w:val="nil"/>
                    <w:tr2bl w:val="nil"/>
                  </w:tcBorders>
                  <w:noWrap w:val="0"/>
                  <w:vAlign w:val="center"/>
                </w:tcPr>
                <w:p w14:paraId="6FDE2B80">
                  <w:pPr>
                    <w:keepNext w:val="0"/>
                    <w:keepLines w:val="0"/>
                    <w:pageBreakBefore w:val="0"/>
                    <w:wordWrap/>
                    <w:topLinePunct w:val="0"/>
                    <w:bidi w:val="0"/>
                    <w:spacing w:line="240" w:lineRule="auto"/>
                    <w:ind w:firstLine="0" w:firstLineChars="0"/>
                    <w:jc w:val="center"/>
                    <w:textAlignment w:val="auto"/>
                    <w:rPr>
                      <w:rFonts w:hint="eastAsia" w:ascii="Times New Roman" w:hAnsi="Times New Roman" w:eastAsia="宋体" w:cs="Times New Roman"/>
                      <w:color w:val="FF0000"/>
                      <w:sz w:val="21"/>
                      <w:lang w:val="en-US" w:eastAsia="zh-CN"/>
                    </w:rPr>
                  </w:pPr>
                </w:p>
              </w:tc>
              <w:tc>
                <w:tcPr>
                  <w:tcW w:w="2382" w:type="dxa"/>
                  <w:tcBorders>
                    <w:tl2br w:val="nil"/>
                    <w:tr2bl w:val="nil"/>
                  </w:tcBorders>
                  <w:noWrap w:val="0"/>
                  <w:vAlign w:val="center"/>
                </w:tcPr>
                <w:p w14:paraId="2AA2A31B">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不合格品</w:t>
                  </w:r>
                </w:p>
              </w:tc>
              <w:tc>
                <w:tcPr>
                  <w:tcW w:w="1214" w:type="dxa"/>
                  <w:tcBorders>
                    <w:tl2br w:val="nil"/>
                    <w:tr2bl w:val="nil"/>
                  </w:tcBorders>
                  <w:noWrap w:val="0"/>
                  <w:vAlign w:val="center"/>
                </w:tcPr>
                <w:p w14:paraId="6948D90F">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cs="Times New Roman"/>
                      <w:color w:val="FF0000"/>
                      <w:sz w:val="21"/>
                      <w:lang w:val="en-US" w:eastAsia="zh-CN"/>
                    </w:rPr>
                    <w:t>18</w:t>
                  </w:r>
                </w:p>
              </w:tc>
            </w:tr>
            <w:tr w14:paraId="371B57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783" w:type="dxa"/>
                  <w:tcBorders>
                    <w:tl2br w:val="nil"/>
                    <w:tr2bl w:val="nil"/>
                  </w:tcBorders>
                  <w:shd w:val="clear" w:color="auto" w:fill="auto"/>
                  <w:noWrap w:val="0"/>
                  <w:vAlign w:val="center"/>
                </w:tcPr>
                <w:p w14:paraId="05F8DC0F">
                  <w:pPr>
                    <w:keepNext w:val="0"/>
                    <w:keepLines w:val="0"/>
                    <w:pageBreakBefore w:val="0"/>
                    <w:wordWrap/>
                    <w:topLinePunct w:val="0"/>
                    <w:bidi w:val="0"/>
                    <w:spacing w:line="240" w:lineRule="auto"/>
                    <w:ind w:firstLine="0" w:firstLineChars="0"/>
                    <w:jc w:val="center"/>
                    <w:textAlignment w:val="auto"/>
                    <w:rPr>
                      <w:rFonts w:hint="eastAsia"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w:t>
                  </w:r>
                </w:p>
              </w:tc>
              <w:tc>
                <w:tcPr>
                  <w:tcW w:w="1440" w:type="dxa"/>
                  <w:tcBorders>
                    <w:tl2br w:val="nil"/>
                    <w:tr2bl w:val="nil"/>
                  </w:tcBorders>
                  <w:shd w:val="clear" w:color="auto" w:fill="auto"/>
                  <w:noWrap w:val="0"/>
                  <w:vAlign w:val="center"/>
                </w:tcPr>
                <w:p w14:paraId="2E5DB0D7">
                  <w:pPr>
                    <w:keepNext w:val="0"/>
                    <w:keepLines w:val="0"/>
                    <w:pageBreakBefore w:val="0"/>
                    <w:wordWrap/>
                    <w:topLinePunct w:val="0"/>
                    <w:bidi w:val="0"/>
                    <w:spacing w:line="240" w:lineRule="auto"/>
                    <w:ind w:firstLine="0" w:firstLineChars="0"/>
                    <w:jc w:val="center"/>
                    <w:textAlignment w:val="auto"/>
                    <w:rPr>
                      <w:rFonts w:hint="eastAsia" w:ascii="宋体" w:hAnsi="宋体" w:eastAsia="宋体" w:cs="宋体"/>
                      <w:i w:val="0"/>
                      <w:iCs w:val="0"/>
                      <w:color w:val="FF0000"/>
                      <w:kern w:val="0"/>
                      <w:sz w:val="21"/>
                      <w:szCs w:val="21"/>
                      <w:u w:val="none"/>
                      <w:lang w:val="en-US" w:eastAsia="zh-CN" w:bidi="ar"/>
                    </w:rPr>
                  </w:pPr>
                  <w:r>
                    <w:rPr>
                      <w:rFonts w:hint="eastAsia" w:ascii="Times New Roman" w:hAnsi="Times New Roman" w:eastAsia="宋体" w:cs="Times New Roman"/>
                      <w:color w:val="FF0000"/>
                      <w:sz w:val="21"/>
                      <w:lang w:val="en-US" w:eastAsia="zh-CN"/>
                    </w:rPr>
                    <w:t>/</w:t>
                  </w:r>
                </w:p>
              </w:tc>
              <w:tc>
                <w:tcPr>
                  <w:tcW w:w="1214" w:type="dxa"/>
                  <w:tcBorders>
                    <w:tl2br w:val="nil"/>
                    <w:tr2bl w:val="nil"/>
                  </w:tcBorders>
                  <w:shd w:val="clear" w:color="auto" w:fill="auto"/>
                  <w:noWrap w:val="0"/>
                  <w:vAlign w:val="center"/>
                </w:tcPr>
                <w:p w14:paraId="1D461259">
                  <w:pPr>
                    <w:keepNext w:val="0"/>
                    <w:keepLines w:val="0"/>
                    <w:pageBreakBefore w:val="0"/>
                    <w:wordWrap/>
                    <w:topLinePunct w:val="0"/>
                    <w:bidi w:val="0"/>
                    <w:spacing w:line="240" w:lineRule="auto"/>
                    <w:ind w:firstLine="0" w:firstLineChars="0"/>
                    <w:jc w:val="center"/>
                    <w:textAlignment w:val="auto"/>
                    <w:rPr>
                      <w:rFonts w:hint="eastAsia"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w:t>
                  </w:r>
                </w:p>
              </w:tc>
              <w:tc>
                <w:tcPr>
                  <w:tcW w:w="670" w:type="dxa"/>
                  <w:vMerge w:val="continue"/>
                  <w:tcBorders>
                    <w:tl2br w:val="nil"/>
                    <w:tr2bl w:val="nil"/>
                  </w:tcBorders>
                  <w:noWrap w:val="0"/>
                  <w:vAlign w:val="center"/>
                </w:tcPr>
                <w:p w14:paraId="705E6683">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p>
              </w:tc>
              <w:tc>
                <w:tcPr>
                  <w:tcW w:w="658" w:type="dxa"/>
                  <w:vMerge w:val="continue"/>
                  <w:tcBorders>
                    <w:tl2br w:val="nil"/>
                    <w:tr2bl w:val="nil"/>
                  </w:tcBorders>
                  <w:noWrap w:val="0"/>
                  <w:vAlign w:val="center"/>
                </w:tcPr>
                <w:p w14:paraId="2F132687">
                  <w:pPr>
                    <w:keepNext w:val="0"/>
                    <w:keepLines w:val="0"/>
                    <w:pageBreakBefore w:val="0"/>
                    <w:wordWrap/>
                    <w:topLinePunct w:val="0"/>
                    <w:bidi w:val="0"/>
                    <w:spacing w:line="240" w:lineRule="auto"/>
                    <w:ind w:firstLine="0" w:firstLineChars="0"/>
                    <w:jc w:val="center"/>
                    <w:textAlignment w:val="auto"/>
                    <w:rPr>
                      <w:rFonts w:hint="eastAsia" w:ascii="Times New Roman" w:hAnsi="Times New Roman" w:eastAsia="宋体" w:cs="Times New Roman"/>
                      <w:color w:val="FF0000"/>
                      <w:sz w:val="21"/>
                      <w:lang w:val="en-US" w:eastAsia="zh-CN"/>
                    </w:rPr>
                  </w:pPr>
                </w:p>
              </w:tc>
              <w:tc>
                <w:tcPr>
                  <w:tcW w:w="2382" w:type="dxa"/>
                  <w:tcBorders>
                    <w:tl2br w:val="nil"/>
                    <w:tr2bl w:val="nil"/>
                  </w:tcBorders>
                  <w:noWrap w:val="0"/>
                  <w:vAlign w:val="center"/>
                </w:tcPr>
                <w:p w14:paraId="5590AE88">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钢筋下脚料</w:t>
                  </w:r>
                </w:p>
              </w:tc>
              <w:tc>
                <w:tcPr>
                  <w:tcW w:w="1214" w:type="dxa"/>
                  <w:tcBorders>
                    <w:tl2br w:val="nil"/>
                    <w:tr2bl w:val="nil"/>
                  </w:tcBorders>
                  <w:noWrap w:val="0"/>
                  <w:vAlign w:val="center"/>
                </w:tcPr>
                <w:p w14:paraId="2394B4AD">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cs="Times New Roman"/>
                      <w:color w:val="FF0000"/>
                      <w:sz w:val="21"/>
                      <w:lang w:val="en-US" w:eastAsia="zh-CN"/>
                    </w:rPr>
                    <w:t>1.3523</w:t>
                  </w:r>
                </w:p>
              </w:tc>
            </w:tr>
            <w:tr w14:paraId="0CCD7B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783" w:type="dxa"/>
                  <w:tcBorders>
                    <w:tl2br w:val="nil"/>
                    <w:tr2bl w:val="nil"/>
                  </w:tcBorders>
                  <w:noWrap w:val="0"/>
                  <w:vAlign w:val="center"/>
                </w:tcPr>
                <w:p w14:paraId="19827AFB">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w:t>
                  </w:r>
                </w:p>
              </w:tc>
              <w:tc>
                <w:tcPr>
                  <w:tcW w:w="1440" w:type="dxa"/>
                  <w:tcBorders>
                    <w:tl2br w:val="nil"/>
                    <w:tr2bl w:val="nil"/>
                  </w:tcBorders>
                  <w:noWrap w:val="0"/>
                  <w:vAlign w:val="center"/>
                </w:tcPr>
                <w:p w14:paraId="0401CF3E">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w:t>
                  </w:r>
                </w:p>
              </w:tc>
              <w:tc>
                <w:tcPr>
                  <w:tcW w:w="1214" w:type="dxa"/>
                  <w:tcBorders>
                    <w:tl2br w:val="nil"/>
                    <w:tr2bl w:val="nil"/>
                  </w:tcBorders>
                  <w:noWrap w:val="0"/>
                  <w:vAlign w:val="center"/>
                </w:tcPr>
                <w:p w14:paraId="76CF198B">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w:t>
                  </w:r>
                </w:p>
              </w:tc>
              <w:tc>
                <w:tcPr>
                  <w:tcW w:w="670" w:type="dxa"/>
                  <w:tcBorders>
                    <w:tl2br w:val="nil"/>
                    <w:tr2bl w:val="nil"/>
                  </w:tcBorders>
                  <w:noWrap w:val="0"/>
                  <w:vAlign w:val="center"/>
                </w:tcPr>
                <w:p w14:paraId="105DC057">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3</w:t>
                  </w:r>
                </w:p>
              </w:tc>
              <w:tc>
                <w:tcPr>
                  <w:tcW w:w="658" w:type="dxa"/>
                  <w:tcBorders>
                    <w:tl2br w:val="nil"/>
                    <w:tr2bl w:val="nil"/>
                  </w:tcBorders>
                  <w:noWrap w:val="0"/>
                  <w:vAlign w:val="center"/>
                </w:tcPr>
                <w:p w14:paraId="74C32887">
                  <w:pPr>
                    <w:keepNext w:val="0"/>
                    <w:keepLines w:val="0"/>
                    <w:pageBreakBefore w:val="0"/>
                    <w:wordWrap/>
                    <w:topLinePunct w:val="0"/>
                    <w:bidi w:val="0"/>
                    <w:spacing w:line="240" w:lineRule="auto"/>
                    <w:ind w:firstLine="0" w:firstLineChars="0"/>
                    <w:jc w:val="center"/>
                    <w:textAlignment w:val="auto"/>
                    <w:rPr>
                      <w:rFonts w:hint="eastAsia"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废气</w:t>
                  </w:r>
                </w:p>
              </w:tc>
              <w:tc>
                <w:tcPr>
                  <w:tcW w:w="2382" w:type="dxa"/>
                  <w:tcBorders>
                    <w:tl2br w:val="nil"/>
                    <w:tr2bl w:val="nil"/>
                  </w:tcBorders>
                  <w:noWrap w:val="0"/>
                  <w:vAlign w:val="center"/>
                </w:tcPr>
                <w:p w14:paraId="34FCACEF">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ascii="Times New Roman" w:hAnsi="Times New Roman" w:eastAsia="宋体" w:cs="Times New Roman"/>
                      <w:color w:val="FF0000"/>
                      <w:sz w:val="21"/>
                      <w:lang w:val="en-US" w:eastAsia="zh-CN"/>
                    </w:rPr>
                    <w:t>颗粒物</w:t>
                  </w:r>
                </w:p>
              </w:tc>
              <w:tc>
                <w:tcPr>
                  <w:tcW w:w="1214" w:type="dxa"/>
                  <w:tcBorders>
                    <w:tl2br w:val="nil"/>
                    <w:tr2bl w:val="nil"/>
                  </w:tcBorders>
                  <w:noWrap w:val="0"/>
                  <w:vAlign w:val="center"/>
                </w:tcPr>
                <w:p w14:paraId="2541E836">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cs="Times New Roman"/>
                      <w:color w:val="FF0000"/>
                      <w:sz w:val="21"/>
                      <w:lang w:val="en-US" w:eastAsia="zh-CN"/>
                    </w:rPr>
                    <w:t>0.0967</w:t>
                  </w:r>
                </w:p>
              </w:tc>
            </w:tr>
            <w:tr w14:paraId="58D61C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2223" w:type="dxa"/>
                  <w:gridSpan w:val="2"/>
                  <w:tcBorders>
                    <w:tl2br w:val="nil"/>
                    <w:tr2bl w:val="nil"/>
                  </w:tcBorders>
                  <w:noWrap w:val="0"/>
                  <w:vAlign w:val="center"/>
                </w:tcPr>
                <w:p w14:paraId="2F2B9F50">
                  <w:pPr>
                    <w:keepNext w:val="0"/>
                    <w:keepLines w:val="0"/>
                    <w:pageBreakBefore w:val="0"/>
                    <w:wordWrap/>
                    <w:topLinePunct w:val="0"/>
                    <w:bidi w:val="0"/>
                    <w:spacing w:line="240" w:lineRule="auto"/>
                    <w:ind w:firstLine="0" w:firstLineChars="0"/>
                    <w:jc w:val="center"/>
                    <w:textAlignment w:val="auto"/>
                    <w:rPr>
                      <w:rFonts w:ascii="Times New Roman" w:hAnsi="Times New Roman" w:eastAsia="宋体" w:cs="Times New Roman"/>
                      <w:color w:val="FF0000"/>
                      <w:sz w:val="21"/>
                    </w:rPr>
                  </w:pPr>
                  <w:r>
                    <w:rPr>
                      <w:rFonts w:ascii="Times New Roman" w:hAnsi="Times New Roman" w:eastAsia="宋体" w:cs="Times New Roman"/>
                      <w:color w:val="FF0000"/>
                      <w:sz w:val="21"/>
                    </w:rPr>
                    <w:t>合计</w:t>
                  </w:r>
                </w:p>
              </w:tc>
              <w:tc>
                <w:tcPr>
                  <w:tcW w:w="1214" w:type="dxa"/>
                  <w:tcBorders>
                    <w:tl2br w:val="nil"/>
                    <w:tr2bl w:val="nil"/>
                  </w:tcBorders>
                  <w:noWrap w:val="0"/>
                  <w:vAlign w:val="center"/>
                </w:tcPr>
                <w:p w14:paraId="20E19B5D">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146</w:t>
                  </w:r>
                  <w:r>
                    <w:rPr>
                      <w:rFonts w:hint="eastAsia" w:cs="Times New Roman"/>
                      <w:i w:val="0"/>
                      <w:iCs w:val="0"/>
                      <w:color w:val="FF0000"/>
                      <w:kern w:val="0"/>
                      <w:sz w:val="21"/>
                      <w:szCs w:val="21"/>
                      <w:u w:val="none"/>
                      <w:lang w:val="en-US" w:eastAsia="zh-CN" w:bidi="ar"/>
                    </w:rPr>
                    <w:t>20</w:t>
                  </w:r>
                </w:p>
              </w:tc>
              <w:tc>
                <w:tcPr>
                  <w:tcW w:w="3710" w:type="dxa"/>
                  <w:gridSpan w:val="3"/>
                  <w:tcBorders>
                    <w:tl2br w:val="nil"/>
                    <w:tr2bl w:val="nil"/>
                  </w:tcBorders>
                  <w:noWrap w:val="0"/>
                  <w:vAlign w:val="center"/>
                </w:tcPr>
                <w:p w14:paraId="4F26C318">
                  <w:pPr>
                    <w:keepNext w:val="0"/>
                    <w:keepLines w:val="0"/>
                    <w:pageBreakBefore w:val="0"/>
                    <w:wordWrap/>
                    <w:topLinePunct w:val="0"/>
                    <w:bidi w:val="0"/>
                    <w:spacing w:line="240" w:lineRule="auto"/>
                    <w:ind w:firstLine="0" w:firstLineChars="0"/>
                    <w:jc w:val="center"/>
                    <w:textAlignment w:val="auto"/>
                    <w:rPr>
                      <w:rFonts w:ascii="Times New Roman" w:hAnsi="Times New Roman" w:eastAsia="宋体" w:cs="Times New Roman"/>
                      <w:color w:val="FF0000"/>
                      <w:sz w:val="21"/>
                    </w:rPr>
                  </w:pPr>
                  <w:r>
                    <w:rPr>
                      <w:rFonts w:ascii="Times New Roman" w:hAnsi="Times New Roman" w:eastAsia="宋体" w:cs="Times New Roman"/>
                      <w:color w:val="FF0000"/>
                      <w:sz w:val="21"/>
                    </w:rPr>
                    <w:t>合计</w:t>
                  </w:r>
                </w:p>
              </w:tc>
              <w:tc>
                <w:tcPr>
                  <w:tcW w:w="1214" w:type="dxa"/>
                  <w:tcBorders>
                    <w:tl2br w:val="nil"/>
                    <w:tr2bl w:val="nil"/>
                  </w:tcBorders>
                  <w:shd w:val="clear" w:color="auto" w:fill="auto"/>
                  <w:noWrap w:val="0"/>
                  <w:vAlign w:val="center"/>
                </w:tcPr>
                <w:p w14:paraId="2AA1BDEC">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FF0000"/>
                      <w:kern w:val="2"/>
                      <w:sz w:val="21"/>
                      <w:szCs w:val="21"/>
                      <w:u w:val="no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146</w:t>
                  </w:r>
                  <w:r>
                    <w:rPr>
                      <w:rFonts w:hint="eastAsia" w:cs="Times New Roman"/>
                      <w:i w:val="0"/>
                      <w:iCs w:val="0"/>
                      <w:color w:val="FF0000"/>
                      <w:kern w:val="0"/>
                      <w:sz w:val="21"/>
                      <w:szCs w:val="21"/>
                      <w:u w:val="none"/>
                      <w:lang w:val="en-US" w:eastAsia="zh-CN" w:bidi="ar"/>
                    </w:rPr>
                    <w:t>20</w:t>
                  </w:r>
                </w:p>
              </w:tc>
            </w:tr>
          </w:tbl>
          <w:p w14:paraId="2CD64063">
            <w:pPr>
              <w:keepNext w:val="0"/>
              <w:keepLines w:val="0"/>
              <w:pageBreakBefore w:val="0"/>
              <w:widowControl w:val="0"/>
              <w:tabs>
                <w:tab w:val="left" w:pos="525"/>
              </w:tabs>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FF0000"/>
                <w:kern w:val="21"/>
                <w:sz w:val="21"/>
                <w:szCs w:val="21"/>
                <w:lang w:val="en-US" w:eastAsia="zh-CN"/>
              </w:rPr>
            </w:pPr>
            <w:r>
              <w:rPr>
                <w:rFonts w:ascii="Times New Roman" w:hAnsi="Times New Roman" w:eastAsia="宋体" w:cs="Times New Roman"/>
                <w:b/>
                <w:color w:val="FF0000"/>
                <w:kern w:val="21"/>
                <w:sz w:val="21"/>
                <w:szCs w:val="21"/>
              </w:rPr>
              <w:t>表</w:t>
            </w:r>
            <w:r>
              <w:rPr>
                <w:rFonts w:hint="eastAsia" w:ascii="Times New Roman" w:hAnsi="Times New Roman" w:eastAsia="宋体" w:cs="Times New Roman"/>
                <w:b/>
                <w:color w:val="FF0000"/>
                <w:kern w:val="21"/>
                <w:sz w:val="21"/>
                <w:szCs w:val="21"/>
                <w:lang w:val="en-US" w:eastAsia="zh-CN"/>
              </w:rPr>
              <w:t>2-</w:t>
            </w:r>
            <w:r>
              <w:rPr>
                <w:rFonts w:hint="eastAsia" w:cs="Times New Roman"/>
                <w:b/>
                <w:color w:val="FF0000"/>
                <w:kern w:val="21"/>
                <w:sz w:val="21"/>
                <w:szCs w:val="21"/>
                <w:lang w:val="en-US" w:eastAsia="zh-CN"/>
              </w:rPr>
              <w:t>10</w:t>
            </w:r>
            <w:r>
              <w:rPr>
                <w:rFonts w:hint="eastAsia" w:ascii="Times New Roman" w:hAnsi="Times New Roman" w:eastAsia="宋体" w:cs="Times New Roman"/>
                <w:b/>
                <w:color w:val="FF0000"/>
                <w:kern w:val="21"/>
                <w:sz w:val="21"/>
                <w:szCs w:val="21"/>
                <w:lang w:val="en-US" w:eastAsia="zh-CN" w:bidi="ar-SA"/>
              </w:rPr>
              <w:t xml:space="preserve"> 本项目</w:t>
            </w:r>
            <w:r>
              <w:rPr>
                <w:rFonts w:hint="eastAsia" w:ascii="Times New Roman" w:hAnsi="Times New Roman" w:cs="Times New Roman"/>
                <w:b/>
                <w:color w:val="FF0000"/>
                <w:kern w:val="21"/>
                <w:sz w:val="21"/>
                <w:szCs w:val="21"/>
                <w:lang w:val="en-US" w:eastAsia="zh-CN" w:bidi="ar-SA"/>
              </w:rPr>
              <w:t>新型光伏发电折叠房屋物料平衡</w:t>
            </w:r>
          </w:p>
          <w:tbl>
            <w:tblPr>
              <w:tblStyle w:val="41"/>
              <w:tblW w:w="83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17" w:type="dxa"/>
                <w:left w:w="108" w:type="dxa"/>
                <w:bottom w:w="17" w:type="dxa"/>
                <w:right w:w="108" w:type="dxa"/>
              </w:tblCellMar>
            </w:tblPr>
            <w:tblGrid>
              <w:gridCol w:w="537"/>
              <w:gridCol w:w="1954"/>
              <w:gridCol w:w="888"/>
              <w:gridCol w:w="537"/>
              <w:gridCol w:w="863"/>
              <w:gridCol w:w="2490"/>
              <w:gridCol w:w="1092"/>
            </w:tblGrid>
            <w:tr w14:paraId="7816FC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3379" w:type="dxa"/>
                  <w:gridSpan w:val="3"/>
                  <w:tcBorders>
                    <w:tl2br w:val="nil"/>
                    <w:tr2bl w:val="nil"/>
                  </w:tcBorders>
                  <w:noWrap w:val="0"/>
                  <w:vAlign w:val="center"/>
                </w:tcPr>
                <w:p w14:paraId="1D21FCA3">
                  <w:pPr>
                    <w:spacing w:line="240" w:lineRule="auto"/>
                    <w:ind w:firstLine="0" w:firstLineChars="0"/>
                    <w:jc w:val="center"/>
                    <w:rPr>
                      <w:b/>
                      <w:color w:val="FF0000"/>
                      <w:sz w:val="21"/>
                    </w:rPr>
                  </w:pPr>
                  <w:r>
                    <w:rPr>
                      <w:rFonts w:hint="eastAsia"/>
                      <w:b/>
                      <w:color w:val="FF0000"/>
                      <w:sz w:val="21"/>
                    </w:rPr>
                    <w:t>投入</w:t>
                  </w:r>
                </w:p>
              </w:tc>
              <w:tc>
                <w:tcPr>
                  <w:tcW w:w="4982" w:type="dxa"/>
                  <w:gridSpan w:val="4"/>
                  <w:tcBorders>
                    <w:tl2br w:val="nil"/>
                    <w:tr2bl w:val="nil"/>
                  </w:tcBorders>
                  <w:noWrap w:val="0"/>
                  <w:vAlign w:val="center"/>
                </w:tcPr>
                <w:p w14:paraId="34B4FC0D">
                  <w:pPr>
                    <w:spacing w:line="240" w:lineRule="auto"/>
                    <w:ind w:firstLine="0" w:firstLineChars="0"/>
                    <w:jc w:val="center"/>
                    <w:rPr>
                      <w:b/>
                      <w:color w:val="FF0000"/>
                      <w:sz w:val="21"/>
                    </w:rPr>
                  </w:pPr>
                  <w:r>
                    <w:rPr>
                      <w:rFonts w:hint="eastAsia"/>
                      <w:b/>
                      <w:color w:val="FF0000"/>
                      <w:sz w:val="21"/>
                    </w:rPr>
                    <w:t>产出</w:t>
                  </w:r>
                </w:p>
              </w:tc>
            </w:tr>
            <w:tr w14:paraId="61ACF8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556" w:hRule="atLeast"/>
                <w:tblHeader/>
                <w:jc w:val="center"/>
              </w:trPr>
              <w:tc>
                <w:tcPr>
                  <w:tcW w:w="537" w:type="dxa"/>
                  <w:tcBorders>
                    <w:tl2br w:val="nil"/>
                    <w:tr2bl w:val="nil"/>
                  </w:tcBorders>
                  <w:noWrap w:val="0"/>
                  <w:vAlign w:val="center"/>
                </w:tcPr>
                <w:p w14:paraId="475A35AC">
                  <w:pPr>
                    <w:spacing w:line="240" w:lineRule="auto"/>
                    <w:ind w:firstLine="0" w:firstLineChars="0"/>
                    <w:jc w:val="center"/>
                    <w:rPr>
                      <w:b/>
                      <w:color w:val="FF0000"/>
                      <w:sz w:val="21"/>
                    </w:rPr>
                  </w:pPr>
                  <w:r>
                    <w:rPr>
                      <w:b/>
                      <w:color w:val="FF0000"/>
                      <w:sz w:val="21"/>
                    </w:rPr>
                    <w:t>序号</w:t>
                  </w:r>
                </w:p>
              </w:tc>
              <w:tc>
                <w:tcPr>
                  <w:tcW w:w="1954" w:type="dxa"/>
                  <w:tcBorders>
                    <w:tl2br w:val="nil"/>
                    <w:tr2bl w:val="nil"/>
                  </w:tcBorders>
                  <w:noWrap w:val="0"/>
                  <w:vAlign w:val="center"/>
                </w:tcPr>
                <w:p w14:paraId="131E2F0B">
                  <w:pPr>
                    <w:spacing w:line="240" w:lineRule="auto"/>
                    <w:ind w:firstLine="0" w:firstLineChars="0"/>
                    <w:jc w:val="center"/>
                    <w:rPr>
                      <w:b/>
                      <w:color w:val="FF0000"/>
                      <w:sz w:val="21"/>
                    </w:rPr>
                  </w:pPr>
                  <w:r>
                    <w:rPr>
                      <w:b/>
                      <w:color w:val="FF0000"/>
                      <w:sz w:val="21"/>
                    </w:rPr>
                    <w:t>名称</w:t>
                  </w:r>
                </w:p>
              </w:tc>
              <w:tc>
                <w:tcPr>
                  <w:tcW w:w="888" w:type="dxa"/>
                  <w:tcBorders>
                    <w:tl2br w:val="nil"/>
                    <w:tr2bl w:val="nil"/>
                  </w:tcBorders>
                  <w:noWrap w:val="0"/>
                  <w:vAlign w:val="center"/>
                </w:tcPr>
                <w:p w14:paraId="4DB68910">
                  <w:pPr>
                    <w:spacing w:line="240" w:lineRule="auto"/>
                    <w:ind w:firstLine="0" w:firstLineChars="0"/>
                    <w:jc w:val="center"/>
                    <w:rPr>
                      <w:b/>
                      <w:color w:val="FF0000"/>
                      <w:sz w:val="21"/>
                    </w:rPr>
                  </w:pPr>
                  <w:r>
                    <w:rPr>
                      <w:b/>
                      <w:color w:val="FF0000"/>
                      <w:sz w:val="21"/>
                    </w:rPr>
                    <w:t>数量</w:t>
                  </w:r>
                  <w:r>
                    <w:rPr>
                      <w:rFonts w:hint="eastAsia"/>
                      <w:b/>
                      <w:color w:val="FF0000"/>
                      <w:sz w:val="21"/>
                    </w:rPr>
                    <w:t>（t/a）</w:t>
                  </w:r>
                </w:p>
              </w:tc>
              <w:tc>
                <w:tcPr>
                  <w:tcW w:w="537" w:type="dxa"/>
                  <w:tcBorders>
                    <w:tl2br w:val="nil"/>
                    <w:tr2bl w:val="nil"/>
                  </w:tcBorders>
                  <w:noWrap w:val="0"/>
                  <w:vAlign w:val="center"/>
                </w:tcPr>
                <w:p w14:paraId="1A4E9A11">
                  <w:pPr>
                    <w:spacing w:line="240" w:lineRule="auto"/>
                    <w:ind w:firstLine="0" w:firstLineChars="0"/>
                    <w:jc w:val="center"/>
                    <w:rPr>
                      <w:b/>
                      <w:color w:val="FF0000"/>
                      <w:sz w:val="21"/>
                    </w:rPr>
                  </w:pPr>
                  <w:r>
                    <w:rPr>
                      <w:b/>
                      <w:color w:val="FF0000"/>
                      <w:sz w:val="21"/>
                    </w:rPr>
                    <w:t>序号</w:t>
                  </w:r>
                </w:p>
              </w:tc>
              <w:tc>
                <w:tcPr>
                  <w:tcW w:w="3353" w:type="dxa"/>
                  <w:gridSpan w:val="2"/>
                  <w:tcBorders>
                    <w:tl2br w:val="nil"/>
                    <w:tr2bl w:val="nil"/>
                  </w:tcBorders>
                  <w:noWrap w:val="0"/>
                  <w:vAlign w:val="center"/>
                </w:tcPr>
                <w:p w14:paraId="1A529C5E">
                  <w:pPr>
                    <w:spacing w:line="240" w:lineRule="auto"/>
                    <w:ind w:firstLine="0" w:firstLineChars="0"/>
                    <w:jc w:val="center"/>
                    <w:rPr>
                      <w:b/>
                      <w:color w:val="FF0000"/>
                      <w:sz w:val="21"/>
                    </w:rPr>
                  </w:pPr>
                  <w:r>
                    <w:rPr>
                      <w:b/>
                      <w:color w:val="FF0000"/>
                      <w:sz w:val="21"/>
                    </w:rPr>
                    <w:t>名称</w:t>
                  </w:r>
                </w:p>
              </w:tc>
              <w:tc>
                <w:tcPr>
                  <w:tcW w:w="1092" w:type="dxa"/>
                  <w:tcBorders>
                    <w:tl2br w:val="nil"/>
                    <w:tr2bl w:val="nil"/>
                  </w:tcBorders>
                  <w:noWrap w:val="0"/>
                  <w:vAlign w:val="center"/>
                </w:tcPr>
                <w:p w14:paraId="744882BB">
                  <w:pPr>
                    <w:spacing w:line="240" w:lineRule="auto"/>
                    <w:ind w:firstLine="0" w:firstLineChars="0"/>
                    <w:jc w:val="center"/>
                    <w:rPr>
                      <w:b/>
                      <w:color w:val="FF0000"/>
                      <w:sz w:val="21"/>
                    </w:rPr>
                  </w:pPr>
                  <w:r>
                    <w:rPr>
                      <w:b/>
                      <w:color w:val="FF0000"/>
                      <w:sz w:val="21"/>
                    </w:rPr>
                    <w:t>数量</w:t>
                  </w:r>
                  <w:r>
                    <w:rPr>
                      <w:rFonts w:hint="eastAsia"/>
                      <w:b/>
                      <w:color w:val="FF0000"/>
                      <w:sz w:val="21"/>
                    </w:rPr>
                    <w:t>（t/a）</w:t>
                  </w:r>
                </w:p>
              </w:tc>
            </w:tr>
            <w:tr w14:paraId="1406FB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537" w:type="dxa"/>
                  <w:tcBorders>
                    <w:tl2br w:val="nil"/>
                    <w:tr2bl w:val="nil"/>
                  </w:tcBorders>
                  <w:noWrap w:val="0"/>
                  <w:vAlign w:val="center"/>
                </w:tcPr>
                <w:p w14:paraId="263363DF">
                  <w:pPr>
                    <w:spacing w:line="240" w:lineRule="auto"/>
                    <w:ind w:firstLine="0" w:firstLineChars="0"/>
                    <w:jc w:val="center"/>
                    <w:rPr>
                      <w:rFonts w:hint="eastAsia"/>
                      <w:color w:val="FF0000"/>
                      <w:sz w:val="21"/>
                      <w:szCs w:val="21"/>
                    </w:rPr>
                  </w:pPr>
                  <w:r>
                    <w:rPr>
                      <w:rFonts w:hint="eastAsia"/>
                      <w:color w:val="FF0000"/>
                      <w:sz w:val="21"/>
                      <w:szCs w:val="21"/>
                    </w:rPr>
                    <w:t>1</w:t>
                  </w:r>
                </w:p>
              </w:tc>
              <w:tc>
                <w:tcPr>
                  <w:tcW w:w="1954" w:type="dxa"/>
                  <w:tcBorders>
                    <w:tl2br w:val="nil"/>
                    <w:tr2bl w:val="nil"/>
                  </w:tcBorders>
                  <w:noWrap w:val="0"/>
                  <w:vAlign w:val="center"/>
                </w:tcPr>
                <w:p w14:paraId="5969D35D">
                  <w:pPr>
                    <w:keepNext w:val="0"/>
                    <w:keepLines w:val="0"/>
                    <w:pageBreakBefore w:val="0"/>
                    <w:widowControl/>
                    <w:kinsoku/>
                    <w:wordWrap/>
                    <w:overflowPunct/>
                    <w:topLinePunct w:val="0"/>
                    <w:autoSpaceDE/>
                    <w:autoSpaceDN/>
                    <w:bidi w:val="0"/>
                    <w:spacing w:line="240" w:lineRule="auto"/>
                    <w:ind w:firstLine="0" w:firstLineChars="0"/>
                    <w:jc w:val="left"/>
                    <w:textAlignment w:val="auto"/>
                    <w:rPr>
                      <w:rFonts w:hint="eastAsia" w:cs="Times New Roman"/>
                      <w:color w:val="FF0000"/>
                      <w:sz w:val="21"/>
                      <w:szCs w:val="21"/>
                      <w:lang w:val="en-US" w:eastAsia="zh-CN"/>
                    </w:rPr>
                  </w:pPr>
                  <w:r>
                    <w:rPr>
                      <w:rFonts w:hint="eastAsia" w:cs="Times New Roman"/>
                      <w:color w:val="FF0000"/>
                      <w:sz w:val="21"/>
                      <w:szCs w:val="21"/>
                      <w:lang w:val="en-US" w:eastAsia="zh-CN"/>
                    </w:rPr>
                    <w:t>钢板及配套零部件</w:t>
                  </w:r>
                </w:p>
              </w:tc>
              <w:tc>
                <w:tcPr>
                  <w:tcW w:w="888" w:type="dxa"/>
                  <w:tcBorders>
                    <w:tl2br w:val="nil"/>
                    <w:tr2bl w:val="nil"/>
                  </w:tcBorders>
                  <w:noWrap w:val="0"/>
                  <w:vAlign w:val="center"/>
                </w:tcPr>
                <w:p w14:paraId="093B0FE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s="Times New Roman"/>
                      <w:color w:val="FF0000"/>
                      <w:sz w:val="21"/>
                      <w:szCs w:val="21"/>
                      <w:lang w:val="en-US" w:eastAsia="zh-CN"/>
                    </w:rPr>
                  </w:pPr>
                  <w:r>
                    <w:rPr>
                      <w:rFonts w:hint="eastAsia" w:cs="Times New Roman"/>
                      <w:color w:val="FF0000"/>
                      <w:sz w:val="21"/>
                      <w:szCs w:val="21"/>
                      <w:lang w:val="en-US" w:eastAsia="zh-CN"/>
                    </w:rPr>
                    <w:t>8320</w:t>
                  </w:r>
                </w:p>
              </w:tc>
              <w:tc>
                <w:tcPr>
                  <w:tcW w:w="537" w:type="dxa"/>
                  <w:tcBorders>
                    <w:tl2br w:val="nil"/>
                    <w:tr2bl w:val="nil"/>
                  </w:tcBorders>
                  <w:noWrap w:val="0"/>
                  <w:vAlign w:val="center"/>
                </w:tcPr>
                <w:p w14:paraId="70B9269E">
                  <w:pPr>
                    <w:spacing w:line="240" w:lineRule="auto"/>
                    <w:ind w:firstLine="0" w:firstLineChars="0"/>
                    <w:jc w:val="center"/>
                    <w:rPr>
                      <w:rFonts w:hint="default"/>
                      <w:color w:val="FF0000"/>
                      <w:sz w:val="21"/>
                      <w:szCs w:val="21"/>
                      <w:lang w:val="en-US" w:eastAsia="zh-CN"/>
                    </w:rPr>
                  </w:pPr>
                  <w:r>
                    <w:rPr>
                      <w:rFonts w:hint="eastAsia"/>
                      <w:color w:val="FF0000"/>
                      <w:sz w:val="21"/>
                      <w:szCs w:val="21"/>
                      <w:lang w:val="en-US" w:eastAsia="zh-CN"/>
                    </w:rPr>
                    <w:t>1</w:t>
                  </w:r>
                </w:p>
              </w:tc>
              <w:tc>
                <w:tcPr>
                  <w:tcW w:w="863" w:type="dxa"/>
                  <w:tcBorders>
                    <w:tl2br w:val="nil"/>
                    <w:tr2bl w:val="nil"/>
                  </w:tcBorders>
                  <w:noWrap w:val="0"/>
                  <w:vAlign w:val="center"/>
                </w:tcPr>
                <w:p w14:paraId="7635ABED">
                  <w:pPr>
                    <w:keepNext w:val="0"/>
                    <w:keepLines w:val="0"/>
                    <w:pageBreakBefore w:val="0"/>
                    <w:widowControl w:val="0"/>
                    <w:wordWrap/>
                    <w:topLinePunct w:val="0"/>
                    <w:bidi w:val="0"/>
                    <w:spacing w:line="240" w:lineRule="auto"/>
                    <w:ind w:firstLine="0" w:firstLineChars="0"/>
                    <w:jc w:val="center"/>
                    <w:textAlignment w:val="auto"/>
                    <w:rPr>
                      <w:rFonts w:hint="default" w:eastAsia="宋体"/>
                      <w:color w:val="FF0000"/>
                      <w:sz w:val="21"/>
                      <w:szCs w:val="21"/>
                      <w:lang w:val="en-US" w:eastAsia="zh-CN"/>
                    </w:rPr>
                  </w:pPr>
                  <w:r>
                    <w:rPr>
                      <w:rFonts w:hint="eastAsia" w:eastAsia="宋体"/>
                      <w:color w:val="FF0000"/>
                      <w:sz w:val="21"/>
                      <w:szCs w:val="21"/>
                      <w:lang w:val="en-US" w:eastAsia="zh-CN"/>
                    </w:rPr>
                    <w:t>产品</w:t>
                  </w:r>
                </w:p>
              </w:tc>
              <w:tc>
                <w:tcPr>
                  <w:tcW w:w="2490" w:type="dxa"/>
                  <w:tcBorders>
                    <w:tl2br w:val="nil"/>
                    <w:tr2bl w:val="nil"/>
                  </w:tcBorders>
                  <w:noWrap w:val="0"/>
                  <w:vAlign w:val="center"/>
                </w:tcPr>
                <w:p w14:paraId="39701B49">
                  <w:pPr>
                    <w:keepNext w:val="0"/>
                    <w:keepLines w:val="0"/>
                    <w:pageBreakBefore w:val="0"/>
                    <w:widowControl w:val="0"/>
                    <w:kinsoku w:val="0"/>
                    <w:wordWrap/>
                    <w:overflowPunct w:val="0"/>
                    <w:topLinePunct w:val="0"/>
                    <w:autoSpaceDE w:val="0"/>
                    <w:autoSpaceDN w:val="0"/>
                    <w:bidi w:val="0"/>
                    <w:adjustRightInd/>
                    <w:snapToGrid/>
                    <w:spacing w:line="240" w:lineRule="auto"/>
                    <w:ind w:left="0" w:leftChars="0" w:firstLine="0" w:firstLineChars="0"/>
                    <w:jc w:val="left"/>
                    <w:textAlignment w:val="auto"/>
                    <w:rPr>
                      <w:rFonts w:hint="eastAsia"/>
                      <w:color w:val="FF0000"/>
                      <w:sz w:val="21"/>
                      <w:szCs w:val="21"/>
                      <w:lang w:val="en-US" w:eastAsia="zh-CN"/>
                    </w:rPr>
                  </w:pPr>
                  <w:r>
                    <w:rPr>
                      <w:rFonts w:hint="eastAsia"/>
                      <w:color w:val="FF0000"/>
                      <w:sz w:val="21"/>
                      <w:szCs w:val="21"/>
                      <w:lang w:eastAsia="zh-CN"/>
                    </w:rPr>
                    <w:t>新型光伏发电折叠房屋</w:t>
                  </w:r>
                </w:p>
              </w:tc>
              <w:tc>
                <w:tcPr>
                  <w:tcW w:w="1092" w:type="dxa"/>
                  <w:tcBorders>
                    <w:tl2br w:val="nil"/>
                    <w:tr2bl w:val="nil"/>
                  </w:tcBorders>
                  <w:noWrap w:val="0"/>
                  <w:vAlign w:val="center"/>
                </w:tcPr>
                <w:p w14:paraId="397274BA">
                  <w:pPr>
                    <w:keepNext w:val="0"/>
                    <w:keepLines w:val="0"/>
                    <w:pageBreakBefore w:val="0"/>
                    <w:widowControl w:val="0"/>
                    <w:kinsoku w:val="0"/>
                    <w:wordWrap/>
                    <w:overflowPunct w:val="0"/>
                    <w:topLinePunct w:val="0"/>
                    <w:autoSpaceDE w:val="0"/>
                    <w:autoSpaceDN w:val="0"/>
                    <w:bidi w:val="0"/>
                    <w:adjustRightInd/>
                    <w:snapToGrid/>
                    <w:spacing w:line="240" w:lineRule="auto"/>
                    <w:ind w:left="0" w:leftChars="0"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8318</w:t>
                  </w:r>
                </w:p>
              </w:tc>
            </w:tr>
            <w:tr w14:paraId="6DE3D3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537" w:type="dxa"/>
                  <w:tcBorders>
                    <w:tl2br w:val="nil"/>
                    <w:tr2bl w:val="nil"/>
                  </w:tcBorders>
                  <w:noWrap w:val="0"/>
                  <w:vAlign w:val="center"/>
                </w:tcPr>
                <w:p w14:paraId="0B3DA56E">
                  <w:pPr>
                    <w:keepNext w:val="0"/>
                    <w:keepLines w:val="0"/>
                    <w:pageBreakBefore w:val="0"/>
                    <w:wordWrap/>
                    <w:topLinePunct w:val="0"/>
                    <w:bidi w:val="0"/>
                    <w:spacing w:line="240" w:lineRule="auto"/>
                    <w:ind w:firstLine="0" w:firstLineChars="0"/>
                    <w:jc w:val="center"/>
                    <w:textAlignment w:val="auto"/>
                    <w:rPr>
                      <w:rFonts w:hint="eastAsia"/>
                      <w:color w:val="FF0000"/>
                      <w:sz w:val="21"/>
                      <w:szCs w:val="21"/>
                    </w:rPr>
                  </w:pPr>
                  <w:r>
                    <w:rPr>
                      <w:rFonts w:hint="eastAsia" w:ascii="Times New Roman" w:hAnsi="Times New Roman" w:eastAsia="宋体" w:cs="Times New Roman"/>
                      <w:color w:val="FF0000"/>
                      <w:sz w:val="21"/>
                      <w:lang w:val="en-US" w:eastAsia="zh-CN"/>
                    </w:rPr>
                    <w:t>/</w:t>
                  </w:r>
                </w:p>
              </w:tc>
              <w:tc>
                <w:tcPr>
                  <w:tcW w:w="1954" w:type="dxa"/>
                  <w:tcBorders>
                    <w:tl2br w:val="nil"/>
                    <w:tr2bl w:val="nil"/>
                  </w:tcBorders>
                  <w:noWrap w:val="0"/>
                  <w:vAlign w:val="center"/>
                </w:tcPr>
                <w:p w14:paraId="6CD2C6B6">
                  <w:pPr>
                    <w:keepNext w:val="0"/>
                    <w:keepLines w:val="0"/>
                    <w:pageBreakBefore w:val="0"/>
                    <w:wordWrap/>
                    <w:topLinePunct w:val="0"/>
                    <w:bidi w:val="0"/>
                    <w:spacing w:line="240" w:lineRule="auto"/>
                    <w:ind w:firstLine="0" w:firstLineChars="0"/>
                    <w:jc w:val="center"/>
                    <w:textAlignment w:val="auto"/>
                    <w:rPr>
                      <w:rFonts w:hint="eastAsia" w:cs="Times New Roman"/>
                      <w:color w:val="FF0000"/>
                      <w:sz w:val="21"/>
                      <w:szCs w:val="21"/>
                      <w:lang w:val="en-US" w:eastAsia="zh-CN"/>
                    </w:rPr>
                  </w:pPr>
                  <w:r>
                    <w:rPr>
                      <w:rFonts w:hint="eastAsia" w:ascii="Times New Roman" w:hAnsi="Times New Roman" w:eastAsia="宋体" w:cs="Times New Roman"/>
                      <w:color w:val="FF0000"/>
                      <w:sz w:val="21"/>
                      <w:lang w:val="en-US" w:eastAsia="zh-CN"/>
                    </w:rPr>
                    <w:t>/</w:t>
                  </w:r>
                </w:p>
              </w:tc>
              <w:tc>
                <w:tcPr>
                  <w:tcW w:w="888" w:type="dxa"/>
                  <w:tcBorders>
                    <w:tl2br w:val="nil"/>
                    <w:tr2bl w:val="nil"/>
                  </w:tcBorders>
                  <w:noWrap w:val="0"/>
                  <w:vAlign w:val="center"/>
                </w:tcPr>
                <w:p w14:paraId="5E81A713">
                  <w:pPr>
                    <w:keepNext w:val="0"/>
                    <w:keepLines w:val="0"/>
                    <w:pageBreakBefore w:val="0"/>
                    <w:wordWrap/>
                    <w:topLinePunct w:val="0"/>
                    <w:bidi w:val="0"/>
                    <w:spacing w:line="240" w:lineRule="auto"/>
                    <w:ind w:firstLine="0" w:firstLineChars="0"/>
                    <w:jc w:val="center"/>
                    <w:textAlignment w:val="auto"/>
                    <w:rPr>
                      <w:rFonts w:hint="eastAsia" w:cs="Times New Roman"/>
                      <w:color w:val="FF0000"/>
                      <w:sz w:val="21"/>
                      <w:szCs w:val="21"/>
                      <w:lang w:val="en-US" w:eastAsia="zh-CN"/>
                    </w:rPr>
                  </w:pPr>
                  <w:r>
                    <w:rPr>
                      <w:rFonts w:hint="eastAsia" w:ascii="Times New Roman" w:hAnsi="Times New Roman" w:eastAsia="宋体" w:cs="Times New Roman"/>
                      <w:color w:val="FF0000"/>
                      <w:sz w:val="21"/>
                      <w:lang w:val="en-US" w:eastAsia="zh-CN"/>
                    </w:rPr>
                    <w:t>/</w:t>
                  </w:r>
                </w:p>
              </w:tc>
              <w:tc>
                <w:tcPr>
                  <w:tcW w:w="537" w:type="dxa"/>
                  <w:tcBorders>
                    <w:tl2br w:val="nil"/>
                    <w:tr2bl w:val="nil"/>
                  </w:tcBorders>
                  <w:noWrap w:val="0"/>
                  <w:vAlign w:val="center"/>
                </w:tcPr>
                <w:p w14:paraId="446F16BA">
                  <w:pPr>
                    <w:spacing w:line="240" w:lineRule="auto"/>
                    <w:ind w:firstLine="0" w:firstLineChars="0"/>
                    <w:jc w:val="center"/>
                    <w:rPr>
                      <w:rFonts w:hint="default"/>
                      <w:color w:val="FF0000"/>
                      <w:sz w:val="21"/>
                      <w:szCs w:val="21"/>
                      <w:lang w:val="en-US" w:eastAsia="zh-CN"/>
                    </w:rPr>
                  </w:pPr>
                  <w:r>
                    <w:rPr>
                      <w:rFonts w:hint="eastAsia"/>
                      <w:color w:val="FF0000"/>
                      <w:sz w:val="21"/>
                      <w:szCs w:val="21"/>
                      <w:lang w:val="en-US" w:eastAsia="zh-CN"/>
                    </w:rPr>
                    <w:t>2</w:t>
                  </w:r>
                </w:p>
              </w:tc>
              <w:tc>
                <w:tcPr>
                  <w:tcW w:w="863" w:type="dxa"/>
                  <w:tcBorders>
                    <w:tl2br w:val="nil"/>
                    <w:tr2bl w:val="nil"/>
                  </w:tcBorders>
                  <w:noWrap w:val="0"/>
                  <w:vAlign w:val="center"/>
                </w:tcPr>
                <w:p w14:paraId="32BC3444">
                  <w:pPr>
                    <w:keepNext w:val="0"/>
                    <w:keepLines w:val="0"/>
                    <w:pageBreakBefore w:val="0"/>
                    <w:widowControl w:val="0"/>
                    <w:wordWrap/>
                    <w:topLinePunct w:val="0"/>
                    <w:bidi w:val="0"/>
                    <w:spacing w:line="240" w:lineRule="auto"/>
                    <w:ind w:firstLine="0" w:firstLineChars="0"/>
                    <w:jc w:val="center"/>
                    <w:textAlignment w:val="auto"/>
                    <w:rPr>
                      <w:rFonts w:hint="default" w:eastAsia="宋体"/>
                      <w:color w:val="FF0000"/>
                      <w:sz w:val="21"/>
                      <w:szCs w:val="21"/>
                      <w:lang w:val="en-US" w:eastAsia="zh-CN"/>
                    </w:rPr>
                  </w:pPr>
                  <w:r>
                    <w:rPr>
                      <w:rFonts w:hint="eastAsia"/>
                      <w:color w:val="FF0000"/>
                      <w:sz w:val="21"/>
                      <w:szCs w:val="21"/>
                      <w:lang w:val="en-US" w:eastAsia="zh-CN"/>
                    </w:rPr>
                    <w:t>固废</w:t>
                  </w:r>
                </w:p>
              </w:tc>
              <w:tc>
                <w:tcPr>
                  <w:tcW w:w="2490" w:type="dxa"/>
                  <w:tcBorders>
                    <w:tl2br w:val="nil"/>
                    <w:tr2bl w:val="nil"/>
                  </w:tcBorders>
                  <w:noWrap w:val="0"/>
                  <w:vAlign w:val="center"/>
                </w:tcPr>
                <w:p w14:paraId="455F535D">
                  <w:pPr>
                    <w:keepNext w:val="0"/>
                    <w:keepLines w:val="0"/>
                    <w:pageBreakBefore w:val="0"/>
                    <w:widowControl w:val="0"/>
                    <w:kinsoku w:val="0"/>
                    <w:wordWrap/>
                    <w:overflowPunct w:val="0"/>
                    <w:topLinePunct w:val="0"/>
                    <w:autoSpaceDE w:val="0"/>
                    <w:autoSpaceDN w:val="0"/>
                    <w:bidi w:val="0"/>
                    <w:adjustRightInd/>
                    <w:snapToGrid/>
                    <w:spacing w:line="240" w:lineRule="auto"/>
                    <w:ind w:left="0" w:leftChars="0"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废弃零部件</w:t>
                  </w:r>
                </w:p>
              </w:tc>
              <w:tc>
                <w:tcPr>
                  <w:tcW w:w="1092" w:type="dxa"/>
                  <w:tcBorders>
                    <w:tl2br w:val="nil"/>
                    <w:tr2bl w:val="nil"/>
                  </w:tcBorders>
                  <w:noWrap w:val="0"/>
                  <w:vAlign w:val="center"/>
                </w:tcPr>
                <w:p w14:paraId="37D91CAD">
                  <w:pPr>
                    <w:keepNext w:val="0"/>
                    <w:keepLines w:val="0"/>
                    <w:pageBreakBefore w:val="0"/>
                    <w:widowControl w:val="0"/>
                    <w:kinsoku w:val="0"/>
                    <w:wordWrap/>
                    <w:overflowPunct w:val="0"/>
                    <w:topLinePunct w:val="0"/>
                    <w:autoSpaceDE w:val="0"/>
                    <w:autoSpaceDN w:val="0"/>
                    <w:bidi w:val="0"/>
                    <w:adjustRightInd/>
                    <w:snapToGrid/>
                    <w:spacing w:line="240" w:lineRule="auto"/>
                    <w:ind w:left="0" w:leftChars="0"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2</w:t>
                  </w:r>
                </w:p>
              </w:tc>
            </w:tr>
            <w:tr w14:paraId="18F018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2491" w:type="dxa"/>
                  <w:gridSpan w:val="2"/>
                  <w:tcBorders>
                    <w:tl2br w:val="nil"/>
                    <w:tr2bl w:val="nil"/>
                  </w:tcBorders>
                  <w:noWrap w:val="0"/>
                  <w:vAlign w:val="center"/>
                </w:tcPr>
                <w:p w14:paraId="72E99929">
                  <w:pPr>
                    <w:spacing w:line="240" w:lineRule="auto"/>
                    <w:ind w:firstLine="0" w:firstLineChars="0"/>
                    <w:jc w:val="center"/>
                    <w:rPr>
                      <w:color w:val="FF0000"/>
                      <w:sz w:val="21"/>
                    </w:rPr>
                  </w:pPr>
                  <w:r>
                    <w:rPr>
                      <w:color w:val="FF0000"/>
                      <w:sz w:val="21"/>
                    </w:rPr>
                    <w:t>合计</w:t>
                  </w:r>
                </w:p>
              </w:tc>
              <w:tc>
                <w:tcPr>
                  <w:tcW w:w="888" w:type="dxa"/>
                  <w:tcBorders>
                    <w:tl2br w:val="nil"/>
                    <w:tr2bl w:val="nil"/>
                  </w:tcBorders>
                  <w:noWrap w:val="0"/>
                  <w:vAlign w:val="center"/>
                </w:tcPr>
                <w:p w14:paraId="120B99DA">
                  <w:pPr>
                    <w:spacing w:line="240" w:lineRule="auto"/>
                    <w:ind w:firstLine="0" w:firstLineChars="0"/>
                    <w:jc w:val="center"/>
                    <w:rPr>
                      <w:rFonts w:hint="default" w:eastAsia="宋体"/>
                      <w:color w:val="FF0000"/>
                      <w:sz w:val="21"/>
                      <w:lang w:val="en-US" w:eastAsia="zh-CN"/>
                    </w:rPr>
                  </w:pPr>
                  <w:r>
                    <w:rPr>
                      <w:rFonts w:hint="eastAsia"/>
                      <w:color w:val="FF0000"/>
                      <w:sz w:val="21"/>
                      <w:lang w:val="en-US" w:eastAsia="zh-CN"/>
                    </w:rPr>
                    <w:t>8320</w:t>
                  </w:r>
                </w:p>
              </w:tc>
              <w:tc>
                <w:tcPr>
                  <w:tcW w:w="3890" w:type="dxa"/>
                  <w:gridSpan w:val="3"/>
                  <w:tcBorders>
                    <w:tl2br w:val="nil"/>
                    <w:tr2bl w:val="nil"/>
                  </w:tcBorders>
                  <w:noWrap w:val="0"/>
                  <w:vAlign w:val="center"/>
                </w:tcPr>
                <w:p w14:paraId="3D2DEC2D">
                  <w:pPr>
                    <w:spacing w:line="240" w:lineRule="auto"/>
                    <w:ind w:firstLine="0" w:firstLineChars="0"/>
                    <w:jc w:val="center"/>
                    <w:rPr>
                      <w:color w:val="FF0000"/>
                      <w:sz w:val="21"/>
                    </w:rPr>
                  </w:pPr>
                  <w:r>
                    <w:rPr>
                      <w:color w:val="FF0000"/>
                      <w:sz w:val="21"/>
                    </w:rPr>
                    <w:t>合计</w:t>
                  </w:r>
                </w:p>
              </w:tc>
              <w:tc>
                <w:tcPr>
                  <w:tcW w:w="1092" w:type="dxa"/>
                  <w:tcBorders>
                    <w:tl2br w:val="nil"/>
                    <w:tr2bl w:val="nil"/>
                  </w:tcBorders>
                  <w:noWrap w:val="0"/>
                  <w:vAlign w:val="center"/>
                </w:tcPr>
                <w:p w14:paraId="26C3EF2D">
                  <w:pPr>
                    <w:spacing w:line="240" w:lineRule="auto"/>
                    <w:ind w:firstLine="0" w:firstLineChars="0"/>
                    <w:jc w:val="center"/>
                    <w:rPr>
                      <w:rFonts w:hint="default" w:eastAsia="宋体"/>
                      <w:color w:val="FF0000"/>
                      <w:sz w:val="21"/>
                      <w:lang w:val="en-US" w:eastAsia="zh-CN"/>
                    </w:rPr>
                  </w:pPr>
                  <w:r>
                    <w:rPr>
                      <w:rFonts w:hint="eastAsia"/>
                      <w:color w:val="FF0000"/>
                      <w:sz w:val="21"/>
                      <w:lang w:val="en-US" w:eastAsia="zh-CN"/>
                    </w:rPr>
                    <w:t>8320</w:t>
                  </w:r>
                </w:p>
              </w:tc>
            </w:tr>
          </w:tbl>
          <w:p w14:paraId="2697456B">
            <w:pPr>
              <w:keepNext w:val="0"/>
              <w:keepLines w:val="0"/>
              <w:pageBreakBefore w:val="0"/>
              <w:widowControl w:val="0"/>
              <w:tabs>
                <w:tab w:val="left" w:pos="525"/>
              </w:tabs>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FF0000"/>
                <w:kern w:val="21"/>
                <w:sz w:val="21"/>
                <w:szCs w:val="21"/>
                <w:lang w:val="en-US" w:eastAsia="zh-CN"/>
              </w:rPr>
            </w:pPr>
            <w:r>
              <w:rPr>
                <w:rFonts w:ascii="Times New Roman" w:hAnsi="Times New Roman" w:eastAsia="宋体" w:cs="Times New Roman"/>
                <w:b/>
                <w:color w:val="FF0000"/>
                <w:kern w:val="21"/>
                <w:sz w:val="21"/>
                <w:szCs w:val="21"/>
              </w:rPr>
              <w:t>表</w:t>
            </w:r>
            <w:r>
              <w:rPr>
                <w:rFonts w:hint="eastAsia" w:ascii="Times New Roman" w:hAnsi="Times New Roman" w:eastAsia="宋体" w:cs="Times New Roman"/>
                <w:b/>
                <w:color w:val="FF0000"/>
                <w:kern w:val="21"/>
                <w:sz w:val="21"/>
                <w:szCs w:val="21"/>
                <w:lang w:val="en-US" w:eastAsia="zh-CN"/>
              </w:rPr>
              <w:t>2-1</w:t>
            </w:r>
            <w:r>
              <w:rPr>
                <w:rFonts w:hint="eastAsia" w:cs="Times New Roman"/>
                <w:b/>
                <w:color w:val="FF0000"/>
                <w:kern w:val="21"/>
                <w:sz w:val="21"/>
                <w:szCs w:val="21"/>
                <w:lang w:val="en-US" w:eastAsia="zh-CN"/>
              </w:rPr>
              <w:t>1</w:t>
            </w:r>
            <w:r>
              <w:rPr>
                <w:rFonts w:hint="eastAsia" w:ascii="Times New Roman" w:hAnsi="Times New Roman" w:eastAsia="宋体" w:cs="Times New Roman"/>
                <w:b/>
                <w:color w:val="FF0000"/>
                <w:kern w:val="21"/>
                <w:sz w:val="21"/>
                <w:szCs w:val="21"/>
                <w:lang w:val="en-US" w:eastAsia="zh-CN" w:bidi="ar-SA"/>
              </w:rPr>
              <w:t xml:space="preserve"> 本项目混凝土保温模板物料平衡表</w:t>
            </w:r>
          </w:p>
          <w:tbl>
            <w:tblPr>
              <w:tblStyle w:val="41"/>
              <w:tblW w:w="83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17" w:type="dxa"/>
                <w:left w:w="108" w:type="dxa"/>
                <w:bottom w:w="17" w:type="dxa"/>
                <w:right w:w="108" w:type="dxa"/>
              </w:tblCellMar>
            </w:tblPr>
            <w:tblGrid>
              <w:gridCol w:w="672"/>
              <w:gridCol w:w="1795"/>
              <w:gridCol w:w="1138"/>
              <w:gridCol w:w="717"/>
              <w:gridCol w:w="807"/>
              <w:gridCol w:w="2092"/>
              <w:gridCol w:w="1140"/>
            </w:tblGrid>
            <w:tr w14:paraId="48E210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3605" w:type="dxa"/>
                  <w:gridSpan w:val="3"/>
                  <w:tcBorders>
                    <w:tl2br w:val="nil"/>
                    <w:tr2bl w:val="nil"/>
                  </w:tcBorders>
                  <w:noWrap w:val="0"/>
                  <w:vAlign w:val="center"/>
                </w:tcPr>
                <w:p w14:paraId="06B9B4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rFonts w:hint="eastAsia"/>
                      <w:color w:val="FF0000"/>
                      <w:sz w:val="21"/>
                      <w:szCs w:val="21"/>
                    </w:rPr>
                    <w:t>投入</w:t>
                  </w:r>
                </w:p>
              </w:tc>
              <w:tc>
                <w:tcPr>
                  <w:tcW w:w="4756" w:type="dxa"/>
                  <w:gridSpan w:val="4"/>
                  <w:tcBorders>
                    <w:tl2br w:val="nil"/>
                    <w:tr2bl w:val="nil"/>
                  </w:tcBorders>
                  <w:noWrap w:val="0"/>
                  <w:vAlign w:val="center"/>
                </w:tcPr>
                <w:p w14:paraId="4AA14D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FF0000"/>
                      <w:sz w:val="21"/>
                      <w:szCs w:val="21"/>
                      <w:lang w:eastAsia="zh-CN"/>
                    </w:rPr>
                  </w:pPr>
                  <w:r>
                    <w:rPr>
                      <w:rFonts w:hint="eastAsia"/>
                      <w:color w:val="FF0000"/>
                      <w:sz w:val="21"/>
                      <w:szCs w:val="21"/>
                    </w:rPr>
                    <w:t>产出</w:t>
                  </w:r>
                </w:p>
              </w:tc>
            </w:tr>
            <w:tr w14:paraId="355CB3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672" w:type="dxa"/>
                  <w:tcBorders>
                    <w:tl2br w:val="nil"/>
                    <w:tr2bl w:val="nil"/>
                  </w:tcBorders>
                  <w:noWrap w:val="0"/>
                  <w:vAlign w:val="center"/>
                </w:tcPr>
                <w:p w14:paraId="7AA714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color w:val="FF0000"/>
                      <w:sz w:val="21"/>
                      <w:szCs w:val="21"/>
                    </w:rPr>
                    <w:t>序号</w:t>
                  </w:r>
                </w:p>
              </w:tc>
              <w:tc>
                <w:tcPr>
                  <w:tcW w:w="1795" w:type="dxa"/>
                  <w:tcBorders>
                    <w:tl2br w:val="nil"/>
                    <w:tr2bl w:val="nil"/>
                  </w:tcBorders>
                  <w:noWrap w:val="0"/>
                  <w:vAlign w:val="center"/>
                </w:tcPr>
                <w:p w14:paraId="78966F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color w:val="FF0000"/>
                      <w:sz w:val="21"/>
                      <w:szCs w:val="21"/>
                    </w:rPr>
                    <w:t>名称</w:t>
                  </w:r>
                </w:p>
              </w:tc>
              <w:tc>
                <w:tcPr>
                  <w:tcW w:w="1138" w:type="dxa"/>
                  <w:tcBorders>
                    <w:tl2br w:val="nil"/>
                    <w:tr2bl w:val="nil"/>
                  </w:tcBorders>
                  <w:noWrap w:val="0"/>
                  <w:vAlign w:val="center"/>
                </w:tcPr>
                <w:p w14:paraId="229A80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color w:val="FF0000"/>
                      <w:sz w:val="21"/>
                      <w:szCs w:val="21"/>
                    </w:rPr>
                    <w:t>数量</w:t>
                  </w:r>
                  <w:r>
                    <w:rPr>
                      <w:rFonts w:hint="eastAsia"/>
                      <w:color w:val="FF0000"/>
                      <w:sz w:val="21"/>
                      <w:szCs w:val="21"/>
                    </w:rPr>
                    <w:t>（t/a）</w:t>
                  </w:r>
                </w:p>
              </w:tc>
              <w:tc>
                <w:tcPr>
                  <w:tcW w:w="717" w:type="dxa"/>
                  <w:tcBorders>
                    <w:tl2br w:val="nil"/>
                    <w:tr2bl w:val="nil"/>
                  </w:tcBorders>
                  <w:noWrap w:val="0"/>
                  <w:vAlign w:val="center"/>
                </w:tcPr>
                <w:p w14:paraId="0D101A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color w:val="FF0000"/>
                      <w:sz w:val="21"/>
                      <w:szCs w:val="21"/>
                    </w:rPr>
                    <w:t>序号</w:t>
                  </w:r>
                </w:p>
              </w:tc>
              <w:tc>
                <w:tcPr>
                  <w:tcW w:w="2899" w:type="dxa"/>
                  <w:gridSpan w:val="2"/>
                  <w:tcBorders>
                    <w:tl2br w:val="nil"/>
                    <w:tr2bl w:val="nil"/>
                  </w:tcBorders>
                  <w:noWrap w:val="0"/>
                  <w:vAlign w:val="center"/>
                </w:tcPr>
                <w:p w14:paraId="336F62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color w:val="FF0000"/>
                      <w:sz w:val="21"/>
                      <w:szCs w:val="21"/>
                    </w:rPr>
                    <w:t>名称</w:t>
                  </w:r>
                </w:p>
              </w:tc>
              <w:tc>
                <w:tcPr>
                  <w:tcW w:w="1140" w:type="dxa"/>
                  <w:tcBorders>
                    <w:tl2br w:val="nil"/>
                    <w:tr2bl w:val="nil"/>
                  </w:tcBorders>
                  <w:noWrap w:val="0"/>
                  <w:vAlign w:val="center"/>
                </w:tcPr>
                <w:p w14:paraId="1BE88E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color w:val="FF0000"/>
                      <w:sz w:val="21"/>
                      <w:szCs w:val="21"/>
                    </w:rPr>
                    <w:t>数量</w:t>
                  </w:r>
                  <w:r>
                    <w:rPr>
                      <w:rFonts w:hint="eastAsia"/>
                      <w:color w:val="FF0000"/>
                      <w:sz w:val="21"/>
                      <w:szCs w:val="21"/>
                    </w:rPr>
                    <w:t>（t/a）</w:t>
                  </w:r>
                </w:p>
              </w:tc>
            </w:tr>
            <w:tr w14:paraId="6C1EBD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672" w:type="dxa"/>
                  <w:tcBorders>
                    <w:tl2br w:val="nil"/>
                    <w:tr2bl w:val="nil"/>
                  </w:tcBorders>
                  <w:noWrap w:val="0"/>
                  <w:vAlign w:val="center"/>
                </w:tcPr>
                <w:p w14:paraId="3BBD4B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FF0000"/>
                      <w:sz w:val="21"/>
                      <w:szCs w:val="21"/>
                      <w:lang w:val="en-US" w:eastAsia="zh-CN"/>
                    </w:rPr>
                  </w:pPr>
                  <w:r>
                    <w:rPr>
                      <w:rFonts w:hint="eastAsia"/>
                      <w:color w:val="FF0000"/>
                      <w:sz w:val="21"/>
                      <w:szCs w:val="21"/>
                      <w:lang w:val="en-US" w:eastAsia="zh-CN"/>
                    </w:rPr>
                    <w:t>1</w:t>
                  </w:r>
                </w:p>
              </w:tc>
              <w:tc>
                <w:tcPr>
                  <w:tcW w:w="1795" w:type="dxa"/>
                  <w:tcBorders>
                    <w:tl2br w:val="nil"/>
                    <w:tr2bl w:val="nil"/>
                  </w:tcBorders>
                  <w:noWrap w:val="0"/>
                  <w:vAlign w:val="center"/>
                </w:tcPr>
                <w:p w14:paraId="1EA8B0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木质纤维</w:t>
                  </w:r>
                </w:p>
              </w:tc>
              <w:tc>
                <w:tcPr>
                  <w:tcW w:w="1138" w:type="dxa"/>
                  <w:tcBorders>
                    <w:tl2br w:val="nil"/>
                    <w:tr2bl w:val="nil"/>
                  </w:tcBorders>
                  <w:noWrap w:val="0"/>
                  <w:vAlign w:val="center"/>
                </w:tcPr>
                <w:p w14:paraId="301BD6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25</w:t>
                  </w:r>
                </w:p>
              </w:tc>
              <w:tc>
                <w:tcPr>
                  <w:tcW w:w="717" w:type="dxa"/>
                  <w:tcBorders>
                    <w:tl2br w:val="nil"/>
                    <w:tr2bl w:val="nil"/>
                  </w:tcBorders>
                  <w:noWrap w:val="0"/>
                  <w:vAlign w:val="center"/>
                </w:tcPr>
                <w:p w14:paraId="108BC9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1</w:t>
                  </w:r>
                </w:p>
              </w:tc>
              <w:tc>
                <w:tcPr>
                  <w:tcW w:w="807" w:type="dxa"/>
                  <w:tcBorders>
                    <w:tl2br w:val="nil"/>
                    <w:tr2bl w:val="nil"/>
                  </w:tcBorders>
                  <w:noWrap w:val="0"/>
                  <w:vAlign w:val="center"/>
                </w:tcPr>
                <w:p w14:paraId="48DEAA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产品</w:t>
                  </w:r>
                </w:p>
              </w:tc>
              <w:tc>
                <w:tcPr>
                  <w:tcW w:w="2092" w:type="dxa"/>
                  <w:tcBorders>
                    <w:tl2br w:val="nil"/>
                    <w:tr2bl w:val="nil"/>
                  </w:tcBorders>
                  <w:noWrap w:val="0"/>
                  <w:vAlign w:val="center"/>
                </w:tcPr>
                <w:p w14:paraId="632DBE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混凝土保温模板</w:t>
                  </w:r>
                </w:p>
              </w:tc>
              <w:tc>
                <w:tcPr>
                  <w:tcW w:w="1140" w:type="dxa"/>
                  <w:tcBorders>
                    <w:tl2br w:val="nil"/>
                    <w:tr2bl w:val="nil"/>
                  </w:tcBorders>
                  <w:noWrap w:val="0"/>
                  <w:vAlign w:val="center"/>
                </w:tcPr>
                <w:p w14:paraId="72A397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820</w:t>
                  </w:r>
                </w:p>
              </w:tc>
            </w:tr>
            <w:tr w14:paraId="686ACC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672" w:type="dxa"/>
                  <w:tcBorders>
                    <w:tl2br w:val="nil"/>
                    <w:tr2bl w:val="nil"/>
                  </w:tcBorders>
                  <w:noWrap w:val="0"/>
                  <w:vAlign w:val="center"/>
                </w:tcPr>
                <w:p w14:paraId="0954FE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FF0000"/>
                      <w:sz w:val="21"/>
                      <w:szCs w:val="21"/>
                      <w:lang w:val="en-US" w:eastAsia="zh-CN"/>
                    </w:rPr>
                  </w:pPr>
                  <w:r>
                    <w:rPr>
                      <w:rFonts w:hint="eastAsia"/>
                      <w:color w:val="FF0000"/>
                      <w:sz w:val="21"/>
                      <w:szCs w:val="21"/>
                      <w:lang w:val="en-US" w:eastAsia="zh-CN"/>
                    </w:rPr>
                    <w:t>2</w:t>
                  </w:r>
                </w:p>
              </w:tc>
              <w:tc>
                <w:tcPr>
                  <w:tcW w:w="1795" w:type="dxa"/>
                  <w:tcBorders>
                    <w:tl2br w:val="nil"/>
                    <w:tr2bl w:val="nil"/>
                  </w:tcBorders>
                  <w:noWrap w:val="0"/>
                  <w:vAlign w:val="center"/>
                </w:tcPr>
                <w:p w14:paraId="35D20B0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FF0000"/>
                      <w:kern w:val="0"/>
                      <w:sz w:val="21"/>
                      <w:szCs w:val="21"/>
                      <w:u w:val="none"/>
                      <w:lang w:val="en-US" w:eastAsia="zh-CN" w:bidi="ar"/>
                    </w:rPr>
                  </w:pPr>
                  <w:r>
                    <w:rPr>
                      <w:rFonts w:hint="eastAsia"/>
                      <w:color w:val="FF0000"/>
                      <w:sz w:val="21"/>
                      <w:szCs w:val="21"/>
                      <w:lang w:val="en-US" w:eastAsia="zh-CN"/>
                    </w:rPr>
                    <w:t>水</w:t>
                  </w:r>
                </w:p>
              </w:tc>
              <w:tc>
                <w:tcPr>
                  <w:tcW w:w="1138" w:type="dxa"/>
                  <w:tcBorders>
                    <w:tl2br w:val="nil"/>
                    <w:tr2bl w:val="nil"/>
                  </w:tcBorders>
                  <w:noWrap w:val="0"/>
                  <w:vAlign w:val="center"/>
                </w:tcPr>
                <w:p w14:paraId="0F7B4B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58</w:t>
                  </w:r>
                </w:p>
              </w:tc>
              <w:tc>
                <w:tcPr>
                  <w:tcW w:w="717" w:type="dxa"/>
                  <w:tcBorders>
                    <w:tl2br w:val="nil"/>
                    <w:tr2bl w:val="nil"/>
                  </w:tcBorders>
                  <w:noWrap w:val="0"/>
                  <w:vAlign w:val="center"/>
                </w:tcPr>
                <w:p w14:paraId="45A91E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2</w:t>
                  </w:r>
                </w:p>
              </w:tc>
              <w:tc>
                <w:tcPr>
                  <w:tcW w:w="807" w:type="dxa"/>
                  <w:tcBorders>
                    <w:tl2br w:val="nil"/>
                    <w:tr2bl w:val="nil"/>
                  </w:tcBorders>
                  <w:noWrap w:val="0"/>
                  <w:vAlign w:val="center"/>
                </w:tcPr>
                <w:p w14:paraId="2E4E7B22">
                  <w:pPr>
                    <w:keepNext w:val="0"/>
                    <w:keepLines w:val="0"/>
                    <w:pageBreakBefore w:val="0"/>
                    <w:wordWrap/>
                    <w:topLinePunct w:val="0"/>
                    <w:bidi w:val="0"/>
                    <w:spacing w:line="240" w:lineRule="auto"/>
                    <w:ind w:firstLine="0" w:firstLineChars="0"/>
                    <w:jc w:val="center"/>
                    <w:textAlignment w:val="auto"/>
                    <w:rPr>
                      <w:rFonts w:hint="default"/>
                      <w:color w:val="FF0000"/>
                      <w:sz w:val="21"/>
                      <w:szCs w:val="21"/>
                      <w:lang w:val="en-US" w:eastAsia="zh-CN"/>
                    </w:rPr>
                  </w:pPr>
                  <w:r>
                    <w:rPr>
                      <w:rFonts w:hint="eastAsia" w:ascii="Times New Roman" w:hAnsi="Times New Roman" w:eastAsia="宋体" w:cs="Times New Roman"/>
                      <w:color w:val="FF0000"/>
                      <w:sz w:val="21"/>
                      <w:lang w:val="en-US" w:eastAsia="zh-CN"/>
                    </w:rPr>
                    <w:t>废气</w:t>
                  </w:r>
                </w:p>
              </w:tc>
              <w:tc>
                <w:tcPr>
                  <w:tcW w:w="2092" w:type="dxa"/>
                  <w:tcBorders>
                    <w:tl2br w:val="nil"/>
                    <w:tr2bl w:val="nil"/>
                  </w:tcBorders>
                  <w:noWrap w:val="0"/>
                  <w:vAlign w:val="center"/>
                </w:tcPr>
                <w:p w14:paraId="62D1785F">
                  <w:pPr>
                    <w:keepNext w:val="0"/>
                    <w:keepLines w:val="0"/>
                    <w:pageBreakBefore w:val="0"/>
                    <w:wordWrap/>
                    <w:topLinePunct w:val="0"/>
                    <w:bidi w:val="0"/>
                    <w:spacing w:line="240" w:lineRule="auto"/>
                    <w:ind w:firstLine="0" w:firstLineChars="0"/>
                    <w:jc w:val="center"/>
                    <w:textAlignment w:val="auto"/>
                    <w:rPr>
                      <w:rFonts w:hint="eastAsia"/>
                      <w:color w:val="FF0000"/>
                      <w:sz w:val="21"/>
                      <w:szCs w:val="21"/>
                      <w:lang w:val="en-US" w:eastAsia="zh-CN"/>
                    </w:rPr>
                  </w:pPr>
                  <w:r>
                    <w:rPr>
                      <w:rFonts w:hint="eastAsia" w:ascii="Times New Roman" w:hAnsi="Times New Roman" w:eastAsia="宋体" w:cs="Times New Roman"/>
                      <w:color w:val="FF0000"/>
                      <w:sz w:val="21"/>
                      <w:lang w:val="en-US" w:eastAsia="zh-CN"/>
                    </w:rPr>
                    <w:t>颗粒物</w:t>
                  </w:r>
                </w:p>
              </w:tc>
              <w:tc>
                <w:tcPr>
                  <w:tcW w:w="1140" w:type="dxa"/>
                  <w:tcBorders>
                    <w:tl2br w:val="nil"/>
                    <w:tr2bl w:val="nil"/>
                  </w:tcBorders>
                  <w:noWrap w:val="0"/>
                  <w:vAlign w:val="center"/>
                </w:tcPr>
                <w:p w14:paraId="4EBF479C">
                  <w:pPr>
                    <w:keepNext w:val="0"/>
                    <w:keepLines w:val="0"/>
                    <w:pageBreakBefore w:val="0"/>
                    <w:wordWrap/>
                    <w:topLinePunct w:val="0"/>
                    <w:bidi w:val="0"/>
                    <w:spacing w:line="240" w:lineRule="auto"/>
                    <w:ind w:firstLine="0" w:firstLineChars="0"/>
                    <w:jc w:val="center"/>
                    <w:textAlignment w:val="auto"/>
                    <w:rPr>
                      <w:rFonts w:hint="default"/>
                      <w:color w:val="FF0000"/>
                      <w:sz w:val="21"/>
                      <w:szCs w:val="21"/>
                      <w:lang w:val="en-US" w:eastAsia="zh-CN"/>
                    </w:rPr>
                  </w:pPr>
                  <w:r>
                    <w:rPr>
                      <w:rFonts w:hint="eastAsia" w:cs="Times New Roman"/>
                      <w:color w:val="FF0000"/>
                      <w:sz w:val="21"/>
                      <w:lang w:val="en-US" w:eastAsia="zh-CN"/>
                    </w:rPr>
                    <w:t>0.005</w:t>
                  </w:r>
                </w:p>
              </w:tc>
            </w:tr>
            <w:tr w14:paraId="353617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672" w:type="dxa"/>
                  <w:tcBorders>
                    <w:tl2br w:val="nil"/>
                    <w:tr2bl w:val="nil"/>
                  </w:tcBorders>
                  <w:noWrap w:val="0"/>
                  <w:vAlign w:val="center"/>
                </w:tcPr>
                <w:p w14:paraId="131346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FF0000"/>
                      <w:sz w:val="21"/>
                      <w:szCs w:val="21"/>
                      <w:lang w:val="en-US" w:eastAsia="zh-CN"/>
                    </w:rPr>
                  </w:pPr>
                  <w:r>
                    <w:rPr>
                      <w:rFonts w:hint="eastAsia"/>
                      <w:color w:val="FF0000"/>
                      <w:sz w:val="21"/>
                      <w:szCs w:val="21"/>
                      <w:lang w:val="en-US" w:eastAsia="zh-CN"/>
                    </w:rPr>
                    <w:t>3</w:t>
                  </w:r>
                </w:p>
              </w:tc>
              <w:tc>
                <w:tcPr>
                  <w:tcW w:w="1795" w:type="dxa"/>
                  <w:tcBorders>
                    <w:tl2br w:val="nil"/>
                    <w:tr2bl w:val="nil"/>
                  </w:tcBorders>
                  <w:noWrap w:val="0"/>
                  <w:vAlign w:val="center"/>
                </w:tcPr>
                <w:p w14:paraId="1E5FC19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iCs w:val="0"/>
                      <w:color w:val="FF0000"/>
                      <w:kern w:val="0"/>
                      <w:sz w:val="21"/>
                      <w:szCs w:val="21"/>
                      <w:u w:val="none"/>
                      <w:lang w:val="en-US" w:eastAsia="zh-CN" w:bidi="ar"/>
                    </w:rPr>
                  </w:pPr>
                  <w:r>
                    <w:rPr>
                      <w:rFonts w:hint="eastAsia" w:ascii="宋体" w:hAnsi="宋体" w:eastAsia="宋体" w:cs="宋体"/>
                      <w:i w:val="0"/>
                      <w:iCs w:val="0"/>
                      <w:color w:val="FF0000"/>
                      <w:kern w:val="0"/>
                      <w:sz w:val="21"/>
                      <w:szCs w:val="21"/>
                      <w:u w:val="none"/>
                      <w:lang w:val="en-US" w:eastAsia="zh-CN" w:bidi="ar"/>
                    </w:rPr>
                    <w:t>水泥</w:t>
                  </w:r>
                </w:p>
              </w:tc>
              <w:tc>
                <w:tcPr>
                  <w:tcW w:w="1138" w:type="dxa"/>
                  <w:tcBorders>
                    <w:tl2br w:val="nil"/>
                    <w:tr2bl w:val="nil"/>
                  </w:tcBorders>
                  <w:noWrap w:val="0"/>
                  <w:vAlign w:val="center"/>
                </w:tcPr>
                <w:p w14:paraId="070D24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133</w:t>
                  </w:r>
                </w:p>
              </w:tc>
              <w:tc>
                <w:tcPr>
                  <w:tcW w:w="717" w:type="dxa"/>
                  <w:tcBorders>
                    <w:tl2br w:val="nil"/>
                    <w:tr2bl w:val="nil"/>
                  </w:tcBorders>
                  <w:noWrap w:val="0"/>
                  <w:vAlign w:val="center"/>
                </w:tcPr>
                <w:p w14:paraId="0B3583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3</w:t>
                  </w:r>
                </w:p>
              </w:tc>
              <w:tc>
                <w:tcPr>
                  <w:tcW w:w="807" w:type="dxa"/>
                  <w:tcBorders>
                    <w:tl2br w:val="nil"/>
                    <w:tr2bl w:val="nil"/>
                  </w:tcBorders>
                  <w:noWrap w:val="0"/>
                  <w:vAlign w:val="center"/>
                </w:tcPr>
                <w:p w14:paraId="263F56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r>
                    <w:rPr>
                      <w:rFonts w:hint="eastAsia" w:ascii="Times New Roman" w:hAnsi="Times New Roman" w:eastAsia="宋体" w:cs="Times New Roman"/>
                      <w:color w:val="FF0000"/>
                      <w:sz w:val="21"/>
                      <w:lang w:val="en-US" w:eastAsia="zh-CN"/>
                    </w:rPr>
                    <w:t>固废</w:t>
                  </w:r>
                </w:p>
              </w:tc>
              <w:tc>
                <w:tcPr>
                  <w:tcW w:w="2092" w:type="dxa"/>
                  <w:tcBorders>
                    <w:tl2br w:val="nil"/>
                    <w:tr2bl w:val="nil"/>
                  </w:tcBorders>
                  <w:noWrap w:val="0"/>
                  <w:vAlign w:val="center"/>
                </w:tcPr>
                <w:p w14:paraId="5D3F1D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不合格品</w:t>
                  </w:r>
                </w:p>
              </w:tc>
              <w:tc>
                <w:tcPr>
                  <w:tcW w:w="1140" w:type="dxa"/>
                  <w:tcBorders>
                    <w:tl2br w:val="nil"/>
                    <w:tr2bl w:val="nil"/>
                  </w:tcBorders>
                  <w:noWrap w:val="0"/>
                  <w:vAlign w:val="center"/>
                </w:tcPr>
                <w:p w14:paraId="2676E2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4.625</w:t>
                  </w:r>
                </w:p>
              </w:tc>
            </w:tr>
            <w:tr w14:paraId="0F3812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672" w:type="dxa"/>
                  <w:tcBorders>
                    <w:tl2br w:val="nil"/>
                    <w:tr2bl w:val="nil"/>
                  </w:tcBorders>
                  <w:noWrap w:val="0"/>
                  <w:vAlign w:val="center"/>
                </w:tcPr>
                <w:p w14:paraId="3CAEF4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FF0000"/>
                      <w:sz w:val="21"/>
                      <w:szCs w:val="21"/>
                      <w:lang w:val="en-US" w:eastAsia="zh-CN"/>
                    </w:rPr>
                  </w:pPr>
                  <w:r>
                    <w:rPr>
                      <w:rFonts w:hint="eastAsia"/>
                      <w:color w:val="FF0000"/>
                      <w:sz w:val="21"/>
                      <w:szCs w:val="21"/>
                      <w:lang w:val="en-US" w:eastAsia="zh-CN"/>
                    </w:rPr>
                    <w:t>4</w:t>
                  </w:r>
                </w:p>
              </w:tc>
              <w:tc>
                <w:tcPr>
                  <w:tcW w:w="1795" w:type="dxa"/>
                  <w:tcBorders>
                    <w:tl2br w:val="nil"/>
                    <w:tr2bl w:val="nil"/>
                  </w:tcBorders>
                  <w:noWrap w:val="0"/>
                  <w:vAlign w:val="center"/>
                </w:tcPr>
                <w:p w14:paraId="3D20DD0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color w:val="FF0000"/>
                      <w:sz w:val="21"/>
                      <w:szCs w:val="21"/>
                      <w:lang w:val="en-US" w:eastAsia="zh-CN"/>
                    </w:rPr>
                  </w:pPr>
                  <w:r>
                    <w:rPr>
                      <w:rFonts w:hint="eastAsia" w:ascii="宋体" w:hAnsi="宋体" w:eastAsia="宋体" w:cs="宋体"/>
                      <w:i w:val="0"/>
                      <w:iCs w:val="0"/>
                      <w:color w:val="FF0000"/>
                      <w:kern w:val="0"/>
                      <w:sz w:val="21"/>
                      <w:szCs w:val="21"/>
                      <w:u w:val="none"/>
                      <w:lang w:val="en-US" w:eastAsia="zh-CN" w:bidi="ar"/>
                    </w:rPr>
                    <w:t>机制砂</w:t>
                  </w:r>
                </w:p>
              </w:tc>
              <w:tc>
                <w:tcPr>
                  <w:tcW w:w="1138" w:type="dxa"/>
                  <w:tcBorders>
                    <w:tl2br w:val="nil"/>
                    <w:tr2bl w:val="nil"/>
                  </w:tcBorders>
                  <w:noWrap w:val="0"/>
                  <w:vAlign w:val="center"/>
                </w:tcPr>
                <w:p w14:paraId="29C0DC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188</w:t>
                  </w:r>
                </w:p>
              </w:tc>
              <w:tc>
                <w:tcPr>
                  <w:tcW w:w="717" w:type="dxa"/>
                  <w:tcBorders>
                    <w:tl2br w:val="nil"/>
                    <w:tr2bl w:val="nil"/>
                  </w:tcBorders>
                  <w:noWrap w:val="0"/>
                  <w:vAlign w:val="center"/>
                </w:tcPr>
                <w:p w14:paraId="727F4A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4</w:t>
                  </w:r>
                </w:p>
              </w:tc>
              <w:tc>
                <w:tcPr>
                  <w:tcW w:w="807" w:type="dxa"/>
                  <w:tcBorders>
                    <w:tl2br w:val="nil"/>
                    <w:tr2bl w:val="nil"/>
                  </w:tcBorders>
                  <w:noWrap w:val="0"/>
                  <w:vAlign w:val="center"/>
                </w:tcPr>
                <w:p w14:paraId="1EA66E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w:t>
                  </w:r>
                </w:p>
              </w:tc>
              <w:tc>
                <w:tcPr>
                  <w:tcW w:w="2092" w:type="dxa"/>
                  <w:tcBorders>
                    <w:tl2br w:val="nil"/>
                    <w:tr2bl w:val="nil"/>
                  </w:tcBorders>
                  <w:noWrap w:val="0"/>
                  <w:vAlign w:val="center"/>
                </w:tcPr>
                <w:p w14:paraId="35CA169A">
                  <w:pPr>
                    <w:keepNext w:val="0"/>
                    <w:keepLines w:val="0"/>
                    <w:pageBreakBefore w:val="0"/>
                    <w:wordWrap/>
                    <w:topLinePunct w:val="0"/>
                    <w:bidi w:val="0"/>
                    <w:spacing w:line="240" w:lineRule="auto"/>
                    <w:ind w:firstLine="0" w:firstLineChars="0"/>
                    <w:jc w:val="center"/>
                    <w:textAlignment w:val="auto"/>
                    <w:rPr>
                      <w:rFonts w:hint="eastAsia"/>
                      <w:color w:val="FF0000"/>
                      <w:sz w:val="21"/>
                      <w:szCs w:val="21"/>
                      <w:lang w:val="en-US" w:eastAsia="zh-CN"/>
                    </w:rPr>
                  </w:pPr>
                  <w:r>
                    <w:rPr>
                      <w:rFonts w:hint="eastAsia" w:ascii="Times New Roman" w:hAnsi="Times New Roman" w:eastAsia="宋体" w:cs="Times New Roman"/>
                      <w:color w:val="FF0000"/>
                      <w:sz w:val="21"/>
                      <w:lang w:val="en-US" w:eastAsia="zh-CN"/>
                    </w:rPr>
                    <w:t>布袋粉尘</w:t>
                  </w:r>
                </w:p>
              </w:tc>
              <w:tc>
                <w:tcPr>
                  <w:tcW w:w="1140" w:type="dxa"/>
                  <w:tcBorders>
                    <w:tl2br w:val="nil"/>
                    <w:tr2bl w:val="nil"/>
                  </w:tcBorders>
                  <w:noWrap w:val="0"/>
                  <w:vAlign w:val="center"/>
                </w:tcPr>
                <w:p w14:paraId="574DCB52">
                  <w:pPr>
                    <w:keepNext w:val="0"/>
                    <w:keepLines w:val="0"/>
                    <w:pageBreakBefore w:val="0"/>
                    <w:wordWrap/>
                    <w:topLinePunct w:val="0"/>
                    <w:bidi w:val="0"/>
                    <w:spacing w:line="240" w:lineRule="auto"/>
                    <w:ind w:firstLine="0" w:firstLineChars="0"/>
                    <w:jc w:val="center"/>
                    <w:textAlignment w:val="auto"/>
                    <w:rPr>
                      <w:rFonts w:hint="default"/>
                      <w:color w:val="FF0000"/>
                      <w:sz w:val="21"/>
                      <w:szCs w:val="21"/>
                      <w:lang w:val="en-US" w:eastAsia="zh-CN"/>
                    </w:rPr>
                  </w:pPr>
                  <w:r>
                    <w:rPr>
                      <w:rFonts w:hint="eastAsia" w:cs="Times New Roman"/>
                      <w:color w:val="FF0000"/>
                      <w:sz w:val="21"/>
                      <w:lang w:val="en-US" w:eastAsia="zh-CN"/>
                    </w:rPr>
                    <w:t>0.37</w:t>
                  </w:r>
                </w:p>
              </w:tc>
            </w:tr>
            <w:tr w14:paraId="3CB735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672" w:type="dxa"/>
                  <w:tcBorders>
                    <w:tl2br w:val="nil"/>
                    <w:tr2bl w:val="nil"/>
                  </w:tcBorders>
                  <w:noWrap w:val="0"/>
                  <w:vAlign w:val="center"/>
                </w:tcPr>
                <w:p w14:paraId="3993DA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5</w:t>
                  </w:r>
                </w:p>
              </w:tc>
              <w:tc>
                <w:tcPr>
                  <w:tcW w:w="1795" w:type="dxa"/>
                  <w:tcBorders>
                    <w:tl2br w:val="nil"/>
                    <w:tr2bl w:val="nil"/>
                  </w:tcBorders>
                  <w:noWrap w:val="0"/>
                  <w:vAlign w:val="center"/>
                </w:tcPr>
                <w:p w14:paraId="01F699A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color w:val="FF0000"/>
                      <w:sz w:val="21"/>
                      <w:szCs w:val="21"/>
                      <w:lang w:val="en-US" w:eastAsia="zh-CN"/>
                    </w:rPr>
                  </w:pPr>
                  <w:r>
                    <w:rPr>
                      <w:rFonts w:hint="eastAsia" w:ascii="宋体" w:hAnsi="宋体" w:eastAsia="宋体" w:cs="宋体"/>
                      <w:i w:val="0"/>
                      <w:iCs w:val="0"/>
                      <w:color w:val="FF0000"/>
                      <w:kern w:val="0"/>
                      <w:sz w:val="21"/>
                      <w:szCs w:val="21"/>
                      <w:u w:val="none"/>
                      <w:lang w:val="en-US" w:eastAsia="zh-CN" w:bidi="ar"/>
                    </w:rPr>
                    <w:t>碎石</w:t>
                  </w:r>
                </w:p>
              </w:tc>
              <w:tc>
                <w:tcPr>
                  <w:tcW w:w="1138" w:type="dxa"/>
                  <w:tcBorders>
                    <w:tl2br w:val="nil"/>
                    <w:tr2bl w:val="nil"/>
                  </w:tcBorders>
                  <w:noWrap w:val="0"/>
                  <w:vAlign w:val="center"/>
                </w:tcPr>
                <w:p w14:paraId="2A64C0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421</w:t>
                  </w:r>
                </w:p>
              </w:tc>
              <w:tc>
                <w:tcPr>
                  <w:tcW w:w="717" w:type="dxa"/>
                  <w:tcBorders>
                    <w:tl2br w:val="nil"/>
                    <w:tr2bl w:val="nil"/>
                  </w:tcBorders>
                  <w:noWrap w:val="0"/>
                  <w:vAlign w:val="center"/>
                </w:tcPr>
                <w:p w14:paraId="0C07B3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5</w:t>
                  </w:r>
                </w:p>
              </w:tc>
              <w:tc>
                <w:tcPr>
                  <w:tcW w:w="807" w:type="dxa"/>
                  <w:tcBorders>
                    <w:tl2br w:val="nil"/>
                    <w:tr2bl w:val="nil"/>
                  </w:tcBorders>
                  <w:noWrap w:val="0"/>
                  <w:vAlign w:val="center"/>
                </w:tcPr>
                <w:p w14:paraId="67FED4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w:t>
                  </w:r>
                </w:p>
              </w:tc>
              <w:tc>
                <w:tcPr>
                  <w:tcW w:w="2092" w:type="dxa"/>
                  <w:tcBorders>
                    <w:tl2br w:val="nil"/>
                    <w:tr2bl w:val="nil"/>
                  </w:tcBorders>
                  <w:noWrap w:val="0"/>
                  <w:vAlign w:val="center"/>
                </w:tcPr>
                <w:p w14:paraId="2670CC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w:t>
                  </w:r>
                </w:p>
              </w:tc>
              <w:tc>
                <w:tcPr>
                  <w:tcW w:w="1140" w:type="dxa"/>
                  <w:tcBorders>
                    <w:tl2br w:val="nil"/>
                    <w:tr2bl w:val="nil"/>
                  </w:tcBorders>
                  <w:noWrap w:val="0"/>
                  <w:vAlign w:val="center"/>
                </w:tcPr>
                <w:p w14:paraId="4A6328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w:t>
                  </w:r>
                </w:p>
              </w:tc>
            </w:tr>
            <w:tr w14:paraId="679E2C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2467" w:type="dxa"/>
                  <w:gridSpan w:val="2"/>
                  <w:tcBorders>
                    <w:tl2br w:val="nil"/>
                    <w:tr2bl w:val="nil"/>
                  </w:tcBorders>
                  <w:noWrap w:val="0"/>
                  <w:vAlign w:val="center"/>
                </w:tcPr>
                <w:p w14:paraId="4E9715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color w:val="FF0000"/>
                      <w:sz w:val="21"/>
                      <w:szCs w:val="21"/>
                    </w:rPr>
                    <w:t>合计</w:t>
                  </w:r>
                </w:p>
              </w:tc>
              <w:tc>
                <w:tcPr>
                  <w:tcW w:w="1138" w:type="dxa"/>
                  <w:tcBorders>
                    <w:tl2br w:val="nil"/>
                    <w:tr2bl w:val="nil"/>
                  </w:tcBorders>
                  <w:noWrap w:val="0"/>
                  <w:vAlign w:val="center"/>
                </w:tcPr>
                <w:p w14:paraId="18EB5B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825</w:t>
                  </w:r>
                </w:p>
              </w:tc>
              <w:tc>
                <w:tcPr>
                  <w:tcW w:w="3616" w:type="dxa"/>
                  <w:gridSpan w:val="3"/>
                  <w:tcBorders>
                    <w:tl2br w:val="nil"/>
                    <w:tr2bl w:val="nil"/>
                  </w:tcBorders>
                  <w:noWrap w:val="0"/>
                  <w:vAlign w:val="center"/>
                </w:tcPr>
                <w:p w14:paraId="2CA494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color w:val="FF0000"/>
                      <w:sz w:val="21"/>
                      <w:szCs w:val="21"/>
                    </w:rPr>
                    <w:t>合计</w:t>
                  </w:r>
                </w:p>
              </w:tc>
              <w:tc>
                <w:tcPr>
                  <w:tcW w:w="1140" w:type="dxa"/>
                  <w:tcBorders>
                    <w:tl2br w:val="nil"/>
                    <w:tr2bl w:val="nil"/>
                  </w:tcBorders>
                  <w:noWrap w:val="0"/>
                  <w:vAlign w:val="center"/>
                </w:tcPr>
                <w:p w14:paraId="4B5201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825</w:t>
                  </w:r>
                </w:p>
              </w:tc>
            </w:tr>
          </w:tbl>
          <w:p w14:paraId="79368DDD">
            <w:pPr>
              <w:keepNext w:val="0"/>
              <w:keepLines w:val="0"/>
              <w:pageBreakBefore w:val="0"/>
              <w:widowControl w:val="0"/>
              <w:tabs>
                <w:tab w:val="left" w:pos="525"/>
              </w:tabs>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FF0000"/>
                <w:kern w:val="21"/>
                <w:sz w:val="21"/>
                <w:szCs w:val="21"/>
                <w:lang w:val="en-US" w:eastAsia="zh-CN"/>
              </w:rPr>
            </w:pPr>
            <w:r>
              <w:rPr>
                <w:rFonts w:ascii="Times New Roman" w:hAnsi="Times New Roman" w:eastAsia="宋体" w:cs="Times New Roman"/>
                <w:b/>
                <w:color w:val="FF0000"/>
                <w:kern w:val="21"/>
                <w:sz w:val="21"/>
                <w:szCs w:val="21"/>
              </w:rPr>
              <w:t>表</w:t>
            </w:r>
            <w:r>
              <w:rPr>
                <w:rFonts w:hint="eastAsia" w:ascii="Times New Roman" w:hAnsi="Times New Roman" w:eastAsia="宋体" w:cs="Times New Roman"/>
                <w:b/>
                <w:color w:val="FF0000"/>
                <w:kern w:val="21"/>
                <w:sz w:val="21"/>
                <w:szCs w:val="21"/>
                <w:lang w:val="en-US" w:eastAsia="zh-CN"/>
              </w:rPr>
              <w:t>2-1</w:t>
            </w:r>
            <w:r>
              <w:rPr>
                <w:rFonts w:hint="eastAsia" w:cs="Times New Roman"/>
                <w:b/>
                <w:color w:val="FF0000"/>
                <w:kern w:val="21"/>
                <w:sz w:val="21"/>
                <w:szCs w:val="21"/>
                <w:lang w:val="en-US" w:eastAsia="zh-CN"/>
              </w:rPr>
              <w:t>2</w:t>
            </w:r>
            <w:r>
              <w:rPr>
                <w:rFonts w:hint="eastAsia" w:ascii="Times New Roman" w:hAnsi="Times New Roman" w:eastAsia="宋体" w:cs="Times New Roman"/>
                <w:b/>
                <w:color w:val="FF0000"/>
                <w:kern w:val="21"/>
                <w:sz w:val="21"/>
                <w:szCs w:val="21"/>
                <w:lang w:val="en-US" w:eastAsia="zh-CN" w:bidi="ar-SA"/>
              </w:rPr>
              <w:t xml:space="preserve"> 本项目产品物料平衡表</w:t>
            </w:r>
          </w:p>
          <w:tbl>
            <w:tblPr>
              <w:tblStyle w:val="41"/>
              <w:tblW w:w="83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17" w:type="dxa"/>
                <w:left w:w="108" w:type="dxa"/>
                <w:bottom w:w="17" w:type="dxa"/>
                <w:right w:w="108" w:type="dxa"/>
              </w:tblCellMar>
            </w:tblPr>
            <w:tblGrid>
              <w:gridCol w:w="595"/>
              <w:gridCol w:w="1963"/>
              <w:gridCol w:w="1147"/>
              <w:gridCol w:w="617"/>
              <w:gridCol w:w="807"/>
              <w:gridCol w:w="2092"/>
              <w:gridCol w:w="1140"/>
            </w:tblGrid>
            <w:tr w14:paraId="20D9DE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3705" w:type="dxa"/>
                  <w:gridSpan w:val="3"/>
                  <w:tcBorders>
                    <w:tl2br w:val="nil"/>
                    <w:tr2bl w:val="nil"/>
                  </w:tcBorders>
                  <w:noWrap w:val="0"/>
                  <w:vAlign w:val="center"/>
                </w:tcPr>
                <w:p w14:paraId="46F5E3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rFonts w:hint="eastAsia"/>
                      <w:color w:val="FF0000"/>
                      <w:sz w:val="21"/>
                      <w:szCs w:val="21"/>
                    </w:rPr>
                    <w:t>投入</w:t>
                  </w:r>
                </w:p>
              </w:tc>
              <w:tc>
                <w:tcPr>
                  <w:tcW w:w="4656" w:type="dxa"/>
                  <w:gridSpan w:val="4"/>
                  <w:tcBorders>
                    <w:tl2br w:val="nil"/>
                    <w:tr2bl w:val="nil"/>
                  </w:tcBorders>
                  <w:noWrap w:val="0"/>
                  <w:vAlign w:val="center"/>
                </w:tcPr>
                <w:p w14:paraId="6FEA7E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rFonts w:hint="eastAsia"/>
                      <w:color w:val="FF0000"/>
                      <w:sz w:val="21"/>
                      <w:szCs w:val="21"/>
                    </w:rPr>
                    <w:t>产出</w:t>
                  </w:r>
                </w:p>
              </w:tc>
            </w:tr>
            <w:tr w14:paraId="711837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595" w:type="dxa"/>
                  <w:tcBorders>
                    <w:tl2br w:val="nil"/>
                    <w:tr2bl w:val="nil"/>
                  </w:tcBorders>
                  <w:noWrap w:val="0"/>
                  <w:vAlign w:val="center"/>
                </w:tcPr>
                <w:p w14:paraId="6718D3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color w:val="FF0000"/>
                      <w:sz w:val="21"/>
                      <w:szCs w:val="21"/>
                    </w:rPr>
                    <w:t>序号</w:t>
                  </w:r>
                </w:p>
              </w:tc>
              <w:tc>
                <w:tcPr>
                  <w:tcW w:w="1963" w:type="dxa"/>
                  <w:tcBorders>
                    <w:tl2br w:val="nil"/>
                    <w:tr2bl w:val="nil"/>
                  </w:tcBorders>
                  <w:noWrap w:val="0"/>
                  <w:vAlign w:val="center"/>
                </w:tcPr>
                <w:p w14:paraId="021852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color w:val="FF0000"/>
                      <w:sz w:val="21"/>
                      <w:szCs w:val="21"/>
                    </w:rPr>
                    <w:t>名称</w:t>
                  </w:r>
                </w:p>
              </w:tc>
              <w:tc>
                <w:tcPr>
                  <w:tcW w:w="1147" w:type="dxa"/>
                  <w:tcBorders>
                    <w:tl2br w:val="nil"/>
                    <w:tr2bl w:val="nil"/>
                  </w:tcBorders>
                  <w:noWrap w:val="0"/>
                  <w:vAlign w:val="center"/>
                </w:tcPr>
                <w:p w14:paraId="5C2FBE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color w:val="FF0000"/>
                      <w:sz w:val="21"/>
                      <w:szCs w:val="21"/>
                    </w:rPr>
                    <w:t>数量</w:t>
                  </w:r>
                  <w:r>
                    <w:rPr>
                      <w:rFonts w:hint="eastAsia"/>
                      <w:color w:val="FF0000"/>
                      <w:sz w:val="21"/>
                      <w:szCs w:val="21"/>
                    </w:rPr>
                    <w:t>（t/a）</w:t>
                  </w:r>
                </w:p>
              </w:tc>
              <w:tc>
                <w:tcPr>
                  <w:tcW w:w="617" w:type="dxa"/>
                  <w:tcBorders>
                    <w:tl2br w:val="nil"/>
                    <w:tr2bl w:val="nil"/>
                  </w:tcBorders>
                  <w:noWrap w:val="0"/>
                  <w:vAlign w:val="center"/>
                </w:tcPr>
                <w:p w14:paraId="08FB64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color w:val="FF0000"/>
                      <w:sz w:val="21"/>
                      <w:szCs w:val="21"/>
                    </w:rPr>
                    <w:t>序号</w:t>
                  </w:r>
                </w:p>
              </w:tc>
              <w:tc>
                <w:tcPr>
                  <w:tcW w:w="2899" w:type="dxa"/>
                  <w:gridSpan w:val="2"/>
                  <w:tcBorders>
                    <w:tl2br w:val="nil"/>
                    <w:tr2bl w:val="nil"/>
                  </w:tcBorders>
                  <w:noWrap w:val="0"/>
                  <w:vAlign w:val="center"/>
                </w:tcPr>
                <w:p w14:paraId="4479B2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color w:val="FF0000"/>
                      <w:sz w:val="21"/>
                      <w:szCs w:val="21"/>
                    </w:rPr>
                    <w:t>名称</w:t>
                  </w:r>
                </w:p>
              </w:tc>
              <w:tc>
                <w:tcPr>
                  <w:tcW w:w="1140" w:type="dxa"/>
                  <w:tcBorders>
                    <w:tl2br w:val="nil"/>
                    <w:tr2bl w:val="nil"/>
                  </w:tcBorders>
                  <w:noWrap w:val="0"/>
                  <w:vAlign w:val="center"/>
                </w:tcPr>
                <w:p w14:paraId="0F3ACC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color w:val="FF0000"/>
                      <w:sz w:val="21"/>
                      <w:szCs w:val="21"/>
                    </w:rPr>
                    <w:t>数量</w:t>
                  </w:r>
                  <w:r>
                    <w:rPr>
                      <w:rFonts w:hint="eastAsia"/>
                      <w:color w:val="FF0000"/>
                      <w:sz w:val="21"/>
                      <w:szCs w:val="21"/>
                    </w:rPr>
                    <w:t>（t/a）</w:t>
                  </w:r>
                </w:p>
              </w:tc>
            </w:tr>
            <w:tr w14:paraId="5F5788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308" w:hRule="atLeast"/>
                <w:tblHeader/>
                <w:jc w:val="center"/>
              </w:trPr>
              <w:tc>
                <w:tcPr>
                  <w:tcW w:w="595" w:type="dxa"/>
                  <w:tcBorders>
                    <w:tl2br w:val="nil"/>
                    <w:tr2bl w:val="nil"/>
                  </w:tcBorders>
                  <w:noWrap w:val="0"/>
                  <w:vAlign w:val="center"/>
                </w:tcPr>
                <w:p w14:paraId="46AFC0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FF0000"/>
                      <w:sz w:val="21"/>
                      <w:szCs w:val="21"/>
                      <w:lang w:val="en-US" w:eastAsia="zh-CN"/>
                    </w:rPr>
                  </w:pPr>
                  <w:r>
                    <w:rPr>
                      <w:rFonts w:hint="eastAsia"/>
                      <w:color w:val="FF0000"/>
                      <w:sz w:val="21"/>
                      <w:szCs w:val="21"/>
                      <w:lang w:val="en-US" w:eastAsia="zh-CN"/>
                    </w:rPr>
                    <w:t>1</w:t>
                  </w:r>
                </w:p>
              </w:tc>
              <w:tc>
                <w:tcPr>
                  <w:tcW w:w="1963" w:type="dxa"/>
                  <w:tcBorders>
                    <w:tl2br w:val="nil"/>
                    <w:tr2bl w:val="nil"/>
                  </w:tcBorders>
                  <w:noWrap w:val="0"/>
                  <w:vAlign w:val="center"/>
                </w:tcPr>
                <w:p w14:paraId="27C2CF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木质纤维</w:t>
                  </w:r>
                </w:p>
              </w:tc>
              <w:tc>
                <w:tcPr>
                  <w:tcW w:w="1147" w:type="dxa"/>
                  <w:tcBorders>
                    <w:tl2br w:val="nil"/>
                    <w:tr2bl w:val="nil"/>
                  </w:tcBorders>
                  <w:noWrap w:val="0"/>
                  <w:vAlign w:val="center"/>
                </w:tcPr>
                <w:p w14:paraId="2CCF59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25</w:t>
                  </w:r>
                </w:p>
              </w:tc>
              <w:tc>
                <w:tcPr>
                  <w:tcW w:w="617" w:type="dxa"/>
                  <w:vMerge w:val="restart"/>
                  <w:tcBorders>
                    <w:tl2br w:val="nil"/>
                    <w:tr2bl w:val="nil"/>
                  </w:tcBorders>
                  <w:noWrap w:val="0"/>
                  <w:vAlign w:val="center"/>
                </w:tcPr>
                <w:p w14:paraId="42F9BD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1</w:t>
                  </w:r>
                </w:p>
              </w:tc>
              <w:tc>
                <w:tcPr>
                  <w:tcW w:w="807" w:type="dxa"/>
                  <w:vMerge w:val="restart"/>
                  <w:tcBorders>
                    <w:tl2br w:val="nil"/>
                    <w:tr2bl w:val="nil"/>
                  </w:tcBorders>
                  <w:noWrap w:val="0"/>
                  <w:vAlign w:val="center"/>
                </w:tcPr>
                <w:p w14:paraId="322B6B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产品</w:t>
                  </w:r>
                </w:p>
              </w:tc>
              <w:tc>
                <w:tcPr>
                  <w:tcW w:w="2092" w:type="dxa"/>
                  <w:tcBorders>
                    <w:tl2br w:val="nil"/>
                    <w:tr2bl w:val="nil"/>
                  </w:tcBorders>
                  <w:noWrap w:val="0"/>
                  <w:vAlign w:val="center"/>
                </w:tcPr>
                <w:p w14:paraId="32806888">
                  <w:pPr>
                    <w:keepNext w:val="0"/>
                    <w:keepLines w:val="0"/>
                    <w:pageBreakBefore w:val="0"/>
                    <w:wordWrap/>
                    <w:topLinePunct w:val="0"/>
                    <w:bidi w:val="0"/>
                    <w:spacing w:line="240" w:lineRule="auto"/>
                    <w:ind w:firstLine="0" w:firstLineChars="0"/>
                    <w:jc w:val="center"/>
                    <w:textAlignment w:val="auto"/>
                    <w:rPr>
                      <w:rFonts w:hint="default"/>
                      <w:color w:val="FF0000"/>
                      <w:sz w:val="21"/>
                      <w:szCs w:val="21"/>
                      <w:lang w:val="en-US" w:eastAsia="zh-CN"/>
                    </w:rPr>
                  </w:pPr>
                  <w:r>
                    <w:rPr>
                      <w:rFonts w:hint="eastAsia" w:ascii="Times New Roman" w:hAnsi="Times New Roman" w:eastAsia="宋体" w:cs="Times New Roman"/>
                      <w:color w:val="FF0000"/>
                      <w:sz w:val="21"/>
                      <w:lang w:val="en-US" w:eastAsia="zh-CN"/>
                    </w:rPr>
                    <w:t>光伏预制装配式围墙</w:t>
                  </w:r>
                </w:p>
              </w:tc>
              <w:tc>
                <w:tcPr>
                  <w:tcW w:w="1140" w:type="dxa"/>
                  <w:tcBorders>
                    <w:tl2br w:val="nil"/>
                    <w:tr2bl w:val="nil"/>
                  </w:tcBorders>
                  <w:shd w:val="clear" w:color="auto" w:fill="auto"/>
                  <w:noWrap w:val="0"/>
                  <w:vAlign w:val="center"/>
                </w:tcPr>
                <w:p w14:paraId="7401D4E8">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kern w:val="2"/>
                      <w:sz w:val="21"/>
                      <w:szCs w:val="24"/>
                      <w:lang w:val="en-US" w:eastAsia="zh-CN" w:bidi="ar-SA"/>
                    </w:rPr>
                  </w:pPr>
                  <w:r>
                    <w:rPr>
                      <w:rFonts w:hint="eastAsia" w:ascii="Times New Roman" w:hAnsi="Times New Roman" w:eastAsia="宋体" w:cs="Times New Roman"/>
                      <w:color w:val="FF0000"/>
                      <w:sz w:val="21"/>
                      <w:lang w:val="en-US" w:eastAsia="zh-CN"/>
                    </w:rPr>
                    <w:t>9912</w:t>
                  </w:r>
                </w:p>
              </w:tc>
            </w:tr>
            <w:tr w14:paraId="7466EC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595" w:type="dxa"/>
                  <w:tcBorders>
                    <w:tl2br w:val="nil"/>
                    <w:tr2bl w:val="nil"/>
                  </w:tcBorders>
                  <w:noWrap w:val="0"/>
                  <w:vAlign w:val="center"/>
                </w:tcPr>
                <w:p w14:paraId="6309EA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FF0000"/>
                      <w:sz w:val="21"/>
                      <w:szCs w:val="21"/>
                      <w:lang w:val="en-US" w:eastAsia="zh-CN"/>
                    </w:rPr>
                  </w:pPr>
                  <w:r>
                    <w:rPr>
                      <w:rFonts w:hint="eastAsia"/>
                      <w:color w:val="FF0000"/>
                      <w:sz w:val="21"/>
                      <w:szCs w:val="21"/>
                      <w:lang w:val="en-US" w:eastAsia="zh-CN"/>
                    </w:rPr>
                    <w:t>2</w:t>
                  </w:r>
                </w:p>
              </w:tc>
              <w:tc>
                <w:tcPr>
                  <w:tcW w:w="1963" w:type="dxa"/>
                  <w:tcBorders>
                    <w:tl2br w:val="nil"/>
                    <w:tr2bl w:val="nil"/>
                  </w:tcBorders>
                  <w:noWrap w:val="0"/>
                  <w:vAlign w:val="center"/>
                </w:tcPr>
                <w:p w14:paraId="520D06B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FF0000"/>
                      <w:kern w:val="0"/>
                      <w:sz w:val="21"/>
                      <w:szCs w:val="21"/>
                      <w:u w:val="none"/>
                      <w:lang w:val="en-US" w:eastAsia="zh-CN" w:bidi="ar"/>
                    </w:rPr>
                  </w:pPr>
                  <w:r>
                    <w:rPr>
                      <w:rFonts w:hint="eastAsia"/>
                      <w:color w:val="FF0000"/>
                      <w:sz w:val="21"/>
                      <w:szCs w:val="21"/>
                      <w:lang w:val="en-US" w:eastAsia="zh-CN"/>
                    </w:rPr>
                    <w:t>水</w:t>
                  </w:r>
                </w:p>
              </w:tc>
              <w:tc>
                <w:tcPr>
                  <w:tcW w:w="1147" w:type="dxa"/>
                  <w:tcBorders>
                    <w:tl2br w:val="nil"/>
                    <w:tr2bl w:val="nil"/>
                  </w:tcBorders>
                  <w:noWrap w:val="0"/>
                  <w:vAlign w:val="center"/>
                </w:tcPr>
                <w:p w14:paraId="413640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1022</w:t>
                  </w:r>
                </w:p>
              </w:tc>
              <w:tc>
                <w:tcPr>
                  <w:tcW w:w="617" w:type="dxa"/>
                  <w:vMerge w:val="continue"/>
                  <w:tcBorders>
                    <w:tl2br w:val="nil"/>
                    <w:tr2bl w:val="nil"/>
                  </w:tcBorders>
                  <w:noWrap w:val="0"/>
                  <w:vAlign w:val="center"/>
                </w:tcPr>
                <w:p w14:paraId="69D72B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p>
              </w:tc>
              <w:tc>
                <w:tcPr>
                  <w:tcW w:w="807" w:type="dxa"/>
                  <w:vMerge w:val="continue"/>
                  <w:tcBorders>
                    <w:tl2br w:val="nil"/>
                    <w:tr2bl w:val="nil"/>
                  </w:tcBorders>
                  <w:noWrap w:val="0"/>
                  <w:vAlign w:val="center"/>
                </w:tcPr>
                <w:p w14:paraId="67A399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p>
              </w:tc>
              <w:tc>
                <w:tcPr>
                  <w:tcW w:w="2092" w:type="dxa"/>
                  <w:tcBorders>
                    <w:tl2br w:val="nil"/>
                    <w:tr2bl w:val="nil"/>
                  </w:tcBorders>
                  <w:noWrap w:val="0"/>
                  <w:vAlign w:val="center"/>
                </w:tcPr>
                <w:p w14:paraId="783D6C34">
                  <w:pPr>
                    <w:keepNext w:val="0"/>
                    <w:keepLines w:val="0"/>
                    <w:pageBreakBefore w:val="0"/>
                    <w:wordWrap/>
                    <w:topLinePunct w:val="0"/>
                    <w:bidi w:val="0"/>
                    <w:spacing w:line="240" w:lineRule="auto"/>
                    <w:ind w:firstLine="0" w:firstLineChars="0"/>
                    <w:jc w:val="center"/>
                    <w:textAlignment w:val="auto"/>
                    <w:rPr>
                      <w:rFonts w:hint="eastAsia"/>
                      <w:color w:val="FF0000"/>
                      <w:sz w:val="21"/>
                      <w:szCs w:val="21"/>
                      <w:lang w:val="en-US" w:eastAsia="zh-CN"/>
                    </w:rPr>
                  </w:pPr>
                  <w:r>
                    <w:rPr>
                      <w:rFonts w:hint="eastAsia" w:ascii="Times New Roman" w:hAnsi="Times New Roman" w:eastAsia="宋体" w:cs="Times New Roman"/>
                      <w:color w:val="FF0000"/>
                      <w:sz w:val="21"/>
                      <w:lang w:val="en-US" w:eastAsia="zh-CN"/>
                    </w:rPr>
                    <w:t>预制箱变基础</w:t>
                  </w:r>
                </w:p>
              </w:tc>
              <w:tc>
                <w:tcPr>
                  <w:tcW w:w="1140" w:type="dxa"/>
                  <w:tcBorders>
                    <w:tl2br w:val="nil"/>
                    <w:tr2bl w:val="nil"/>
                  </w:tcBorders>
                  <w:shd w:val="clear" w:color="auto" w:fill="auto"/>
                  <w:noWrap w:val="0"/>
                  <w:vAlign w:val="center"/>
                </w:tcPr>
                <w:p w14:paraId="248B578D">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kern w:val="2"/>
                      <w:sz w:val="21"/>
                      <w:szCs w:val="24"/>
                      <w:lang w:val="en-US" w:eastAsia="zh-CN" w:bidi="ar-SA"/>
                    </w:rPr>
                  </w:pPr>
                  <w:r>
                    <w:rPr>
                      <w:rFonts w:hint="eastAsia" w:ascii="Times New Roman" w:hAnsi="Times New Roman" w:eastAsia="宋体" w:cs="Times New Roman"/>
                      <w:color w:val="FF0000"/>
                      <w:sz w:val="21"/>
                      <w:lang w:val="en-US" w:eastAsia="zh-CN"/>
                    </w:rPr>
                    <w:t>1650</w:t>
                  </w:r>
                </w:p>
              </w:tc>
            </w:tr>
            <w:tr w14:paraId="490D0A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595" w:type="dxa"/>
                  <w:tcBorders>
                    <w:tl2br w:val="nil"/>
                    <w:tr2bl w:val="nil"/>
                  </w:tcBorders>
                  <w:noWrap w:val="0"/>
                  <w:vAlign w:val="center"/>
                </w:tcPr>
                <w:p w14:paraId="5D4234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FF0000"/>
                      <w:sz w:val="21"/>
                      <w:szCs w:val="21"/>
                      <w:lang w:val="en-US" w:eastAsia="zh-CN"/>
                    </w:rPr>
                  </w:pPr>
                  <w:r>
                    <w:rPr>
                      <w:rFonts w:hint="eastAsia"/>
                      <w:color w:val="FF0000"/>
                      <w:sz w:val="21"/>
                      <w:szCs w:val="21"/>
                      <w:lang w:val="en-US" w:eastAsia="zh-CN"/>
                    </w:rPr>
                    <w:t>3</w:t>
                  </w:r>
                </w:p>
              </w:tc>
              <w:tc>
                <w:tcPr>
                  <w:tcW w:w="1963" w:type="dxa"/>
                  <w:tcBorders>
                    <w:tl2br w:val="nil"/>
                    <w:tr2bl w:val="nil"/>
                  </w:tcBorders>
                  <w:noWrap w:val="0"/>
                  <w:vAlign w:val="center"/>
                </w:tcPr>
                <w:p w14:paraId="0453CAB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iCs w:val="0"/>
                      <w:color w:val="FF0000"/>
                      <w:kern w:val="0"/>
                      <w:sz w:val="21"/>
                      <w:szCs w:val="21"/>
                      <w:u w:val="none"/>
                      <w:lang w:val="en-US" w:eastAsia="zh-CN" w:bidi="ar"/>
                    </w:rPr>
                  </w:pPr>
                  <w:r>
                    <w:rPr>
                      <w:rFonts w:hint="eastAsia" w:ascii="宋体" w:hAnsi="宋体" w:eastAsia="宋体" w:cs="宋体"/>
                      <w:i w:val="0"/>
                      <w:iCs w:val="0"/>
                      <w:color w:val="FF0000"/>
                      <w:kern w:val="0"/>
                      <w:sz w:val="21"/>
                      <w:szCs w:val="21"/>
                      <w:u w:val="none"/>
                      <w:lang w:val="en-US" w:eastAsia="zh-CN" w:bidi="ar"/>
                    </w:rPr>
                    <w:t>水泥</w:t>
                  </w:r>
                </w:p>
              </w:tc>
              <w:tc>
                <w:tcPr>
                  <w:tcW w:w="1147" w:type="dxa"/>
                  <w:tcBorders>
                    <w:tl2br w:val="nil"/>
                    <w:tr2bl w:val="nil"/>
                  </w:tcBorders>
                  <w:noWrap w:val="0"/>
                  <w:vAlign w:val="center"/>
                </w:tcPr>
                <w:p w14:paraId="6B4B3A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2322</w:t>
                  </w:r>
                </w:p>
              </w:tc>
              <w:tc>
                <w:tcPr>
                  <w:tcW w:w="617" w:type="dxa"/>
                  <w:vMerge w:val="continue"/>
                  <w:tcBorders>
                    <w:tl2br w:val="nil"/>
                    <w:tr2bl w:val="nil"/>
                  </w:tcBorders>
                  <w:noWrap w:val="0"/>
                  <w:vAlign w:val="center"/>
                </w:tcPr>
                <w:p w14:paraId="210477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p>
              </w:tc>
              <w:tc>
                <w:tcPr>
                  <w:tcW w:w="807" w:type="dxa"/>
                  <w:vMerge w:val="continue"/>
                  <w:tcBorders>
                    <w:tl2br w:val="nil"/>
                    <w:tr2bl w:val="nil"/>
                  </w:tcBorders>
                  <w:noWrap w:val="0"/>
                  <w:vAlign w:val="center"/>
                </w:tcPr>
                <w:p w14:paraId="0DFD9A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p>
              </w:tc>
              <w:tc>
                <w:tcPr>
                  <w:tcW w:w="2092" w:type="dxa"/>
                  <w:tcBorders>
                    <w:tl2br w:val="nil"/>
                    <w:tr2bl w:val="nil"/>
                  </w:tcBorders>
                  <w:noWrap w:val="0"/>
                  <w:vAlign w:val="center"/>
                </w:tcPr>
                <w:p w14:paraId="54F38462">
                  <w:pPr>
                    <w:keepNext w:val="0"/>
                    <w:keepLines w:val="0"/>
                    <w:pageBreakBefore w:val="0"/>
                    <w:wordWrap/>
                    <w:topLinePunct w:val="0"/>
                    <w:bidi w:val="0"/>
                    <w:spacing w:line="240" w:lineRule="auto"/>
                    <w:ind w:firstLine="0" w:firstLineChars="0"/>
                    <w:jc w:val="center"/>
                    <w:textAlignment w:val="auto"/>
                    <w:rPr>
                      <w:rFonts w:hint="eastAsia"/>
                      <w:color w:val="FF0000"/>
                      <w:sz w:val="21"/>
                      <w:szCs w:val="21"/>
                      <w:lang w:val="en-US" w:eastAsia="zh-CN"/>
                    </w:rPr>
                  </w:pPr>
                  <w:r>
                    <w:rPr>
                      <w:rFonts w:hint="eastAsia" w:ascii="Times New Roman" w:hAnsi="Times New Roman" w:eastAsia="宋体" w:cs="Times New Roman"/>
                      <w:color w:val="FF0000"/>
                      <w:sz w:val="21"/>
                      <w:lang w:val="en-US" w:eastAsia="zh-CN"/>
                    </w:rPr>
                    <w:t>预制环网柜基础</w:t>
                  </w:r>
                </w:p>
              </w:tc>
              <w:tc>
                <w:tcPr>
                  <w:tcW w:w="1140" w:type="dxa"/>
                  <w:tcBorders>
                    <w:tl2br w:val="nil"/>
                    <w:tr2bl w:val="nil"/>
                  </w:tcBorders>
                  <w:shd w:val="clear" w:color="auto" w:fill="auto"/>
                  <w:noWrap w:val="0"/>
                  <w:vAlign w:val="center"/>
                </w:tcPr>
                <w:p w14:paraId="7BAF7198">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kern w:val="2"/>
                      <w:sz w:val="21"/>
                      <w:szCs w:val="24"/>
                      <w:lang w:val="en-US" w:eastAsia="zh-CN" w:bidi="ar-SA"/>
                    </w:rPr>
                  </w:pPr>
                  <w:r>
                    <w:rPr>
                      <w:rFonts w:hint="eastAsia" w:ascii="Times New Roman" w:hAnsi="Times New Roman" w:eastAsia="宋体" w:cs="Times New Roman"/>
                      <w:color w:val="FF0000"/>
                      <w:sz w:val="21"/>
                      <w:lang w:val="en-US" w:eastAsia="zh-CN"/>
                    </w:rPr>
                    <w:t>62</w:t>
                  </w:r>
                </w:p>
              </w:tc>
            </w:tr>
            <w:tr w14:paraId="6766AD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595" w:type="dxa"/>
                  <w:tcBorders>
                    <w:tl2br w:val="nil"/>
                    <w:tr2bl w:val="nil"/>
                  </w:tcBorders>
                  <w:noWrap w:val="0"/>
                  <w:vAlign w:val="center"/>
                </w:tcPr>
                <w:p w14:paraId="642F6D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FF0000"/>
                      <w:sz w:val="21"/>
                      <w:szCs w:val="21"/>
                      <w:lang w:val="en-US" w:eastAsia="zh-CN"/>
                    </w:rPr>
                  </w:pPr>
                  <w:r>
                    <w:rPr>
                      <w:rFonts w:hint="eastAsia"/>
                      <w:color w:val="FF0000"/>
                      <w:sz w:val="21"/>
                      <w:szCs w:val="21"/>
                      <w:lang w:val="en-US" w:eastAsia="zh-CN"/>
                    </w:rPr>
                    <w:t>4</w:t>
                  </w:r>
                </w:p>
              </w:tc>
              <w:tc>
                <w:tcPr>
                  <w:tcW w:w="1963" w:type="dxa"/>
                  <w:tcBorders>
                    <w:tl2br w:val="nil"/>
                    <w:tr2bl w:val="nil"/>
                  </w:tcBorders>
                  <w:noWrap w:val="0"/>
                  <w:vAlign w:val="center"/>
                </w:tcPr>
                <w:p w14:paraId="5DB4E81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color w:val="FF0000"/>
                      <w:sz w:val="21"/>
                      <w:szCs w:val="21"/>
                      <w:lang w:val="en-US" w:eastAsia="zh-CN"/>
                    </w:rPr>
                  </w:pPr>
                  <w:r>
                    <w:rPr>
                      <w:rFonts w:hint="eastAsia" w:ascii="宋体" w:hAnsi="宋体" w:eastAsia="宋体" w:cs="宋体"/>
                      <w:i w:val="0"/>
                      <w:iCs w:val="0"/>
                      <w:color w:val="FF0000"/>
                      <w:kern w:val="0"/>
                      <w:sz w:val="21"/>
                      <w:szCs w:val="21"/>
                      <w:u w:val="none"/>
                      <w:lang w:val="en-US" w:eastAsia="zh-CN" w:bidi="ar"/>
                    </w:rPr>
                    <w:t>机制砂</w:t>
                  </w:r>
                </w:p>
              </w:tc>
              <w:tc>
                <w:tcPr>
                  <w:tcW w:w="1147" w:type="dxa"/>
                  <w:tcBorders>
                    <w:tl2br w:val="nil"/>
                    <w:tr2bl w:val="nil"/>
                  </w:tcBorders>
                  <w:noWrap w:val="0"/>
                  <w:vAlign w:val="center"/>
                </w:tcPr>
                <w:p w14:paraId="61A6DB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3297</w:t>
                  </w:r>
                </w:p>
              </w:tc>
              <w:tc>
                <w:tcPr>
                  <w:tcW w:w="617" w:type="dxa"/>
                  <w:vMerge w:val="continue"/>
                  <w:tcBorders>
                    <w:tl2br w:val="nil"/>
                    <w:tr2bl w:val="nil"/>
                  </w:tcBorders>
                  <w:noWrap w:val="0"/>
                  <w:vAlign w:val="center"/>
                </w:tcPr>
                <w:p w14:paraId="7EB972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p>
              </w:tc>
              <w:tc>
                <w:tcPr>
                  <w:tcW w:w="807" w:type="dxa"/>
                  <w:vMerge w:val="continue"/>
                  <w:tcBorders>
                    <w:tl2br w:val="nil"/>
                    <w:tr2bl w:val="nil"/>
                  </w:tcBorders>
                  <w:noWrap w:val="0"/>
                  <w:vAlign w:val="center"/>
                </w:tcPr>
                <w:p w14:paraId="6F7471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p>
              </w:tc>
              <w:tc>
                <w:tcPr>
                  <w:tcW w:w="2092" w:type="dxa"/>
                  <w:tcBorders>
                    <w:tl2br w:val="nil"/>
                    <w:tr2bl w:val="nil"/>
                  </w:tcBorders>
                  <w:noWrap w:val="0"/>
                  <w:vAlign w:val="center"/>
                </w:tcPr>
                <w:p w14:paraId="63A3B4F2">
                  <w:pPr>
                    <w:keepNext w:val="0"/>
                    <w:keepLines w:val="0"/>
                    <w:pageBreakBefore w:val="0"/>
                    <w:wordWrap/>
                    <w:topLinePunct w:val="0"/>
                    <w:bidi w:val="0"/>
                    <w:spacing w:line="240" w:lineRule="auto"/>
                    <w:ind w:firstLine="0" w:firstLineChars="0"/>
                    <w:jc w:val="center"/>
                    <w:textAlignment w:val="auto"/>
                    <w:rPr>
                      <w:rFonts w:hint="eastAsia"/>
                      <w:color w:val="FF0000"/>
                      <w:sz w:val="21"/>
                      <w:szCs w:val="21"/>
                      <w:lang w:val="en-US" w:eastAsia="zh-CN"/>
                    </w:rPr>
                  </w:pPr>
                  <w:r>
                    <w:rPr>
                      <w:rFonts w:hint="eastAsia" w:ascii="Times New Roman" w:hAnsi="Times New Roman" w:eastAsia="宋体" w:cs="Times New Roman"/>
                      <w:color w:val="FF0000"/>
                      <w:sz w:val="21"/>
                      <w:lang w:val="en-US" w:eastAsia="zh-CN"/>
                    </w:rPr>
                    <w:t>预制“小十件”</w:t>
                  </w:r>
                </w:p>
              </w:tc>
              <w:tc>
                <w:tcPr>
                  <w:tcW w:w="1140" w:type="dxa"/>
                  <w:tcBorders>
                    <w:tl2br w:val="nil"/>
                    <w:tr2bl w:val="nil"/>
                  </w:tcBorders>
                  <w:shd w:val="clear" w:color="auto" w:fill="auto"/>
                  <w:noWrap w:val="0"/>
                  <w:vAlign w:val="center"/>
                </w:tcPr>
                <w:p w14:paraId="61D2919D">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kern w:val="2"/>
                      <w:sz w:val="21"/>
                      <w:szCs w:val="24"/>
                      <w:lang w:val="en-US" w:eastAsia="zh-CN" w:bidi="ar-SA"/>
                    </w:rPr>
                  </w:pPr>
                  <w:r>
                    <w:rPr>
                      <w:rFonts w:hint="eastAsia" w:ascii="Times New Roman" w:hAnsi="Times New Roman" w:eastAsia="宋体" w:cs="Times New Roman"/>
                      <w:color w:val="FF0000"/>
                      <w:sz w:val="21"/>
                      <w:lang w:val="en-US" w:eastAsia="zh-CN"/>
                    </w:rPr>
                    <w:t>2970</w:t>
                  </w:r>
                </w:p>
              </w:tc>
            </w:tr>
            <w:tr w14:paraId="255BEB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595" w:type="dxa"/>
                  <w:tcBorders>
                    <w:tl2br w:val="nil"/>
                    <w:tr2bl w:val="nil"/>
                  </w:tcBorders>
                  <w:noWrap w:val="0"/>
                  <w:vAlign w:val="center"/>
                </w:tcPr>
                <w:p w14:paraId="5D07F4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5</w:t>
                  </w:r>
                </w:p>
              </w:tc>
              <w:tc>
                <w:tcPr>
                  <w:tcW w:w="1963" w:type="dxa"/>
                  <w:tcBorders>
                    <w:tl2br w:val="nil"/>
                    <w:tr2bl w:val="nil"/>
                  </w:tcBorders>
                  <w:noWrap w:val="0"/>
                  <w:vAlign w:val="center"/>
                </w:tcPr>
                <w:p w14:paraId="6CD22CA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color w:val="FF0000"/>
                      <w:sz w:val="21"/>
                      <w:szCs w:val="21"/>
                      <w:lang w:val="en-US" w:eastAsia="zh-CN"/>
                    </w:rPr>
                  </w:pPr>
                  <w:r>
                    <w:rPr>
                      <w:rFonts w:hint="eastAsia" w:ascii="宋体" w:hAnsi="宋体" w:eastAsia="宋体" w:cs="宋体"/>
                      <w:i w:val="0"/>
                      <w:iCs w:val="0"/>
                      <w:color w:val="FF0000"/>
                      <w:kern w:val="0"/>
                      <w:sz w:val="21"/>
                      <w:szCs w:val="21"/>
                      <w:u w:val="none"/>
                      <w:lang w:val="en-US" w:eastAsia="zh-CN" w:bidi="ar"/>
                    </w:rPr>
                    <w:t>碎石</w:t>
                  </w:r>
                </w:p>
              </w:tc>
              <w:tc>
                <w:tcPr>
                  <w:tcW w:w="1147" w:type="dxa"/>
                  <w:tcBorders>
                    <w:tl2br w:val="nil"/>
                    <w:tr2bl w:val="nil"/>
                  </w:tcBorders>
                  <w:noWrap w:val="0"/>
                  <w:vAlign w:val="center"/>
                </w:tcPr>
                <w:p w14:paraId="209E50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7360</w:t>
                  </w:r>
                </w:p>
              </w:tc>
              <w:tc>
                <w:tcPr>
                  <w:tcW w:w="617" w:type="dxa"/>
                  <w:vMerge w:val="continue"/>
                  <w:tcBorders>
                    <w:tl2br w:val="nil"/>
                    <w:tr2bl w:val="nil"/>
                  </w:tcBorders>
                  <w:noWrap w:val="0"/>
                  <w:vAlign w:val="center"/>
                </w:tcPr>
                <w:p w14:paraId="20A486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p>
              </w:tc>
              <w:tc>
                <w:tcPr>
                  <w:tcW w:w="807" w:type="dxa"/>
                  <w:vMerge w:val="continue"/>
                  <w:tcBorders>
                    <w:tl2br w:val="nil"/>
                    <w:tr2bl w:val="nil"/>
                  </w:tcBorders>
                  <w:noWrap w:val="0"/>
                  <w:vAlign w:val="center"/>
                </w:tcPr>
                <w:p w14:paraId="6311D0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p>
              </w:tc>
              <w:tc>
                <w:tcPr>
                  <w:tcW w:w="2092" w:type="dxa"/>
                  <w:tcBorders>
                    <w:tl2br w:val="nil"/>
                    <w:tr2bl w:val="nil"/>
                  </w:tcBorders>
                  <w:noWrap w:val="0"/>
                  <w:vAlign w:val="center"/>
                </w:tcPr>
                <w:p w14:paraId="5667AD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eastAsia="zh-CN"/>
                    </w:rPr>
                    <w:t>新型光伏发电折叠房屋</w:t>
                  </w:r>
                </w:p>
              </w:tc>
              <w:tc>
                <w:tcPr>
                  <w:tcW w:w="1140" w:type="dxa"/>
                  <w:tcBorders>
                    <w:tl2br w:val="nil"/>
                    <w:tr2bl w:val="nil"/>
                  </w:tcBorders>
                  <w:noWrap w:val="0"/>
                  <w:vAlign w:val="center"/>
                </w:tcPr>
                <w:p w14:paraId="36DB12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8318</w:t>
                  </w:r>
                </w:p>
              </w:tc>
            </w:tr>
            <w:tr w14:paraId="6DFD4C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595" w:type="dxa"/>
                  <w:tcBorders>
                    <w:tl2br w:val="nil"/>
                    <w:tr2bl w:val="nil"/>
                  </w:tcBorders>
                  <w:noWrap w:val="0"/>
                  <w:vAlign w:val="center"/>
                </w:tcPr>
                <w:p w14:paraId="689907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6</w:t>
                  </w:r>
                </w:p>
              </w:tc>
              <w:tc>
                <w:tcPr>
                  <w:tcW w:w="1963" w:type="dxa"/>
                  <w:tcBorders>
                    <w:tl2br w:val="nil"/>
                    <w:tr2bl w:val="nil"/>
                  </w:tcBorders>
                  <w:noWrap w:val="0"/>
                  <w:vAlign w:val="center"/>
                </w:tcPr>
                <w:p w14:paraId="6157E45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FF0000"/>
                      <w:kern w:val="0"/>
                      <w:sz w:val="21"/>
                      <w:szCs w:val="21"/>
                      <w:u w:val="none"/>
                      <w:lang w:val="en-US" w:eastAsia="zh-CN" w:bidi="ar"/>
                    </w:rPr>
                  </w:pPr>
                  <w:r>
                    <w:rPr>
                      <w:rFonts w:hint="eastAsia" w:cs="Times New Roman"/>
                      <w:color w:val="FF0000"/>
                      <w:sz w:val="21"/>
                      <w:szCs w:val="21"/>
                      <w:lang w:val="en-US" w:eastAsia="zh-CN"/>
                    </w:rPr>
                    <w:t>钢板及配套零部件</w:t>
                  </w:r>
                </w:p>
              </w:tc>
              <w:tc>
                <w:tcPr>
                  <w:tcW w:w="1147" w:type="dxa"/>
                  <w:tcBorders>
                    <w:tl2br w:val="nil"/>
                    <w:tr2bl w:val="nil"/>
                  </w:tcBorders>
                  <w:noWrap w:val="0"/>
                  <w:vAlign w:val="center"/>
                </w:tcPr>
                <w:p w14:paraId="22E7B8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r>
                    <w:rPr>
                      <w:rFonts w:hint="eastAsia" w:cs="Times New Roman"/>
                      <w:color w:val="FF0000"/>
                      <w:sz w:val="21"/>
                      <w:szCs w:val="21"/>
                      <w:lang w:val="en-US" w:eastAsia="zh-CN"/>
                    </w:rPr>
                    <w:t>8320</w:t>
                  </w:r>
                </w:p>
              </w:tc>
              <w:tc>
                <w:tcPr>
                  <w:tcW w:w="617" w:type="dxa"/>
                  <w:vMerge w:val="continue"/>
                  <w:tcBorders>
                    <w:tl2br w:val="nil"/>
                    <w:tr2bl w:val="nil"/>
                  </w:tcBorders>
                  <w:noWrap w:val="0"/>
                  <w:vAlign w:val="center"/>
                </w:tcPr>
                <w:p w14:paraId="4EC743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p>
              </w:tc>
              <w:tc>
                <w:tcPr>
                  <w:tcW w:w="807" w:type="dxa"/>
                  <w:vMerge w:val="continue"/>
                  <w:tcBorders>
                    <w:tl2br w:val="nil"/>
                    <w:tr2bl w:val="nil"/>
                  </w:tcBorders>
                  <w:noWrap w:val="0"/>
                  <w:vAlign w:val="center"/>
                </w:tcPr>
                <w:p w14:paraId="56DC03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p>
              </w:tc>
              <w:tc>
                <w:tcPr>
                  <w:tcW w:w="2092" w:type="dxa"/>
                  <w:tcBorders>
                    <w:tl2br w:val="nil"/>
                    <w:tr2bl w:val="nil"/>
                  </w:tcBorders>
                  <w:noWrap w:val="0"/>
                  <w:vAlign w:val="center"/>
                </w:tcPr>
                <w:p w14:paraId="64E92B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r>
                    <w:rPr>
                      <w:rFonts w:hint="eastAsia"/>
                      <w:color w:val="FF0000"/>
                      <w:sz w:val="21"/>
                      <w:szCs w:val="21"/>
                      <w:lang w:val="en-US" w:eastAsia="zh-CN"/>
                    </w:rPr>
                    <w:t>混凝土保温模板</w:t>
                  </w:r>
                </w:p>
              </w:tc>
              <w:tc>
                <w:tcPr>
                  <w:tcW w:w="1140" w:type="dxa"/>
                  <w:tcBorders>
                    <w:tl2br w:val="nil"/>
                    <w:tr2bl w:val="nil"/>
                  </w:tcBorders>
                  <w:noWrap w:val="0"/>
                  <w:vAlign w:val="center"/>
                </w:tcPr>
                <w:p w14:paraId="2D14A3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r>
                    <w:rPr>
                      <w:rFonts w:hint="eastAsia"/>
                      <w:color w:val="FF0000"/>
                      <w:sz w:val="21"/>
                      <w:szCs w:val="21"/>
                      <w:lang w:val="en-US" w:eastAsia="zh-CN"/>
                    </w:rPr>
                    <w:t>820</w:t>
                  </w:r>
                </w:p>
              </w:tc>
            </w:tr>
            <w:tr w14:paraId="443A4C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595" w:type="dxa"/>
                  <w:tcBorders>
                    <w:tl2br w:val="nil"/>
                    <w:tr2bl w:val="nil"/>
                  </w:tcBorders>
                  <w:noWrap w:val="0"/>
                  <w:vAlign w:val="center"/>
                </w:tcPr>
                <w:p w14:paraId="663353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7</w:t>
                  </w:r>
                </w:p>
              </w:tc>
              <w:tc>
                <w:tcPr>
                  <w:tcW w:w="1963" w:type="dxa"/>
                  <w:tcBorders>
                    <w:tl2br w:val="nil"/>
                    <w:tr2bl w:val="nil"/>
                  </w:tcBorders>
                  <w:shd w:val="clear" w:color="auto" w:fill="auto"/>
                  <w:noWrap w:val="0"/>
                  <w:vAlign w:val="center"/>
                </w:tcPr>
                <w:p w14:paraId="5190665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eastAsia="宋体" w:cs="Times New Roman"/>
                      <w:color w:val="FF0000"/>
                      <w:kern w:val="2"/>
                      <w:sz w:val="21"/>
                      <w:szCs w:val="24"/>
                      <w:lang w:val="en-US" w:eastAsia="zh-CN" w:bidi="ar-SA"/>
                    </w:rPr>
                  </w:pPr>
                  <w:r>
                    <w:rPr>
                      <w:rFonts w:hint="eastAsia" w:ascii="宋体" w:hAnsi="宋体" w:eastAsia="宋体" w:cs="宋体"/>
                      <w:i w:val="0"/>
                      <w:iCs w:val="0"/>
                      <w:color w:val="FF0000"/>
                      <w:kern w:val="0"/>
                      <w:sz w:val="21"/>
                      <w:szCs w:val="21"/>
                      <w:u w:val="none"/>
                      <w:lang w:val="en-US" w:eastAsia="zh-CN" w:bidi="ar"/>
                    </w:rPr>
                    <w:t>钢筋</w:t>
                  </w:r>
                </w:p>
              </w:tc>
              <w:tc>
                <w:tcPr>
                  <w:tcW w:w="1147" w:type="dxa"/>
                  <w:tcBorders>
                    <w:tl2br w:val="nil"/>
                    <w:tr2bl w:val="nil"/>
                  </w:tcBorders>
                  <w:shd w:val="clear" w:color="auto" w:fill="auto"/>
                  <w:noWrap w:val="0"/>
                  <w:vAlign w:val="center"/>
                </w:tcPr>
                <w:p w14:paraId="15474E7F">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kern w:val="2"/>
                      <w:sz w:val="21"/>
                      <w:szCs w:val="24"/>
                      <w:lang w:val="en-US" w:eastAsia="zh-CN" w:bidi="ar-SA"/>
                    </w:rPr>
                  </w:pPr>
                  <w:r>
                    <w:rPr>
                      <w:rFonts w:hint="eastAsia" w:cs="Times New Roman"/>
                      <w:color w:val="FF0000"/>
                      <w:sz w:val="21"/>
                      <w:lang w:val="en-US" w:eastAsia="zh-CN"/>
                    </w:rPr>
                    <w:t>1419</w:t>
                  </w:r>
                </w:p>
              </w:tc>
              <w:tc>
                <w:tcPr>
                  <w:tcW w:w="617" w:type="dxa"/>
                  <w:vMerge w:val="restart"/>
                  <w:tcBorders>
                    <w:tl2br w:val="nil"/>
                    <w:tr2bl w:val="nil"/>
                  </w:tcBorders>
                  <w:noWrap w:val="0"/>
                  <w:vAlign w:val="center"/>
                </w:tcPr>
                <w:p w14:paraId="14A357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2</w:t>
                  </w:r>
                </w:p>
              </w:tc>
              <w:tc>
                <w:tcPr>
                  <w:tcW w:w="807" w:type="dxa"/>
                  <w:vMerge w:val="restart"/>
                  <w:tcBorders>
                    <w:tl2br w:val="nil"/>
                    <w:tr2bl w:val="nil"/>
                  </w:tcBorders>
                  <w:noWrap w:val="0"/>
                  <w:vAlign w:val="center"/>
                </w:tcPr>
                <w:p w14:paraId="00CDB9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固废</w:t>
                  </w:r>
                </w:p>
              </w:tc>
              <w:tc>
                <w:tcPr>
                  <w:tcW w:w="2092" w:type="dxa"/>
                  <w:tcBorders>
                    <w:tl2br w:val="nil"/>
                    <w:tr2bl w:val="nil"/>
                  </w:tcBorders>
                  <w:shd w:val="clear" w:color="auto" w:fill="auto"/>
                  <w:noWrap w:val="0"/>
                  <w:vAlign w:val="center"/>
                </w:tcPr>
                <w:p w14:paraId="76BE8441">
                  <w:pPr>
                    <w:keepNext w:val="0"/>
                    <w:keepLines w:val="0"/>
                    <w:pageBreakBefore w:val="0"/>
                    <w:wordWrap/>
                    <w:topLinePunct w:val="0"/>
                    <w:bidi w:val="0"/>
                    <w:spacing w:line="240" w:lineRule="auto"/>
                    <w:ind w:firstLine="0" w:firstLineChars="0"/>
                    <w:jc w:val="center"/>
                    <w:textAlignment w:val="auto"/>
                    <w:rPr>
                      <w:rFonts w:hint="eastAsia" w:ascii="Times New Roman" w:hAnsi="Times New Roman" w:eastAsia="宋体" w:cs="Times New Roman"/>
                      <w:color w:val="FF0000"/>
                      <w:kern w:val="2"/>
                      <w:sz w:val="21"/>
                      <w:szCs w:val="24"/>
                      <w:lang w:val="en-US" w:eastAsia="zh-CN" w:bidi="ar-SA"/>
                    </w:rPr>
                  </w:pPr>
                  <w:r>
                    <w:rPr>
                      <w:rFonts w:hint="eastAsia" w:ascii="Times New Roman" w:hAnsi="Times New Roman" w:eastAsia="宋体" w:cs="Times New Roman"/>
                      <w:color w:val="FF0000"/>
                      <w:sz w:val="21"/>
                      <w:lang w:val="en-US" w:eastAsia="zh-CN"/>
                    </w:rPr>
                    <w:t>布袋粉尘</w:t>
                  </w:r>
                </w:p>
              </w:tc>
              <w:tc>
                <w:tcPr>
                  <w:tcW w:w="1140" w:type="dxa"/>
                  <w:tcBorders>
                    <w:tl2br w:val="nil"/>
                    <w:tr2bl w:val="nil"/>
                  </w:tcBorders>
                  <w:shd w:val="clear" w:color="auto" w:fill="auto"/>
                  <w:noWrap w:val="0"/>
                  <w:vAlign w:val="center"/>
                </w:tcPr>
                <w:p w14:paraId="7A41DF6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FF0000"/>
                      <w:kern w:val="2"/>
                      <w:sz w:val="21"/>
                      <w:szCs w:val="24"/>
                      <w:lang w:val="en-US" w:eastAsia="zh-CN" w:bidi="ar-SA"/>
                    </w:rPr>
                  </w:pPr>
                  <w:r>
                    <w:rPr>
                      <w:rFonts w:hint="eastAsia" w:cs="Times New Roman"/>
                      <w:i w:val="0"/>
                      <w:iCs w:val="0"/>
                      <w:color w:val="FF0000"/>
                      <w:kern w:val="0"/>
                      <w:sz w:val="21"/>
                      <w:szCs w:val="21"/>
                      <w:u w:val="none"/>
                      <w:lang w:val="en-US" w:eastAsia="zh-CN" w:bidi="ar"/>
                    </w:rPr>
                    <w:t>6.921</w:t>
                  </w:r>
                </w:p>
              </w:tc>
            </w:tr>
            <w:tr w14:paraId="266D9D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595" w:type="dxa"/>
                  <w:tcBorders>
                    <w:tl2br w:val="nil"/>
                    <w:tr2bl w:val="nil"/>
                  </w:tcBorders>
                  <w:noWrap w:val="0"/>
                  <w:vAlign w:val="center"/>
                </w:tcPr>
                <w:p w14:paraId="2CC201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w:t>
                  </w:r>
                </w:p>
              </w:tc>
              <w:tc>
                <w:tcPr>
                  <w:tcW w:w="1963" w:type="dxa"/>
                  <w:tcBorders>
                    <w:tl2br w:val="nil"/>
                    <w:tr2bl w:val="nil"/>
                  </w:tcBorders>
                  <w:noWrap w:val="0"/>
                  <w:vAlign w:val="center"/>
                </w:tcPr>
                <w:p w14:paraId="6E9E470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FF0000"/>
                      <w:kern w:val="0"/>
                      <w:sz w:val="21"/>
                      <w:szCs w:val="21"/>
                      <w:u w:val="none"/>
                      <w:lang w:val="en-US" w:eastAsia="zh-CN" w:bidi="ar"/>
                    </w:rPr>
                  </w:pPr>
                  <w:r>
                    <w:rPr>
                      <w:rFonts w:hint="eastAsia"/>
                      <w:color w:val="FF0000"/>
                      <w:sz w:val="21"/>
                      <w:szCs w:val="21"/>
                      <w:lang w:val="en-US" w:eastAsia="zh-CN"/>
                    </w:rPr>
                    <w:t>/</w:t>
                  </w:r>
                </w:p>
              </w:tc>
              <w:tc>
                <w:tcPr>
                  <w:tcW w:w="1147" w:type="dxa"/>
                  <w:tcBorders>
                    <w:tl2br w:val="nil"/>
                    <w:tr2bl w:val="nil"/>
                  </w:tcBorders>
                  <w:noWrap w:val="0"/>
                  <w:vAlign w:val="center"/>
                </w:tcPr>
                <w:p w14:paraId="7ACA63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r>
                    <w:rPr>
                      <w:rFonts w:hint="eastAsia"/>
                      <w:color w:val="FF0000"/>
                      <w:sz w:val="21"/>
                      <w:szCs w:val="21"/>
                      <w:lang w:val="en-US" w:eastAsia="zh-CN"/>
                    </w:rPr>
                    <w:t>/</w:t>
                  </w:r>
                </w:p>
              </w:tc>
              <w:tc>
                <w:tcPr>
                  <w:tcW w:w="617" w:type="dxa"/>
                  <w:vMerge w:val="continue"/>
                  <w:tcBorders>
                    <w:tl2br w:val="nil"/>
                    <w:tr2bl w:val="nil"/>
                  </w:tcBorders>
                  <w:noWrap w:val="0"/>
                  <w:vAlign w:val="center"/>
                </w:tcPr>
                <w:p w14:paraId="7189F4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p>
              </w:tc>
              <w:tc>
                <w:tcPr>
                  <w:tcW w:w="807" w:type="dxa"/>
                  <w:vMerge w:val="continue"/>
                  <w:tcBorders>
                    <w:tl2br w:val="nil"/>
                    <w:tr2bl w:val="nil"/>
                  </w:tcBorders>
                  <w:noWrap w:val="0"/>
                  <w:vAlign w:val="center"/>
                </w:tcPr>
                <w:p w14:paraId="188D0A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p>
              </w:tc>
              <w:tc>
                <w:tcPr>
                  <w:tcW w:w="2092" w:type="dxa"/>
                  <w:tcBorders>
                    <w:tl2br w:val="nil"/>
                    <w:tr2bl w:val="nil"/>
                  </w:tcBorders>
                  <w:shd w:val="clear" w:color="auto" w:fill="auto"/>
                  <w:noWrap w:val="0"/>
                  <w:vAlign w:val="center"/>
                </w:tcPr>
                <w:p w14:paraId="2253B301">
                  <w:pPr>
                    <w:keepNext w:val="0"/>
                    <w:keepLines w:val="0"/>
                    <w:pageBreakBefore w:val="0"/>
                    <w:wordWrap/>
                    <w:topLinePunct w:val="0"/>
                    <w:bidi w:val="0"/>
                    <w:spacing w:line="240" w:lineRule="auto"/>
                    <w:ind w:firstLine="0" w:firstLineChars="0"/>
                    <w:jc w:val="center"/>
                    <w:textAlignment w:val="auto"/>
                    <w:rPr>
                      <w:rFonts w:hint="eastAsia" w:ascii="Times New Roman" w:hAnsi="Times New Roman" w:eastAsia="宋体" w:cs="Times New Roman"/>
                      <w:color w:val="FF0000"/>
                      <w:kern w:val="2"/>
                      <w:sz w:val="21"/>
                      <w:szCs w:val="24"/>
                      <w:lang w:val="en-US" w:eastAsia="zh-CN" w:bidi="ar-SA"/>
                    </w:rPr>
                  </w:pPr>
                  <w:r>
                    <w:rPr>
                      <w:rFonts w:hint="eastAsia" w:ascii="Times New Roman" w:hAnsi="Times New Roman" w:eastAsia="宋体" w:cs="Times New Roman"/>
                      <w:color w:val="FF0000"/>
                      <w:sz w:val="21"/>
                      <w:lang w:val="en-US" w:eastAsia="zh-CN"/>
                    </w:rPr>
                    <w:t>不合格品</w:t>
                  </w:r>
                </w:p>
              </w:tc>
              <w:tc>
                <w:tcPr>
                  <w:tcW w:w="1140" w:type="dxa"/>
                  <w:tcBorders>
                    <w:tl2br w:val="nil"/>
                    <w:tr2bl w:val="nil"/>
                  </w:tcBorders>
                  <w:shd w:val="clear" w:color="auto" w:fill="auto"/>
                  <w:noWrap w:val="0"/>
                  <w:vAlign w:val="center"/>
                </w:tcPr>
                <w:p w14:paraId="3534737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FF0000"/>
                      <w:kern w:val="2"/>
                      <w:sz w:val="21"/>
                      <w:szCs w:val="24"/>
                      <w:lang w:val="en-US" w:eastAsia="zh-CN" w:bidi="ar-SA"/>
                    </w:rPr>
                  </w:pPr>
                  <w:r>
                    <w:rPr>
                      <w:rFonts w:hint="eastAsia" w:cs="Times New Roman"/>
                      <w:i w:val="0"/>
                      <w:iCs w:val="0"/>
                      <w:color w:val="FF0000"/>
                      <w:kern w:val="0"/>
                      <w:sz w:val="21"/>
                      <w:szCs w:val="21"/>
                      <w:u w:val="none"/>
                      <w:lang w:val="en-US" w:eastAsia="zh-CN" w:bidi="ar"/>
                    </w:rPr>
                    <w:t>22.625</w:t>
                  </w:r>
                </w:p>
              </w:tc>
            </w:tr>
            <w:tr w14:paraId="61B489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595" w:type="dxa"/>
                  <w:tcBorders>
                    <w:tl2br w:val="nil"/>
                    <w:tr2bl w:val="nil"/>
                  </w:tcBorders>
                  <w:noWrap w:val="0"/>
                  <w:vAlign w:val="center"/>
                </w:tcPr>
                <w:p w14:paraId="6D4D52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r>
                    <w:rPr>
                      <w:rFonts w:hint="eastAsia"/>
                      <w:color w:val="FF0000"/>
                      <w:sz w:val="21"/>
                      <w:szCs w:val="21"/>
                      <w:lang w:val="en-US" w:eastAsia="zh-CN"/>
                    </w:rPr>
                    <w:t>/</w:t>
                  </w:r>
                </w:p>
              </w:tc>
              <w:tc>
                <w:tcPr>
                  <w:tcW w:w="1963" w:type="dxa"/>
                  <w:tcBorders>
                    <w:tl2br w:val="nil"/>
                    <w:tr2bl w:val="nil"/>
                  </w:tcBorders>
                  <w:noWrap w:val="0"/>
                  <w:vAlign w:val="center"/>
                </w:tcPr>
                <w:p w14:paraId="75A38E7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FF0000"/>
                      <w:kern w:val="0"/>
                      <w:sz w:val="21"/>
                      <w:szCs w:val="21"/>
                      <w:u w:val="none"/>
                      <w:lang w:val="en-US" w:eastAsia="zh-CN" w:bidi="ar"/>
                    </w:rPr>
                  </w:pPr>
                  <w:r>
                    <w:rPr>
                      <w:rFonts w:hint="eastAsia"/>
                      <w:color w:val="FF0000"/>
                      <w:sz w:val="21"/>
                      <w:szCs w:val="21"/>
                      <w:lang w:val="en-US" w:eastAsia="zh-CN"/>
                    </w:rPr>
                    <w:t>/</w:t>
                  </w:r>
                </w:p>
              </w:tc>
              <w:tc>
                <w:tcPr>
                  <w:tcW w:w="1147" w:type="dxa"/>
                  <w:tcBorders>
                    <w:tl2br w:val="nil"/>
                    <w:tr2bl w:val="nil"/>
                  </w:tcBorders>
                  <w:noWrap w:val="0"/>
                  <w:vAlign w:val="center"/>
                </w:tcPr>
                <w:p w14:paraId="33E277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r>
                    <w:rPr>
                      <w:rFonts w:hint="eastAsia"/>
                      <w:color w:val="FF0000"/>
                      <w:sz w:val="21"/>
                      <w:szCs w:val="21"/>
                      <w:lang w:val="en-US" w:eastAsia="zh-CN"/>
                    </w:rPr>
                    <w:t>/</w:t>
                  </w:r>
                </w:p>
              </w:tc>
              <w:tc>
                <w:tcPr>
                  <w:tcW w:w="617" w:type="dxa"/>
                  <w:vMerge w:val="continue"/>
                  <w:tcBorders>
                    <w:tl2br w:val="nil"/>
                    <w:tr2bl w:val="nil"/>
                  </w:tcBorders>
                  <w:noWrap w:val="0"/>
                  <w:vAlign w:val="center"/>
                </w:tcPr>
                <w:p w14:paraId="21049C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p>
              </w:tc>
              <w:tc>
                <w:tcPr>
                  <w:tcW w:w="807" w:type="dxa"/>
                  <w:vMerge w:val="continue"/>
                  <w:tcBorders>
                    <w:tl2br w:val="nil"/>
                    <w:tr2bl w:val="nil"/>
                  </w:tcBorders>
                  <w:noWrap w:val="0"/>
                  <w:vAlign w:val="center"/>
                </w:tcPr>
                <w:p w14:paraId="2604B2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p>
              </w:tc>
              <w:tc>
                <w:tcPr>
                  <w:tcW w:w="2092" w:type="dxa"/>
                  <w:tcBorders>
                    <w:tl2br w:val="nil"/>
                    <w:tr2bl w:val="nil"/>
                  </w:tcBorders>
                  <w:shd w:val="clear" w:color="auto" w:fill="auto"/>
                  <w:noWrap w:val="0"/>
                  <w:vAlign w:val="center"/>
                </w:tcPr>
                <w:p w14:paraId="48E69251">
                  <w:pPr>
                    <w:keepNext w:val="0"/>
                    <w:keepLines w:val="0"/>
                    <w:pageBreakBefore w:val="0"/>
                    <w:wordWrap/>
                    <w:topLinePunct w:val="0"/>
                    <w:bidi w:val="0"/>
                    <w:spacing w:line="240" w:lineRule="auto"/>
                    <w:ind w:firstLine="0" w:firstLineChars="0"/>
                    <w:jc w:val="center"/>
                    <w:textAlignment w:val="auto"/>
                    <w:rPr>
                      <w:rFonts w:hint="eastAsia" w:ascii="Times New Roman" w:hAnsi="Times New Roman" w:eastAsia="宋体" w:cs="Times New Roman"/>
                      <w:color w:val="FF0000"/>
                      <w:kern w:val="2"/>
                      <w:sz w:val="21"/>
                      <w:szCs w:val="24"/>
                      <w:lang w:val="en-US" w:eastAsia="zh-CN" w:bidi="ar-SA"/>
                    </w:rPr>
                  </w:pPr>
                  <w:r>
                    <w:rPr>
                      <w:rFonts w:hint="eastAsia" w:ascii="Times New Roman" w:hAnsi="Times New Roman" w:eastAsia="宋体" w:cs="Times New Roman"/>
                      <w:color w:val="FF0000"/>
                      <w:sz w:val="21"/>
                      <w:lang w:val="en-US" w:eastAsia="zh-CN"/>
                    </w:rPr>
                    <w:t>钢筋下脚料</w:t>
                  </w:r>
                </w:p>
              </w:tc>
              <w:tc>
                <w:tcPr>
                  <w:tcW w:w="1140" w:type="dxa"/>
                  <w:tcBorders>
                    <w:tl2br w:val="nil"/>
                    <w:tr2bl w:val="nil"/>
                  </w:tcBorders>
                  <w:shd w:val="clear" w:color="auto" w:fill="auto"/>
                  <w:noWrap w:val="0"/>
                  <w:vAlign w:val="center"/>
                </w:tcPr>
                <w:p w14:paraId="3ED05AA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FF0000"/>
                      <w:kern w:val="2"/>
                      <w:sz w:val="21"/>
                      <w:szCs w:val="24"/>
                      <w:lang w:val="en-US" w:eastAsia="zh-CN" w:bidi="ar-SA"/>
                    </w:rPr>
                  </w:pPr>
                  <w:r>
                    <w:rPr>
                      <w:rFonts w:hint="eastAsia" w:cs="Times New Roman"/>
                      <w:i w:val="0"/>
                      <w:iCs w:val="0"/>
                      <w:color w:val="FF0000"/>
                      <w:kern w:val="0"/>
                      <w:sz w:val="21"/>
                      <w:szCs w:val="21"/>
                      <w:u w:val="none"/>
                      <w:lang w:val="en-US" w:eastAsia="zh-CN" w:bidi="ar"/>
                    </w:rPr>
                    <w:t>1.3523</w:t>
                  </w:r>
                </w:p>
              </w:tc>
            </w:tr>
            <w:tr w14:paraId="7E2E83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595" w:type="dxa"/>
                  <w:tcBorders>
                    <w:tl2br w:val="nil"/>
                    <w:tr2bl w:val="nil"/>
                  </w:tcBorders>
                  <w:noWrap w:val="0"/>
                  <w:vAlign w:val="center"/>
                </w:tcPr>
                <w:p w14:paraId="534A23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r>
                    <w:rPr>
                      <w:rFonts w:hint="eastAsia"/>
                      <w:color w:val="FF0000"/>
                      <w:sz w:val="21"/>
                      <w:szCs w:val="21"/>
                      <w:lang w:val="en-US" w:eastAsia="zh-CN"/>
                    </w:rPr>
                    <w:t>/</w:t>
                  </w:r>
                </w:p>
              </w:tc>
              <w:tc>
                <w:tcPr>
                  <w:tcW w:w="1963" w:type="dxa"/>
                  <w:tcBorders>
                    <w:tl2br w:val="nil"/>
                    <w:tr2bl w:val="nil"/>
                  </w:tcBorders>
                  <w:noWrap w:val="0"/>
                  <w:vAlign w:val="center"/>
                </w:tcPr>
                <w:p w14:paraId="2E7A435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color w:val="FF0000"/>
                      <w:sz w:val="21"/>
                      <w:szCs w:val="21"/>
                      <w:lang w:val="en-US" w:eastAsia="zh-CN"/>
                    </w:rPr>
                  </w:pPr>
                  <w:r>
                    <w:rPr>
                      <w:rFonts w:hint="eastAsia"/>
                      <w:color w:val="FF0000"/>
                      <w:sz w:val="21"/>
                      <w:szCs w:val="21"/>
                      <w:lang w:val="en-US" w:eastAsia="zh-CN"/>
                    </w:rPr>
                    <w:t>/</w:t>
                  </w:r>
                </w:p>
              </w:tc>
              <w:tc>
                <w:tcPr>
                  <w:tcW w:w="1147" w:type="dxa"/>
                  <w:tcBorders>
                    <w:tl2br w:val="nil"/>
                    <w:tr2bl w:val="nil"/>
                  </w:tcBorders>
                  <w:noWrap w:val="0"/>
                  <w:vAlign w:val="center"/>
                </w:tcPr>
                <w:p w14:paraId="5D1D20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r>
                    <w:rPr>
                      <w:rFonts w:hint="eastAsia"/>
                      <w:color w:val="FF0000"/>
                      <w:sz w:val="21"/>
                      <w:szCs w:val="21"/>
                      <w:lang w:val="en-US" w:eastAsia="zh-CN"/>
                    </w:rPr>
                    <w:t>/</w:t>
                  </w:r>
                </w:p>
              </w:tc>
              <w:tc>
                <w:tcPr>
                  <w:tcW w:w="617" w:type="dxa"/>
                  <w:vMerge w:val="continue"/>
                  <w:tcBorders>
                    <w:tl2br w:val="nil"/>
                    <w:tr2bl w:val="nil"/>
                  </w:tcBorders>
                  <w:noWrap w:val="0"/>
                  <w:vAlign w:val="center"/>
                </w:tcPr>
                <w:p w14:paraId="48D156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p>
              </w:tc>
              <w:tc>
                <w:tcPr>
                  <w:tcW w:w="807" w:type="dxa"/>
                  <w:vMerge w:val="continue"/>
                  <w:tcBorders>
                    <w:tl2br w:val="nil"/>
                    <w:tr2bl w:val="nil"/>
                  </w:tcBorders>
                  <w:noWrap w:val="0"/>
                  <w:vAlign w:val="center"/>
                </w:tcPr>
                <w:p w14:paraId="5A150A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p>
              </w:tc>
              <w:tc>
                <w:tcPr>
                  <w:tcW w:w="2092" w:type="dxa"/>
                  <w:tcBorders>
                    <w:tl2br w:val="nil"/>
                    <w:tr2bl w:val="nil"/>
                  </w:tcBorders>
                  <w:shd w:val="clear" w:color="auto" w:fill="auto"/>
                  <w:noWrap w:val="0"/>
                  <w:vAlign w:val="center"/>
                </w:tcPr>
                <w:p w14:paraId="081EAD41">
                  <w:pPr>
                    <w:keepNext w:val="0"/>
                    <w:keepLines w:val="0"/>
                    <w:pageBreakBefore w:val="0"/>
                    <w:wordWrap/>
                    <w:topLinePunct w:val="0"/>
                    <w:bidi w:val="0"/>
                    <w:spacing w:line="240" w:lineRule="auto"/>
                    <w:ind w:firstLine="0" w:firstLineChars="0"/>
                    <w:jc w:val="center"/>
                    <w:textAlignment w:val="auto"/>
                    <w:rPr>
                      <w:rFonts w:hint="default" w:ascii="Times New Roman" w:hAnsi="Times New Roman" w:eastAsia="宋体" w:cs="Times New Roman"/>
                      <w:color w:val="FF0000"/>
                      <w:sz w:val="21"/>
                      <w:lang w:val="en-US" w:eastAsia="zh-CN"/>
                    </w:rPr>
                  </w:pPr>
                  <w:r>
                    <w:rPr>
                      <w:rFonts w:hint="eastAsia" w:cs="Times New Roman"/>
                      <w:color w:val="FF0000"/>
                      <w:sz w:val="21"/>
                      <w:lang w:val="en-US" w:eastAsia="zh-CN"/>
                    </w:rPr>
                    <w:t>报废零部件</w:t>
                  </w:r>
                </w:p>
              </w:tc>
              <w:tc>
                <w:tcPr>
                  <w:tcW w:w="1140" w:type="dxa"/>
                  <w:tcBorders>
                    <w:tl2br w:val="nil"/>
                    <w:tr2bl w:val="nil"/>
                  </w:tcBorders>
                  <w:shd w:val="clear" w:color="auto" w:fill="auto"/>
                  <w:noWrap w:val="0"/>
                  <w:vAlign w:val="center"/>
                </w:tcPr>
                <w:p w14:paraId="1608CBA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2</w:t>
                  </w:r>
                </w:p>
              </w:tc>
            </w:tr>
            <w:tr w14:paraId="44DB96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595" w:type="dxa"/>
                  <w:tcBorders>
                    <w:tl2br w:val="nil"/>
                    <w:tr2bl w:val="nil"/>
                  </w:tcBorders>
                  <w:noWrap w:val="0"/>
                  <w:vAlign w:val="center"/>
                </w:tcPr>
                <w:p w14:paraId="2D05DB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FF0000"/>
                      <w:sz w:val="21"/>
                      <w:szCs w:val="21"/>
                      <w:lang w:val="en-US" w:eastAsia="zh-CN"/>
                    </w:rPr>
                  </w:pPr>
                  <w:r>
                    <w:rPr>
                      <w:rFonts w:hint="eastAsia"/>
                      <w:color w:val="FF0000"/>
                      <w:sz w:val="21"/>
                      <w:szCs w:val="21"/>
                      <w:lang w:val="en-US" w:eastAsia="zh-CN"/>
                    </w:rPr>
                    <w:t>/</w:t>
                  </w:r>
                </w:p>
              </w:tc>
              <w:tc>
                <w:tcPr>
                  <w:tcW w:w="1963" w:type="dxa"/>
                  <w:tcBorders>
                    <w:tl2br w:val="nil"/>
                    <w:tr2bl w:val="nil"/>
                  </w:tcBorders>
                  <w:noWrap w:val="0"/>
                  <w:vAlign w:val="center"/>
                </w:tcPr>
                <w:p w14:paraId="0D96B18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FF0000"/>
                      <w:kern w:val="0"/>
                      <w:sz w:val="21"/>
                      <w:szCs w:val="21"/>
                      <w:u w:val="none"/>
                      <w:lang w:val="en-US" w:eastAsia="zh-CN" w:bidi="ar"/>
                    </w:rPr>
                  </w:pPr>
                  <w:r>
                    <w:rPr>
                      <w:rFonts w:hint="eastAsia"/>
                      <w:color w:val="FF0000"/>
                      <w:sz w:val="21"/>
                      <w:szCs w:val="21"/>
                      <w:lang w:val="en-US" w:eastAsia="zh-CN"/>
                    </w:rPr>
                    <w:t>/</w:t>
                  </w:r>
                </w:p>
              </w:tc>
              <w:tc>
                <w:tcPr>
                  <w:tcW w:w="1147" w:type="dxa"/>
                  <w:tcBorders>
                    <w:tl2br w:val="nil"/>
                    <w:tr2bl w:val="nil"/>
                  </w:tcBorders>
                  <w:noWrap w:val="0"/>
                  <w:vAlign w:val="center"/>
                </w:tcPr>
                <w:p w14:paraId="4B4A52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w:t>
                  </w:r>
                </w:p>
              </w:tc>
              <w:tc>
                <w:tcPr>
                  <w:tcW w:w="617" w:type="dxa"/>
                  <w:tcBorders>
                    <w:tl2br w:val="nil"/>
                    <w:tr2bl w:val="nil"/>
                  </w:tcBorders>
                  <w:noWrap w:val="0"/>
                  <w:vAlign w:val="center"/>
                </w:tcPr>
                <w:p w14:paraId="778A13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3</w:t>
                  </w:r>
                </w:p>
              </w:tc>
              <w:tc>
                <w:tcPr>
                  <w:tcW w:w="807" w:type="dxa"/>
                  <w:tcBorders>
                    <w:tl2br w:val="nil"/>
                    <w:tr2bl w:val="nil"/>
                  </w:tcBorders>
                  <w:noWrap w:val="0"/>
                  <w:vAlign w:val="center"/>
                </w:tcPr>
                <w:p w14:paraId="63982E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废气</w:t>
                  </w:r>
                </w:p>
              </w:tc>
              <w:tc>
                <w:tcPr>
                  <w:tcW w:w="2092" w:type="dxa"/>
                  <w:tcBorders>
                    <w:tl2br w:val="nil"/>
                    <w:tr2bl w:val="nil"/>
                  </w:tcBorders>
                  <w:shd w:val="clear" w:color="auto" w:fill="auto"/>
                  <w:noWrap w:val="0"/>
                  <w:vAlign w:val="center"/>
                </w:tcPr>
                <w:p w14:paraId="3CE5788B">
                  <w:pPr>
                    <w:keepNext w:val="0"/>
                    <w:keepLines w:val="0"/>
                    <w:pageBreakBefore w:val="0"/>
                    <w:wordWrap/>
                    <w:topLinePunct w:val="0"/>
                    <w:bidi w:val="0"/>
                    <w:spacing w:line="240" w:lineRule="auto"/>
                    <w:ind w:firstLine="0" w:firstLineChars="0"/>
                    <w:jc w:val="center"/>
                    <w:textAlignment w:val="auto"/>
                    <w:rPr>
                      <w:rFonts w:hint="eastAsia" w:ascii="Times New Roman" w:hAnsi="Times New Roman" w:eastAsia="宋体" w:cs="Times New Roman"/>
                      <w:color w:val="FF0000"/>
                      <w:kern w:val="2"/>
                      <w:sz w:val="21"/>
                      <w:szCs w:val="24"/>
                      <w:lang w:val="en-US" w:eastAsia="zh-CN" w:bidi="ar-SA"/>
                    </w:rPr>
                  </w:pPr>
                  <w:r>
                    <w:rPr>
                      <w:rFonts w:hint="eastAsia" w:ascii="Times New Roman" w:hAnsi="Times New Roman" w:eastAsia="宋体" w:cs="Times New Roman"/>
                      <w:color w:val="FF0000"/>
                      <w:sz w:val="21"/>
                      <w:lang w:val="en-US" w:eastAsia="zh-CN"/>
                    </w:rPr>
                    <w:t>颗粒物</w:t>
                  </w:r>
                </w:p>
              </w:tc>
              <w:tc>
                <w:tcPr>
                  <w:tcW w:w="1140" w:type="dxa"/>
                  <w:tcBorders>
                    <w:tl2br w:val="nil"/>
                    <w:tr2bl w:val="nil"/>
                  </w:tcBorders>
                  <w:shd w:val="clear" w:color="auto" w:fill="auto"/>
                  <w:noWrap w:val="0"/>
                  <w:vAlign w:val="center"/>
                </w:tcPr>
                <w:p w14:paraId="5C6F44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0.1017</w:t>
                  </w:r>
                </w:p>
              </w:tc>
            </w:tr>
            <w:tr w14:paraId="5ACAC8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7" w:type="dxa"/>
                  <w:left w:w="108" w:type="dxa"/>
                  <w:bottom w:w="17" w:type="dxa"/>
                  <w:right w:w="108" w:type="dxa"/>
                </w:tblCellMar>
              </w:tblPrEx>
              <w:trPr>
                <w:trHeight w:val="90" w:hRule="atLeast"/>
                <w:tblHeader/>
                <w:jc w:val="center"/>
              </w:trPr>
              <w:tc>
                <w:tcPr>
                  <w:tcW w:w="2558" w:type="dxa"/>
                  <w:gridSpan w:val="2"/>
                  <w:tcBorders>
                    <w:tl2br w:val="nil"/>
                    <w:tr2bl w:val="nil"/>
                  </w:tcBorders>
                  <w:noWrap w:val="0"/>
                  <w:vAlign w:val="center"/>
                </w:tcPr>
                <w:p w14:paraId="313D18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color w:val="FF0000"/>
                      <w:sz w:val="21"/>
                      <w:szCs w:val="21"/>
                    </w:rPr>
                    <w:t>合计</w:t>
                  </w:r>
                </w:p>
              </w:tc>
              <w:tc>
                <w:tcPr>
                  <w:tcW w:w="1147" w:type="dxa"/>
                  <w:tcBorders>
                    <w:tl2br w:val="nil"/>
                    <w:tr2bl w:val="nil"/>
                  </w:tcBorders>
                  <w:shd w:val="clear" w:color="auto" w:fill="auto"/>
                  <w:noWrap w:val="0"/>
                  <w:vAlign w:val="center"/>
                </w:tcPr>
                <w:p w14:paraId="660160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2376</w:t>
                  </w:r>
                  <w:r>
                    <w:rPr>
                      <w:rFonts w:hint="eastAsia" w:cs="Times New Roman"/>
                      <w:color w:val="FF0000"/>
                      <w:sz w:val="21"/>
                      <w:szCs w:val="21"/>
                      <w:lang w:val="en-US" w:eastAsia="zh-CN"/>
                    </w:rPr>
                    <w:t>5</w:t>
                  </w:r>
                </w:p>
              </w:tc>
              <w:tc>
                <w:tcPr>
                  <w:tcW w:w="3516" w:type="dxa"/>
                  <w:gridSpan w:val="3"/>
                  <w:tcBorders>
                    <w:tl2br w:val="nil"/>
                    <w:tr2bl w:val="nil"/>
                  </w:tcBorders>
                  <w:noWrap w:val="0"/>
                  <w:vAlign w:val="center"/>
                </w:tcPr>
                <w:p w14:paraId="19049F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FF0000"/>
                      <w:sz w:val="21"/>
                      <w:szCs w:val="21"/>
                    </w:rPr>
                  </w:pPr>
                  <w:r>
                    <w:rPr>
                      <w:color w:val="FF0000"/>
                      <w:sz w:val="21"/>
                      <w:szCs w:val="21"/>
                    </w:rPr>
                    <w:t>合计</w:t>
                  </w:r>
                </w:p>
              </w:tc>
              <w:tc>
                <w:tcPr>
                  <w:tcW w:w="1140" w:type="dxa"/>
                  <w:tcBorders>
                    <w:tl2br w:val="nil"/>
                    <w:tr2bl w:val="nil"/>
                  </w:tcBorders>
                  <w:shd w:val="clear" w:color="auto" w:fill="auto"/>
                  <w:noWrap w:val="0"/>
                  <w:vAlign w:val="center"/>
                </w:tcPr>
                <w:p w14:paraId="75ED50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2376</w:t>
                  </w:r>
                  <w:r>
                    <w:rPr>
                      <w:rFonts w:hint="eastAsia" w:cs="Times New Roman"/>
                      <w:color w:val="FF0000"/>
                      <w:sz w:val="21"/>
                      <w:szCs w:val="21"/>
                      <w:lang w:val="en-US" w:eastAsia="zh-CN"/>
                    </w:rPr>
                    <w:t>5</w:t>
                  </w:r>
                </w:p>
              </w:tc>
            </w:tr>
          </w:tbl>
          <w:p w14:paraId="3297C832">
            <w:pPr>
              <w:ind w:firstLine="0" w:firstLineChars="0"/>
              <w:jc w:val="center"/>
              <w:rPr>
                <w:rFonts w:hint="default" w:eastAsia="宋体"/>
                <w:b/>
                <w:bCs/>
                <w:color w:val="FF0000"/>
                <w:lang w:val="en-US" w:eastAsia="zh-CN"/>
              </w:rPr>
            </w:pPr>
            <w:r>
              <w:rPr>
                <w:rFonts w:hint="eastAsia"/>
                <w:b/>
                <w:bCs/>
                <w:color w:val="FF0000"/>
                <w:lang w:val="en-US" w:eastAsia="zh-CN"/>
              </w:rPr>
              <w:t>注、粉尘不含车辆运输扬尘及焊接烟尘</w:t>
            </w:r>
          </w:p>
        </w:tc>
      </w:tr>
      <w:tr w14:paraId="430B31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4" w:type="dxa"/>
            <w:vAlign w:val="center"/>
          </w:tcPr>
          <w:p w14:paraId="6D00F3CE">
            <w:pPr>
              <w:pStyle w:val="38"/>
              <w:spacing w:before="0" w:beforeAutospacing="0" w:after="0" w:afterAutospacing="0"/>
              <w:ind w:firstLine="0" w:firstLineChars="0"/>
              <w:jc w:val="center"/>
              <w:rPr>
                <w:rFonts w:cs="宋体"/>
                <w:sz w:val="21"/>
                <w:szCs w:val="21"/>
              </w:rPr>
            </w:pPr>
            <w:r>
              <w:rPr>
                <w:rFonts w:hint="eastAsia" w:cs="宋体"/>
                <w:b/>
                <w:kern w:val="2"/>
                <w:szCs w:val="24"/>
              </w:rPr>
              <w:t>与项目有关的原有环境污染问题</w:t>
            </w:r>
          </w:p>
        </w:tc>
        <w:tc>
          <w:tcPr>
            <w:tcW w:w="8607" w:type="dxa"/>
          </w:tcPr>
          <w:p w14:paraId="3D534A2D">
            <w:pPr>
              <w:rPr>
                <w:rFonts w:hint="default" w:eastAsia="宋体"/>
                <w:lang w:val="en-US" w:eastAsia="zh-CN"/>
              </w:rPr>
            </w:pPr>
            <w:r>
              <w:rPr>
                <w:rFonts w:hint="eastAsia"/>
                <w:color w:val="FF0000"/>
                <w:lang w:val="en-US" w:eastAsia="zh-CN"/>
              </w:rPr>
              <w:t>本项目为新建项目，土地现状为空地，企业取得土地时场地已完成三通一平工作。无原有环境污染问题。</w:t>
            </w:r>
            <w:bookmarkStart w:id="25" w:name="_GoBack"/>
            <w:bookmarkEnd w:id="25"/>
          </w:p>
        </w:tc>
      </w:tr>
    </w:tbl>
    <w:p w14:paraId="1B1896C3">
      <w:pPr>
        <w:pStyle w:val="38"/>
        <w:ind w:firstLine="600"/>
        <w:jc w:val="center"/>
        <w:outlineLvl w:val="0"/>
        <w:rPr>
          <w:rFonts w:hint="eastAsia" w:ascii="黑体" w:hAnsi="黑体" w:eastAsia="黑体"/>
          <w:snapToGrid w:val="0"/>
          <w:sz w:val="30"/>
          <w:szCs w:val="30"/>
        </w:rPr>
        <w:sectPr>
          <w:pgSz w:w="11907" w:h="16840"/>
          <w:pgMar w:top="1531" w:right="1531" w:bottom="1531" w:left="1531" w:header="851" w:footer="851" w:gutter="0"/>
          <w:pgBorders>
            <w:top w:val="none" w:sz="0" w:space="0"/>
            <w:left w:val="none" w:sz="0" w:space="0"/>
            <w:bottom w:val="none" w:sz="0" w:space="0"/>
            <w:right w:val="none" w:sz="0" w:space="0"/>
          </w:pgBorders>
          <w:cols w:space="720" w:num="1"/>
          <w:docGrid w:linePitch="312" w:charSpace="0"/>
        </w:sectPr>
      </w:pPr>
      <w:bookmarkStart w:id="10" w:name="_Toc863"/>
    </w:p>
    <w:p w14:paraId="535655D1">
      <w:pPr>
        <w:pStyle w:val="38"/>
        <w:ind w:firstLine="600"/>
        <w:jc w:val="center"/>
        <w:outlineLvl w:val="0"/>
        <w:rPr>
          <w:rFonts w:ascii="黑体" w:hAnsi="黑体" w:eastAsia="黑体"/>
          <w:snapToGrid w:val="0"/>
          <w:sz w:val="30"/>
          <w:szCs w:val="30"/>
        </w:rPr>
      </w:pPr>
      <w:r>
        <w:rPr>
          <w:rFonts w:hint="eastAsia" w:ascii="黑体" w:hAnsi="黑体" w:eastAsia="黑体"/>
          <w:snapToGrid w:val="0"/>
          <w:sz w:val="30"/>
          <w:szCs w:val="30"/>
        </w:rPr>
        <w:t>三、区域环境质量现状、环境保护目标及评价标准</w:t>
      </w:r>
      <w:bookmarkEnd w:id="10"/>
    </w:p>
    <w:tbl>
      <w:tblPr>
        <w:tblStyle w:val="41"/>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19"/>
        <w:gridCol w:w="8642"/>
      </w:tblGrid>
      <w:tr w14:paraId="1A415F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800" w:type="dxa"/>
            <w:vAlign w:val="center"/>
          </w:tcPr>
          <w:p w14:paraId="5D2FFD57">
            <w:pPr>
              <w:ind w:firstLine="0" w:firstLineChars="0"/>
              <w:rPr>
                <w:b/>
                <w:bCs/>
              </w:rPr>
            </w:pPr>
            <w:r>
              <w:rPr>
                <w:b/>
                <w:bCs/>
              </w:rPr>
              <w:t>区域</w:t>
            </w:r>
          </w:p>
          <w:p w14:paraId="5C38960E">
            <w:pPr>
              <w:ind w:firstLine="0" w:firstLineChars="0"/>
              <w:jc w:val="center"/>
              <w:rPr>
                <w:b/>
                <w:bCs/>
                <w:kern w:val="0"/>
              </w:rPr>
            </w:pPr>
            <w:r>
              <w:rPr>
                <w:b/>
                <w:bCs/>
                <w:kern w:val="0"/>
              </w:rPr>
              <w:t>环境</w:t>
            </w:r>
          </w:p>
          <w:p w14:paraId="1CE39FEA">
            <w:pPr>
              <w:ind w:firstLine="0" w:firstLineChars="0"/>
              <w:jc w:val="center"/>
              <w:rPr>
                <w:b/>
                <w:bCs/>
                <w:kern w:val="0"/>
              </w:rPr>
            </w:pPr>
            <w:r>
              <w:rPr>
                <w:b/>
                <w:bCs/>
                <w:kern w:val="0"/>
              </w:rPr>
              <w:t>质量</w:t>
            </w:r>
          </w:p>
          <w:p w14:paraId="4BFC5171">
            <w:pPr>
              <w:ind w:firstLine="0" w:firstLineChars="0"/>
              <w:jc w:val="center"/>
              <w:rPr>
                <w:kern w:val="0"/>
                <w:szCs w:val="21"/>
              </w:rPr>
            </w:pPr>
            <w:r>
              <w:rPr>
                <w:b/>
                <w:bCs/>
                <w:kern w:val="0"/>
              </w:rPr>
              <w:t>现状</w:t>
            </w:r>
          </w:p>
        </w:tc>
        <w:tc>
          <w:tcPr>
            <w:tcW w:w="8190" w:type="dxa"/>
            <w:vAlign w:val="center"/>
          </w:tcPr>
          <w:p w14:paraId="0D825AC4">
            <w:pPr>
              <w:ind w:firstLine="482"/>
              <w:rPr>
                <w:b/>
                <w:bCs/>
              </w:rPr>
            </w:pPr>
            <w:r>
              <w:rPr>
                <w:b/>
                <w:bCs/>
              </w:rPr>
              <w:t>1、地表水环境质量现状</w:t>
            </w:r>
          </w:p>
          <w:p w14:paraId="5B63AEC5">
            <w:pPr>
              <w:ind w:firstLine="480"/>
              <w:rPr>
                <w:color w:val="000000" w:themeColor="text1"/>
                <w14:textFill>
                  <w14:solidFill>
                    <w14:schemeClr w14:val="tx1"/>
                  </w14:solidFill>
                </w14:textFill>
              </w:rPr>
            </w:pPr>
            <w:r>
              <w:rPr>
                <w:color w:val="auto"/>
              </w:rPr>
              <w:t>本项目采用</w:t>
            </w:r>
            <w:r>
              <w:rPr>
                <w:rFonts w:hint="eastAsia"/>
                <w:color w:val="auto"/>
              </w:rPr>
              <w:t>202</w:t>
            </w:r>
            <w:r>
              <w:rPr>
                <w:rFonts w:hint="eastAsia"/>
                <w:color w:val="auto"/>
                <w:lang w:val="en-US" w:eastAsia="zh-CN"/>
              </w:rPr>
              <w:t>5</w:t>
            </w:r>
            <w:r>
              <w:rPr>
                <w:color w:val="auto"/>
              </w:rPr>
              <w:t>年宜春市</w:t>
            </w:r>
            <w:r>
              <w:rPr>
                <w:color w:val="000000" w:themeColor="text1"/>
                <w14:textFill>
                  <w14:solidFill>
                    <w14:schemeClr w14:val="tx1"/>
                  </w14:solidFill>
                </w14:textFill>
              </w:rPr>
              <w:t>环境质量月报（</w:t>
            </w:r>
            <w:r>
              <w:rPr>
                <w:rFonts w:hint="eastAsia"/>
                <w:color w:val="000000" w:themeColor="text1"/>
                <w:lang w:val="en-US" w:eastAsia="zh-CN"/>
                <w14:textFill>
                  <w14:solidFill>
                    <w14:schemeClr w14:val="tx1"/>
                  </w14:solidFill>
                </w14:textFill>
              </w:rPr>
              <w:t>8</w:t>
            </w:r>
            <w:r>
              <w:rPr>
                <w:color w:val="000000" w:themeColor="text1"/>
                <w14:textFill>
                  <w14:solidFill>
                    <w14:schemeClr w14:val="tx1"/>
                  </w14:solidFill>
                </w14:textFill>
              </w:rPr>
              <w:t>月）中关于</w:t>
            </w:r>
            <w:r>
              <w:rPr>
                <w:rFonts w:hint="eastAsia"/>
                <w:color w:val="000000" w:themeColor="text1"/>
                <w14:textFill>
                  <w14:solidFill>
                    <w14:schemeClr w14:val="tx1"/>
                  </w14:solidFill>
                </w14:textFill>
              </w:rPr>
              <w:t>高安市锦江</w:t>
            </w:r>
            <w:r>
              <w:rPr>
                <w:color w:val="000000" w:themeColor="text1"/>
                <w14:textFill>
                  <w14:solidFill>
                    <w14:schemeClr w14:val="tx1"/>
                  </w14:solidFill>
                </w14:textFill>
              </w:rPr>
              <w:t>的监测数据了解项目所在区域的水环境质量现状：</w:t>
            </w:r>
            <w:r>
              <w:rPr>
                <w:rFonts w:hint="default" w:ascii="Times New Roman" w:hAnsi="Times New Roman" w:eastAsia="宋体" w:cs="Times New Roman"/>
                <w:i w:val="0"/>
                <w:iCs w:val="0"/>
                <w:caps w:val="0"/>
                <w:color w:val="000000" w:themeColor="text1"/>
                <w:spacing w:val="0"/>
                <w:sz w:val="24"/>
                <w:szCs w:val="24"/>
                <w:shd w:val="clear" w:fill="FFFFFF"/>
                <w14:textFill>
                  <w14:solidFill>
                    <w14:schemeClr w14:val="tx1"/>
                  </w14:solidFill>
                </w14:textFill>
              </w:rPr>
              <w:t>2025</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年</w:t>
            </w:r>
            <w:r>
              <w:rPr>
                <w:rFonts w:hint="default" w:ascii="Times New Roman" w:hAnsi="Times New Roman" w:eastAsia="宋体" w:cs="Times New Roman"/>
                <w:i w:val="0"/>
                <w:iCs w:val="0"/>
                <w:caps w:val="0"/>
                <w:color w:val="000000" w:themeColor="text1"/>
                <w:spacing w:val="0"/>
                <w:sz w:val="24"/>
                <w:szCs w:val="24"/>
                <w:shd w:val="clear" w:fill="FFFFFF"/>
                <w14:textFill>
                  <w14:solidFill>
                    <w14:schemeClr w14:val="tx1"/>
                  </w14:solidFill>
                </w14:textFill>
              </w:rPr>
              <w:t>8</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月江西省宜春生态环境监测中心对全市主要流域</w:t>
            </w:r>
            <w:r>
              <w:rPr>
                <w:rFonts w:hint="default" w:ascii="Times New Roman" w:hAnsi="Times New Roman" w:eastAsia="宋体" w:cs="Times New Roman"/>
                <w:i w:val="0"/>
                <w:iCs w:val="0"/>
                <w:caps w:val="0"/>
                <w:color w:val="000000" w:themeColor="text1"/>
                <w:spacing w:val="0"/>
                <w:sz w:val="24"/>
                <w:szCs w:val="24"/>
                <w:shd w:val="clear" w:fill="FFFFFF"/>
                <w14:textFill>
                  <w14:solidFill>
                    <w14:schemeClr w14:val="tx1"/>
                  </w14:solidFill>
                </w14:textFill>
              </w:rPr>
              <w:t>5</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个断面水质进行了监测，对</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宜春市</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范围内其他中心监测的</w:t>
            </w:r>
            <w:r>
              <w:rPr>
                <w:rFonts w:hint="default" w:ascii="Times New Roman" w:hAnsi="Times New Roman" w:eastAsia="宋体" w:cs="Times New Roman"/>
                <w:i w:val="0"/>
                <w:iCs w:val="0"/>
                <w:caps w:val="0"/>
                <w:color w:val="000000" w:themeColor="text1"/>
                <w:spacing w:val="0"/>
                <w:sz w:val="24"/>
                <w:szCs w:val="24"/>
                <w:shd w:val="clear" w:fill="FFFFFF"/>
                <w14:textFill>
                  <w14:solidFill>
                    <w14:schemeClr w14:val="tx1"/>
                  </w14:solidFill>
                </w14:textFill>
              </w:rPr>
              <w:t>15</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个断面水质数据进行了收集，按照《</w:t>
            </w:r>
            <w:r>
              <w:rPr>
                <w:rFonts w:hint="default" w:ascii="Times New Roman" w:hAnsi="Times New Roman" w:eastAsia="宋体" w:cs="Times New Roman"/>
                <w:i w:val="0"/>
                <w:iCs w:val="0"/>
                <w:caps w:val="0"/>
                <w:color w:val="000000" w:themeColor="text1"/>
                <w:spacing w:val="0"/>
                <w:sz w:val="24"/>
                <w:szCs w:val="24"/>
                <w:shd w:val="clear" w:fill="FFFFFF"/>
                <w14:textFill>
                  <w14:solidFill>
                    <w14:schemeClr w14:val="tx1"/>
                  </w14:solidFill>
                </w14:textFill>
              </w:rPr>
              <w:t>2025</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年省控地表水监测及评价方案》要求，对未开展监测的</w:t>
            </w:r>
            <w:r>
              <w:rPr>
                <w:rFonts w:hint="default" w:ascii="Times New Roman" w:hAnsi="Times New Roman" w:eastAsia="宋体" w:cs="Times New Roman"/>
                <w:i w:val="0"/>
                <w:iCs w:val="0"/>
                <w:caps w:val="0"/>
                <w:color w:val="000000" w:themeColor="text1"/>
                <w:spacing w:val="0"/>
                <w:sz w:val="24"/>
                <w:szCs w:val="24"/>
                <w:shd w:val="clear" w:fill="FFFFFF"/>
                <w14:textFill>
                  <w14:solidFill>
                    <w14:schemeClr w14:val="tx1"/>
                  </w14:solidFill>
                </w14:textFill>
              </w:rPr>
              <w:t>13</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个断面，采用该断面上一个邻近月份的监测数据进行替代。监测评价指标为</w:t>
            </w:r>
            <w:r>
              <w:rPr>
                <w:rFonts w:hint="default" w:ascii="Times New Roman" w:hAnsi="Times New Roman" w:eastAsia="宋体" w:cs="Times New Roman"/>
                <w:i w:val="0"/>
                <w:iCs w:val="0"/>
                <w:caps w:val="0"/>
                <w:color w:val="000000" w:themeColor="text1"/>
                <w:spacing w:val="0"/>
                <w:sz w:val="24"/>
                <w:szCs w:val="24"/>
                <w:shd w:val="clear" w:fill="FFFFFF"/>
                <w14:textFill>
                  <w14:solidFill>
                    <w14:schemeClr w14:val="tx1"/>
                  </w14:solidFill>
                </w14:textFill>
              </w:rPr>
              <w:t>pH</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、溶解氧、高锰酸盐指数、化学需氧量、五日生化需氧量、氨氮、总磷、铜、锌、氟化物、硒、砷、汞、镉、六价铬、铅、氰化物、挥发酚、石油类、阴离子表面活性剂、硫化物共</w:t>
            </w:r>
            <w:r>
              <w:rPr>
                <w:rFonts w:hint="default" w:ascii="Times New Roman" w:hAnsi="Times New Roman" w:eastAsia="宋体" w:cs="Times New Roman"/>
                <w:i w:val="0"/>
                <w:iCs w:val="0"/>
                <w:caps w:val="0"/>
                <w:color w:val="000000" w:themeColor="text1"/>
                <w:spacing w:val="0"/>
                <w:sz w:val="24"/>
                <w:szCs w:val="24"/>
                <w:shd w:val="clear" w:fill="FFFFFF"/>
                <w14:textFill>
                  <w14:solidFill>
                    <w14:schemeClr w14:val="tx1"/>
                  </w14:solidFill>
                </w14:textFill>
              </w:rPr>
              <w:t>21</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项</w:t>
            </w: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。监测评价标准为《地表水环境质量标准》</w:t>
            </w:r>
            <w:r>
              <w:rPr>
                <w:rFonts w:hint="eastAsia" w:ascii="宋体" w:hAnsi="宋体" w:cs="宋体"/>
                <w:i w:val="0"/>
                <w:iCs w:val="0"/>
                <w:caps w:val="0"/>
                <w:color w:val="000000" w:themeColor="text1"/>
                <w:spacing w:val="0"/>
                <w:sz w:val="24"/>
                <w:szCs w:val="24"/>
                <w:u w:val="none"/>
                <w:shd w:val="clear" w:fill="FFFFFF"/>
                <w:lang w:eastAsia="zh-CN"/>
                <w14:textFill>
                  <w14:solidFill>
                    <w14:schemeClr w14:val="tx1"/>
                  </w14:solidFill>
                </w14:textFill>
              </w:rPr>
              <w:t>（</w:t>
            </w:r>
            <w:r>
              <w:rPr>
                <w:rFonts w:hint="default" w:ascii="Times New Roman" w:hAnsi="Times New Roman" w:eastAsia="宋体" w:cs="Times New Roman"/>
                <w:i w:val="0"/>
                <w:iCs w:val="0"/>
                <w:caps w:val="0"/>
                <w:color w:val="000000" w:themeColor="text1"/>
                <w:spacing w:val="0"/>
                <w:sz w:val="24"/>
                <w:szCs w:val="24"/>
                <w:u w:val="none"/>
                <w:shd w:val="clear" w:fill="FFFFFF"/>
                <w14:textFill>
                  <w14:solidFill>
                    <w14:schemeClr w14:val="tx1"/>
                  </w14:solidFill>
                </w14:textFill>
              </w:rPr>
              <w:t>GB3838-2002</w:t>
            </w:r>
            <w:r>
              <w:rPr>
                <w:rFonts w:hint="eastAsia" w:cs="Times New Roman"/>
                <w:i w:val="0"/>
                <w:iCs w:val="0"/>
                <w:caps w:val="0"/>
                <w:color w:val="000000" w:themeColor="text1"/>
                <w:spacing w:val="0"/>
                <w:sz w:val="24"/>
                <w:szCs w:val="24"/>
                <w:u w:val="none"/>
                <w:shd w:val="clear" w:fill="FFFFFF"/>
                <w:lang w:eastAsia="zh-CN"/>
                <w14:textFill>
                  <w14:solidFill>
                    <w14:schemeClr w14:val="tx1"/>
                  </w14:solidFill>
                </w14:textFill>
              </w:rPr>
              <w:t>）</w:t>
            </w:r>
            <w:r>
              <w:rPr>
                <w:color w:val="000000" w:themeColor="text1"/>
                <w14:textFill>
                  <w14:solidFill>
                    <w14:schemeClr w14:val="tx1"/>
                  </w14:solidFill>
                </w14:textFill>
              </w:rPr>
              <w:t>。</w:t>
            </w:r>
          </w:p>
          <w:p w14:paraId="55045D34">
            <w:pPr>
              <w:ind w:firstLine="480"/>
              <w:rPr>
                <w:color w:val="auto"/>
              </w:rPr>
            </w:pPr>
            <w:r>
              <w:rPr>
                <w:rFonts w:hint="eastAsia"/>
                <w:color w:val="auto"/>
              </w:rPr>
              <w:t>根据江西省宜春生态环境监测中心发布的检测结果公示（网址https://www.yichun.gov.cn/ycsrmzf/sthjbhdc/202510/11b611993d7849148c54c1b511a7bebb.shtml），锦江各断面能够满足《地表水环境质量标准》</w:t>
            </w:r>
            <w:r>
              <w:rPr>
                <w:rFonts w:hint="eastAsia"/>
                <w:color w:val="auto"/>
                <w:lang w:eastAsia="zh-CN"/>
              </w:rPr>
              <w:t>（</w:t>
            </w:r>
            <w:r>
              <w:rPr>
                <w:rFonts w:hint="eastAsia"/>
                <w:color w:val="auto"/>
              </w:rPr>
              <w:t>GB3838-2002)</w:t>
            </w:r>
            <w:r>
              <w:rPr>
                <w:rFonts w:hint="eastAsia"/>
                <w:color w:val="auto"/>
                <w:lang w:eastAsia="zh-CN"/>
              </w:rPr>
              <w:t>Ⅲ类</w:t>
            </w:r>
            <w:r>
              <w:rPr>
                <w:rFonts w:hint="eastAsia"/>
                <w:color w:val="auto"/>
              </w:rPr>
              <w:t>标准要求，水环境质量良好。</w:t>
            </w:r>
          </w:p>
          <w:p w14:paraId="482EFF9F">
            <w:pPr>
              <w:pStyle w:val="59"/>
              <w:numPr>
                <w:ilvl w:val="0"/>
                <w:numId w:val="0"/>
              </w:numPr>
              <w:tabs>
                <w:tab w:val="left" w:pos="0"/>
              </w:tabs>
              <w:ind w:left="0" w:leftChars="0" w:firstLine="0" w:firstLineChars="0"/>
              <w:rPr>
                <w:b/>
                <w:bCs/>
                <w:color w:val="auto"/>
              </w:rPr>
            </w:pPr>
            <w:r>
              <w:rPr>
                <w:rFonts w:hint="default" w:ascii="Times New Roman" w:hAnsi="Times New Roman" w:eastAsia="宋体" w:cs="Times New Roman"/>
                <w:b/>
                <w:bCs/>
                <w:color w:val="auto"/>
                <w:kern w:val="2"/>
                <w:sz w:val="21"/>
                <w:szCs w:val="21"/>
                <w:lang w:val="en-US" w:eastAsia="zh-CN" w:bidi="ar-SA"/>
              </w:rPr>
              <w:t xml:space="preserve">表3-1 </w:t>
            </w:r>
            <w:r>
              <w:rPr>
                <w:b/>
                <w:bCs/>
                <w:color w:val="auto"/>
              </w:rPr>
              <w:t>地表水现状监测结果</w:t>
            </w:r>
          </w:p>
          <w:tbl>
            <w:tblPr>
              <w:tblStyle w:val="41"/>
              <w:tblW w:w="498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703"/>
              <w:gridCol w:w="1346"/>
              <w:gridCol w:w="1341"/>
              <w:gridCol w:w="1328"/>
              <w:gridCol w:w="1168"/>
              <w:gridCol w:w="1212"/>
              <w:gridCol w:w="1289"/>
            </w:tblGrid>
            <w:tr w14:paraId="57BAB75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382" w:hRule="atLeast"/>
                <w:jc w:val="center"/>
              </w:trPr>
              <w:tc>
                <w:tcPr>
                  <w:tcW w:w="419" w:type="pct"/>
                  <w:tcBorders>
                    <w:tl2br w:val="nil"/>
                    <w:tr2bl w:val="nil"/>
                  </w:tcBorders>
                  <w:vAlign w:val="center"/>
                </w:tcPr>
                <w:p w14:paraId="453A8CA2">
                  <w:pPr>
                    <w:pStyle w:val="56"/>
                    <w:bidi w:val="0"/>
                    <w:rPr>
                      <w:color w:val="auto"/>
                      <w:szCs w:val="21"/>
                    </w:rPr>
                  </w:pPr>
                  <w:r>
                    <w:t>序号</w:t>
                  </w:r>
                </w:p>
              </w:tc>
              <w:tc>
                <w:tcPr>
                  <w:tcW w:w="802" w:type="pct"/>
                  <w:tcBorders>
                    <w:tl2br w:val="nil"/>
                    <w:tr2bl w:val="nil"/>
                  </w:tcBorders>
                  <w:vAlign w:val="center"/>
                </w:tcPr>
                <w:p w14:paraId="7834A843">
                  <w:pPr>
                    <w:pStyle w:val="56"/>
                    <w:bidi w:val="0"/>
                    <w:rPr>
                      <w:color w:val="auto"/>
                      <w:szCs w:val="21"/>
                    </w:rPr>
                  </w:pPr>
                  <w:r>
                    <w:t>河流名称</w:t>
                  </w:r>
                </w:p>
              </w:tc>
              <w:tc>
                <w:tcPr>
                  <w:tcW w:w="799" w:type="pct"/>
                  <w:tcBorders>
                    <w:tl2br w:val="nil"/>
                    <w:tr2bl w:val="nil"/>
                  </w:tcBorders>
                  <w:vAlign w:val="center"/>
                </w:tcPr>
                <w:p w14:paraId="37B3380F">
                  <w:pPr>
                    <w:pStyle w:val="56"/>
                    <w:bidi w:val="0"/>
                    <w:rPr>
                      <w:color w:val="auto"/>
                      <w:szCs w:val="21"/>
                    </w:rPr>
                  </w:pPr>
                  <w:r>
                    <w:t>断面名称</w:t>
                  </w:r>
                </w:p>
              </w:tc>
              <w:tc>
                <w:tcPr>
                  <w:tcW w:w="791" w:type="pct"/>
                  <w:tcBorders>
                    <w:tl2br w:val="nil"/>
                    <w:tr2bl w:val="nil"/>
                  </w:tcBorders>
                  <w:vAlign w:val="center"/>
                </w:tcPr>
                <w:p w14:paraId="5E5B98F4">
                  <w:pPr>
                    <w:pStyle w:val="56"/>
                    <w:bidi w:val="0"/>
                    <w:rPr>
                      <w:color w:val="auto"/>
                      <w:szCs w:val="21"/>
                    </w:rPr>
                  </w:pPr>
                  <w:r>
                    <w:rPr>
                      <w:rFonts w:hint="eastAsia"/>
                    </w:rPr>
                    <w:t>断面属性</w:t>
                  </w:r>
                </w:p>
              </w:tc>
              <w:tc>
                <w:tcPr>
                  <w:tcW w:w="696" w:type="pct"/>
                  <w:tcBorders>
                    <w:tl2br w:val="nil"/>
                    <w:tr2bl w:val="nil"/>
                  </w:tcBorders>
                  <w:vAlign w:val="center"/>
                </w:tcPr>
                <w:p w14:paraId="06440EA8">
                  <w:pPr>
                    <w:pStyle w:val="56"/>
                    <w:bidi w:val="0"/>
                    <w:rPr>
                      <w:color w:val="auto"/>
                      <w:szCs w:val="21"/>
                    </w:rPr>
                  </w:pPr>
                  <w:r>
                    <w:t>执行类别</w:t>
                  </w:r>
                </w:p>
              </w:tc>
              <w:tc>
                <w:tcPr>
                  <w:tcW w:w="722" w:type="pct"/>
                  <w:tcBorders>
                    <w:tl2br w:val="nil"/>
                    <w:tr2bl w:val="nil"/>
                  </w:tcBorders>
                  <w:vAlign w:val="center"/>
                </w:tcPr>
                <w:p w14:paraId="3D8A0DCC">
                  <w:pPr>
                    <w:pStyle w:val="56"/>
                    <w:bidi w:val="0"/>
                    <w:rPr>
                      <w:color w:val="auto"/>
                      <w:szCs w:val="21"/>
                    </w:rPr>
                  </w:pPr>
                  <w:r>
                    <w:t>水质类别</w:t>
                  </w:r>
                </w:p>
              </w:tc>
              <w:tc>
                <w:tcPr>
                  <w:tcW w:w="768" w:type="pct"/>
                  <w:tcBorders>
                    <w:tl2br w:val="nil"/>
                    <w:tr2bl w:val="nil"/>
                  </w:tcBorders>
                  <w:vAlign w:val="center"/>
                </w:tcPr>
                <w:p w14:paraId="1590FC6F">
                  <w:pPr>
                    <w:pStyle w:val="56"/>
                    <w:bidi w:val="0"/>
                    <w:rPr>
                      <w:color w:val="auto"/>
                      <w:szCs w:val="21"/>
                    </w:rPr>
                  </w:pPr>
                  <w:r>
                    <w:t>超标因子</w:t>
                  </w:r>
                </w:p>
              </w:tc>
            </w:tr>
            <w:tr w14:paraId="1D4DC93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57" w:hRule="atLeast"/>
                <w:jc w:val="center"/>
              </w:trPr>
              <w:tc>
                <w:tcPr>
                  <w:tcW w:w="419" w:type="pct"/>
                  <w:tcBorders>
                    <w:tl2br w:val="nil"/>
                    <w:tr2bl w:val="nil"/>
                  </w:tcBorders>
                  <w:vAlign w:val="center"/>
                </w:tcPr>
                <w:p w14:paraId="6561FD63">
                  <w:pPr>
                    <w:pStyle w:val="56"/>
                    <w:bidi w:val="0"/>
                    <w:rPr>
                      <w:color w:val="auto"/>
                      <w:szCs w:val="21"/>
                    </w:rPr>
                  </w:pPr>
                  <w:r>
                    <w:rPr>
                      <w:rFonts w:hint="eastAsia"/>
                    </w:rPr>
                    <w:t>1</w:t>
                  </w:r>
                </w:p>
              </w:tc>
              <w:tc>
                <w:tcPr>
                  <w:tcW w:w="802" w:type="pct"/>
                  <w:tcBorders>
                    <w:tl2br w:val="nil"/>
                    <w:tr2bl w:val="nil"/>
                  </w:tcBorders>
                  <w:vAlign w:val="center"/>
                </w:tcPr>
                <w:p w14:paraId="46F41A32">
                  <w:pPr>
                    <w:pStyle w:val="56"/>
                    <w:bidi w:val="0"/>
                    <w:rPr>
                      <w:color w:val="auto"/>
                      <w:szCs w:val="21"/>
                    </w:rPr>
                  </w:pPr>
                  <w:r>
                    <w:rPr>
                      <w:rFonts w:hint="eastAsia"/>
                    </w:rPr>
                    <w:t>锦江</w:t>
                  </w:r>
                </w:p>
              </w:tc>
              <w:tc>
                <w:tcPr>
                  <w:tcW w:w="799" w:type="pct"/>
                  <w:tcBorders>
                    <w:tl2br w:val="nil"/>
                    <w:tr2bl w:val="nil"/>
                  </w:tcBorders>
                  <w:vAlign w:val="center"/>
                </w:tcPr>
                <w:p w14:paraId="40A2287B">
                  <w:pPr>
                    <w:pStyle w:val="56"/>
                    <w:bidi w:val="0"/>
                    <w:rPr>
                      <w:color w:val="auto"/>
                      <w:szCs w:val="21"/>
                    </w:rPr>
                  </w:pPr>
                  <w:r>
                    <w:rPr>
                      <w:rFonts w:hint="eastAsia"/>
                    </w:rPr>
                    <w:t>锦江江口</w:t>
                  </w:r>
                </w:p>
              </w:tc>
              <w:tc>
                <w:tcPr>
                  <w:tcW w:w="791" w:type="pct"/>
                  <w:tcBorders>
                    <w:tl2br w:val="nil"/>
                    <w:tr2bl w:val="nil"/>
                  </w:tcBorders>
                  <w:vAlign w:val="center"/>
                </w:tcPr>
                <w:p w14:paraId="0B20EF95">
                  <w:pPr>
                    <w:pStyle w:val="56"/>
                    <w:bidi w:val="0"/>
                    <w:rPr>
                      <w:color w:val="auto"/>
                      <w:szCs w:val="21"/>
                    </w:rPr>
                  </w:pPr>
                  <w:r>
                    <w:rPr>
                      <w:rFonts w:hint="eastAsia"/>
                    </w:rPr>
                    <w:t>省考、省控</w:t>
                  </w:r>
                </w:p>
              </w:tc>
              <w:tc>
                <w:tcPr>
                  <w:tcW w:w="696" w:type="pct"/>
                  <w:tcBorders>
                    <w:tl2br w:val="nil"/>
                    <w:tr2bl w:val="nil"/>
                  </w:tcBorders>
                  <w:vAlign w:val="center"/>
                </w:tcPr>
                <w:p w14:paraId="0A8077E7">
                  <w:pPr>
                    <w:pStyle w:val="56"/>
                    <w:bidi w:val="0"/>
                    <w:rPr>
                      <w:color w:val="auto"/>
                      <w:szCs w:val="21"/>
                    </w:rPr>
                  </w:pPr>
                  <w:r>
                    <w:t>Ⅲ</w:t>
                  </w:r>
                </w:p>
              </w:tc>
              <w:tc>
                <w:tcPr>
                  <w:tcW w:w="722" w:type="pct"/>
                  <w:tcBorders>
                    <w:tl2br w:val="nil"/>
                    <w:tr2bl w:val="nil"/>
                  </w:tcBorders>
                  <w:vAlign w:val="center"/>
                </w:tcPr>
                <w:p w14:paraId="5CBCC409">
                  <w:pPr>
                    <w:pStyle w:val="56"/>
                    <w:bidi w:val="0"/>
                    <w:rPr>
                      <w:rFonts w:hint="default" w:eastAsia="宋体"/>
                      <w:color w:val="auto"/>
                      <w:szCs w:val="21"/>
                      <w:lang w:val="en-US" w:eastAsia="zh-CN"/>
                    </w:rPr>
                  </w:pPr>
                  <w:r>
                    <w:rPr>
                      <w:rFonts w:hint="eastAsia"/>
                      <w:color w:val="auto"/>
                      <w:szCs w:val="21"/>
                      <w:lang w:val="en-US" w:eastAsia="zh-CN"/>
                    </w:rPr>
                    <w:t>II</w:t>
                  </w:r>
                </w:p>
              </w:tc>
              <w:tc>
                <w:tcPr>
                  <w:tcW w:w="768" w:type="pct"/>
                  <w:tcBorders>
                    <w:tl2br w:val="nil"/>
                    <w:tr2bl w:val="nil"/>
                  </w:tcBorders>
                  <w:vAlign w:val="center"/>
                </w:tcPr>
                <w:p w14:paraId="1C5FB4BB">
                  <w:pPr>
                    <w:pStyle w:val="56"/>
                    <w:bidi w:val="0"/>
                    <w:rPr>
                      <w:color w:val="auto"/>
                      <w:szCs w:val="21"/>
                    </w:rPr>
                  </w:pPr>
                  <w:r>
                    <w:rPr>
                      <w:rFonts w:hint="eastAsia"/>
                    </w:rPr>
                    <w:t>无</w:t>
                  </w:r>
                </w:p>
              </w:tc>
            </w:tr>
          </w:tbl>
          <w:p w14:paraId="6224FC9C">
            <w:pPr>
              <w:ind w:firstLine="480"/>
              <w:rPr>
                <w:color w:val="auto"/>
              </w:rPr>
            </w:pPr>
            <w:r>
              <w:rPr>
                <w:color w:val="auto"/>
              </w:rPr>
              <w:t>由表</w:t>
            </w:r>
            <w:r>
              <w:rPr>
                <w:rFonts w:hint="eastAsia"/>
                <w:color w:val="auto"/>
                <w:lang w:val="en-US" w:eastAsia="zh-CN"/>
              </w:rPr>
              <w:t>3-1</w:t>
            </w:r>
            <w:r>
              <w:rPr>
                <w:color w:val="auto"/>
              </w:rPr>
              <w:t>可见，</w:t>
            </w:r>
            <w:r>
              <w:rPr>
                <w:rFonts w:hint="eastAsia"/>
                <w:color w:val="auto"/>
              </w:rPr>
              <w:t>本项目附近地表水</w:t>
            </w:r>
            <w:r>
              <w:rPr>
                <w:color w:val="auto"/>
              </w:rPr>
              <w:t>各监测断面上各项水质因子现状监测值均可达到《地表水环境质量标准》（GB3838-2002）Ⅲ类标准要求</w:t>
            </w:r>
            <w:r>
              <w:rPr>
                <w:rFonts w:hint="eastAsia"/>
                <w:color w:val="auto"/>
              </w:rPr>
              <w:t>。</w:t>
            </w:r>
          </w:p>
          <w:p w14:paraId="6C88F1B5">
            <w:pPr>
              <w:ind w:firstLine="482"/>
              <w:rPr>
                <w:b/>
              </w:rPr>
            </w:pPr>
            <w:r>
              <w:rPr>
                <w:b/>
              </w:rPr>
              <w:t>2、大气环境</w:t>
            </w:r>
            <w:r>
              <w:rPr>
                <w:b/>
                <w:bCs/>
              </w:rPr>
              <w:t>现状</w:t>
            </w:r>
          </w:p>
          <w:p w14:paraId="636F85C6">
            <w:pPr>
              <w:pStyle w:val="149"/>
              <w:ind w:firstLine="480"/>
              <w:jc w:val="both"/>
            </w:pPr>
            <w:r>
              <w:rPr>
                <w:rFonts w:hint="eastAsia"/>
              </w:rPr>
              <w:t>本项目常规因子引用江西省</w:t>
            </w:r>
            <w:r>
              <w:rPr>
                <w:rFonts w:hint="eastAsia"/>
                <w:lang w:eastAsia="zh-CN"/>
              </w:rPr>
              <w:t>生态环境厅</w:t>
            </w:r>
            <w:r>
              <w:rPr>
                <w:rFonts w:hint="eastAsia"/>
              </w:rPr>
              <w:t>网站发布的202</w:t>
            </w:r>
            <w:r>
              <w:rPr>
                <w:rFonts w:hint="eastAsia"/>
                <w:lang w:val="en-US" w:eastAsia="zh-CN"/>
              </w:rPr>
              <w:t>4</w:t>
            </w:r>
            <w:r>
              <w:rPr>
                <w:rFonts w:hint="eastAsia"/>
              </w:rPr>
              <w:t>年江西省环境状况公报中宜春市高安市环境质量现状数据，监测结果见表3-2。</w:t>
            </w:r>
          </w:p>
          <w:p w14:paraId="5ACC12B9">
            <w:pPr>
              <w:pStyle w:val="59"/>
              <w:numPr>
                <w:ilvl w:val="0"/>
                <w:numId w:val="0"/>
              </w:numPr>
              <w:tabs>
                <w:tab w:val="left" w:pos="0"/>
              </w:tabs>
              <w:ind w:left="0" w:leftChars="0" w:firstLine="0" w:firstLineChars="0"/>
              <w:rPr>
                <w:b/>
                <w:bCs/>
              </w:rPr>
            </w:pPr>
            <w:r>
              <w:rPr>
                <w:rFonts w:hint="default" w:ascii="Times New Roman" w:hAnsi="Times New Roman" w:eastAsia="宋体" w:cs="Times New Roman"/>
                <w:b/>
                <w:bCs/>
                <w:kern w:val="2"/>
                <w:sz w:val="21"/>
                <w:szCs w:val="21"/>
                <w:lang w:val="en-US" w:eastAsia="zh-CN" w:bidi="ar-SA"/>
              </w:rPr>
              <w:t xml:space="preserve">表3-2 </w:t>
            </w:r>
            <w:r>
              <w:rPr>
                <w:rFonts w:hint="eastAsia"/>
                <w:b/>
                <w:bCs/>
              </w:rPr>
              <w:t>项目所在区域空气质量现状评价表</w:t>
            </w:r>
          </w:p>
          <w:tbl>
            <w:tblPr>
              <w:tblStyle w:val="41"/>
              <w:tblW w:w="4998"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167"/>
              <w:gridCol w:w="1891"/>
              <w:gridCol w:w="1243"/>
              <w:gridCol w:w="1243"/>
              <w:gridCol w:w="1432"/>
              <w:gridCol w:w="1442"/>
            </w:tblGrid>
            <w:tr w14:paraId="0597081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117" w:type="dxa"/>
                  <w:tcBorders>
                    <w:tl2br w:val="nil"/>
                    <w:tr2bl w:val="nil"/>
                  </w:tcBorders>
                  <w:vAlign w:val="center"/>
                </w:tcPr>
                <w:p w14:paraId="622861CE">
                  <w:pPr>
                    <w:pStyle w:val="56"/>
                    <w:bidi w:val="0"/>
                    <w:rPr>
                      <w:szCs w:val="21"/>
                    </w:rPr>
                  </w:pPr>
                  <w:r>
                    <w:rPr>
                      <w:rFonts w:hint="eastAsia"/>
                    </w:rPr>
                    <w:t>污染物</w:t>
                  </w:r>
                </w:p>
              </w:tc>
              <w:tc>
                <w:tcPr>
                  <w:tcW w:w="1809" w:type="dxa"/>
                  <w:tcBorders>
                    <w:tl2br w:val="nil"/>
                    <w:tr2bl w:val="nil"/>
                  </w:tcBorders>
                  <w:vAlign w:val="center"/>
                </w:tcPr>
                <w:p w14:paraId="29CF0913">
                  <w:pPr>
                    <w:pStyle w:val="56"/>
                    <w:bidi w:val="0"/>
                    <w:rPr>
                      <w:szCs w:val="21"/>
                    </w:rPr>
                  </w:pPr>
                  <w:r>
                    <w:rPr>
                      <w:rFonts w:hint="eastAsia"/>
                      <w:lang w:eastAsia="zh-CN"/>
                    </w:rPr>
                    <w:t>年度</w:t>
                  </w:r>
                  <w:r>
                    <w:rPr>
                      <w:rFonts w:hint="eastAsia"/>
                    </w:rPr>
                    <w:t>评价指标</w:t>
                  </w:r>
                </w:p>
              </w:tc>
              <w:tc>
                <w:tcPr>
                  <w:tcW w:w="1164" w:type="dxa"/>
                  <w:tcBorders>
                    <w:tl2br w:val="nil"/>
                    <w:tr2bl w:val="nil"/>
                  </w:tcBorders>
                  <w:vAlign w:val="center"/>
                </w:tcPr>
                <w:p w14:paraId="37961D93">
                  <w:pPr>
                    <w:pStyle w:val="56"/>
                    <w:bidi w:val="0"/>
                    <w:rPr>
                      <w:szCs w:val="21"/>
                    </w:rPr>
                  </w:pPr>
                  <w:r>
                    <w:rPr>
                      <w:rFonts w:hint="eastAsia"/>
                    </w:rPr>
                    <w:t>现状浓度</w:t>
                  </w:r>
                  <w:r>
                    <w:rPr>
                      <w:rFonts w:hint="eastAsia"/>
                      <w:lang w:eastAsia="zh-CN"/>
                    </w:rPr>
                    <w:t>（</w:t>
                  </w:r>
                  <w:r>
                    <w:rPr>
                      <w:rFonts w:hint="eastAsia"/>
                    </w:rPr>
                    <w:t>µg/m³</w:t>
                  </w:r>
                  <w:r>
                    <w:rPr>
                      <w:rFonts w:hint="eastAsia"/>
                      <w:lang w:eastAsia="zh-CN"/>
                    </w:rPr>
                    <w:t>）</w:t>
                  </w:r>
                </w:p>
              </w:tc>
              <w:tc>
                <w:tcPr>
                  <w:tcW w:w="1131" w:type="dxa"/>
                  <w:tcBorders>
                    <w:tl2br w:val="nil"/>
                    <w:tr2bl w:val="nil"/>
                  </w:tcBorders>
                  <w:vAlign w:val="center"/>
                </w:tcPr>
                <w:p w14:paraId="5114EE5D">
                  <w:pPr>
                    <w:pStyle w:val="56"/>
                    <w:bidi w:val="0"/>
                    <w:rPr>
                      <w:szCs w:val="21"/>
                    </w:rPr>
                  </w:pPr>
                  <w:r>
                    <w:rPr>
                      <w:rFonts w:hint="eastAsia"/>
                    </w:rPr>
                    <w:t>标准值</w:t>
                  </w:r>
                  <w:r>
                    <w:rPr>
                      <w:rFonts w:hint="eastAsia"/>
                      <w:lang w:eastAsia="zh-CN"/>
                    </w:rPr>
                    <w:t>（</w:t>
                  </w:r>
                  <w:r>
                    <w:rPr>
                      <w:rFonts w:hint="eastAsia"/>
                    </w:rPr>
                    <w:t>µg/m³</w:t>
                  </w:r>
                  <w:r>
                    <w:rPr>
                      <w:rFonts w:hint="eastAsia"/>
                      <w:lang w:eastAsia="zh-CN"/>
                    </w:rPr>
                    <w:t>）</w:t>
                  </w:r>
                </w:p>
              </w:tc>
              <w:tc>
                <w:tcPr>
                  <w:tcW w:w="1370" w:type="dxa"/>
                  <w:tcBorders>
                    <w:tl2br w:val="nil"/>
                    <w:tr2bl w:val="nil"/>
                  </w:tcBorders>
                  <w:vAlign w:val="center"/>
                </w:tcPr>
                <w:p w14:paraId="19810E46">
                  <w:pPr>
                    <w:pStyle w:val="56"/>
                    <w:bidi w:val="0"/>
                    <w:rPr>
                      <w:szCs w:val="21"/>
                    </w:rPr>
                  </w:pPr>
                  <w:r>
                    <w:rPr>
                      <w:rFonts w:hint="eastAsia"/>
                    </w:rPr>
                    <w:t>占标率%</w:t>
                  </w:r>
                </w:p>
              </w:tc>
              <w:tc>
                <w:tcPr>
                  <w:tcW w:w="1380" w:type="dxa"/>
                  <w:tcBorders>
                    <w:tl2br w:val="nil"/>
                    <w:tr2bl w:val="nil"/>
                  </w:tcBorders>
                  <w:vAlign w:val="center"/>
                </w:tcPr>
                <w:p w14:paraId="4BBA1D2A">
                  <w:pPr>
                    <w:pStyle w:val="56"/>
                    <w:bidi w:val="0"/>
                    <w:rPr>
                      <w:szCs w:val="21"/>
                    </w:rPr>
                  </w:pPr>
                  <w:r>
                    <w:rPr>
                      <w:rFonts w:hint="eastAsia"/>
                    </w:rPr>
                    <w:t>达标情况</w:t>
                  </w:r>
                </w:p>
              </w:tc>
            </w:tr>
            <w:tr w14:paraId="15FAD6F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117" w:type="dxa"/>
                  <w:tcBorders>
                    <w:tl2br w:val="nil"/>
                    <w:tr2bl w:val="nil"/>
                  </w:tcBorders>
                  <w:vAlign w:val="center"/>
                </w:tcPr>
                <w:p w14:paraId="3F9137A1">
                  <w:pPr>
                    <w:pStyle w:val="56"/>
                    <w:bidi w:val="0"/>
                    <w:rPr>
                      <w:color w:val="auto"/>
                      <w:szCs w:val="21"/>
                    </w:rPr>
                  </w:pPr>
                  <w:r>
                    <w:rPr>
                      <w:rFonts w:hint="default"/>
                      <w:lang w:val="en-US" w:eastAsia="zh-CN"/>
                    </w:rPr>
                    <w:t>SO</w:t>
                  </w:r>
                  <w:r>
                    <w:rPr>
                      <w:rFonts w:hint="default"/>
                      <w:vertAlign w:val="subscript"/>
                      <w:lang w:val="en-US" w:eastAsia="zh-CN"/>
                    </w:rPr>
                    <w:t>2</w:t>
                  </w:r>
                </w:p>
              </w:tc>
              <w:tc>
                <w:tcPr>
                  <w:tcW w:w="1809" w:type="dxa"/>
                  <w:tcBorders>
                    <w:tl2br w:val="nil"/>
                    <w:tr2bl w:val="nil"/>
                  </w:tcBorders>
                  <w:vAlign w:val="center"/>
                </w:tcPr>
                <w:p w14:paraId="385929E0">
                  <w:pPr>
                    <w:pStyle w:val="56"/>
                    <w:bidi w:val="0"/>
                    <w:rPr>
                      <w:color w:val="auto"/>
                      <w:szCs w:val="21"/>
                    </w:rPr>
                  </w:pPr>
                  <w:r>
                    <w:rPr>
                      <w:rFonts w:hint="eastAsia"/>
                    </w:rPr>
                    <w:t>年平均质量浓度</w:t>
                  </w:r>
                </w:p>
              </w:tc>
              <w:tc>
                <w:tcPr>
                  <w:tcW w:w="1164" w:type="dxa"/>
                  <w:tcBorders>
                    <w:tl2br w:val="nil"/>
                    <w:tr2bl w:val="nil"/>
                  </w:tcBorders>
                  <w:vAlign w:val="center"/>
                </w:tcPr>
                <w:p w14:paraId="3217D00A">
                  <w:pPr>
                    <w:pStyle w:val="56"/>
                    <w:bidi w:val="0"/>
                    <w:rPr>
                      <w:rFonts w:hint="default" w:eastAsia="宋体"/>
                      <w:color w:val="auto"/>
                      <w:szCs w:val="21"/>
                      <w:lang w:val="en-US" w:eastAsia="zh-CN"/>
                    </w:rPr>
                  </w:pPr>
                  <w:r>
                    <w:rPr>
                      <w:rFonts w:hint="eastAsia"/>
                      <w:lang w:val="en-US" w:eastAsia="zh-CN"/>
                    </w:rPr>
                    <w:t>11</w:t>
                  </w:r>
                </w:p>
              </w:tc>
              <w:tc>
                <w:tcPr>
                  <w:tcW w:w="1131" w:type="dxa"/>
                  <w:tcBorders>
                    <w:tl2br w:val="nil"/>
                    <w:tr2bl w:val="nil"/>
                  </w:tcBorders>
                  <w:vAlign w:val="center"/>
                </w:tcPr>
                <w:p w14:paraId="02E1030C">
                  <w:pPr>
                    <w:pStyle w:val="56"/>
                    <w:bidi w:val="0"/>
                    <w:rPr>
                      <w:color w:val="auto"/>
                      <w:szCs w:val="21"/>
                    </w:rPr>
                  </w:pPr>
                  <w:r>
                    <w:rPr>
                      <w:rFonts w:hint="eastAsia"/>
                    </w:rPr>
                    <w:t>60</w:t>
                  </w:r>
                </w:p>
              </w:tc>
              <w:tc>
                <w:tcPr>
                  <w:tcW w:w="1370" w:type="dxa"/>
                  <w:tcBorders>
                    <w:tl2br w:val="nil"/>
                    <w:tr2bl w:val="nil"/>
                  </w:tcBorders>
                  <w:vAlign w:val="bottom"/>
                </w:tcPr>
                <w:p w14:paraId="72E00AB3">
                  <w:pPr>
                    <w:pStyle w:val="56"/>
                    <w:bidi w:val="0"/>
                    <w:rPr>
                      <w:rFonts w:ascii="Times New Roman" w:hAnsi="Times New Roman" w:eastAsia="宋体" w:cs="Times New Roman"/>
                      <w:color w:val="auto"/>
                      <w:szCs w:val="21"/>
                    </w:rPr>
                  </w:pPr>
                  <w:r>
                    <w:rPr>
                      <w:rFonts w:hint="default"/>
                      <w:lang w:val="en-US" w:eastAsia="zh-CN"/>
                    </w:rPr>
                    <w:t>18%</w:t>
                  </w:r>
                </w:p>
              </w:tc>
              <w:tc>
                <w:tcPr>
                  <w:tcW w:w="1380" w:type="dxa"/>
                  <w:tcBorders>
                    <w:tl2br w:val="nil"/>
                    <w:tr2bl w:val="nil"/>
                  </w:tcBorders>
                  <w:vAlign w:val="center"/>
                </w:tcPr>
                <w:p w14:paraId="65FDF085">
                  <w:pPr>
                    <w:pStyle w:val="56"/>
                    <w:bidi w:val="0"/>
                    <w:rPr>
                      <w:szCs w:val="21"/>
                    </w:rPr>
                  </w:pPr>
                  <w:r>
                    <w:rPr>
                      <w:rFonts w:hint="eastAsia"/>
                    </w:rPr>
                    <w:t>达标</w:t>
                  </w:r>
                </w:p>
              </w:tc>
            </w:tr>
            <w:tr w14:paraId="13BCD2C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117" w:type="dxa"/>
                  <w:tcBorders>
                    <w:tl2br w:val="nil"/>
                    <w:tr2bl w:val="nil"/>
                  </w:tcBorders>
                  <w:vAlign w:val="center"/>
                </w:tcPr>
                <w:p w14:paraId="404FB684">
                  <w:pPr>
                    <w:pStyle w:val="56"/>
                    <w:bidi w:val="0"/>
                    <w:rPr>
                      <w:color w:val="auto"/>
                      <w:szCs w:val="21"/>
                    </w:rPr>
                  </w:pPr>
                  <w:r>
                    <w:rPr>
                      <w:rFonts w:hint="eastAsia"/>
                    </w:rPr>
                    <w:t>NO</w:t>
                  </w:r>
                  <w:r>
                    <w:rPr>
                      <w:rFonts w:hint="eastAsia"/>
                      <w:vertAlign w:val="subscript"/>
                    </w:rPr>
                    <w:t>2</w:t>
                  </w:r>
                </w:p>
              </w:tc>
              <w:tc>
                <w:tcPr>
                  <w:tcW w:w="1809" w:type="dxa"/>
                  <w:tcBorders>
                    <w:tl2br w:val="nil"/>
                    <w:tr2bl w:val="nil"/>
                  </w:tcBorders>
                  <w:vAlign w:val="center"/>
                </w:tcPr>
                <w:p w14:paraId="622A96F4">
                  <w:pPr>
                    <w:pStyle w:val="56"/>
                    <w:bidi w:val="0"/>
                    <w:rPr>
                      <w:color w:val="auto"/>
                      <w:szCs w:val="21"/>
                    </w:rPr>
                  </w:pPr>
                  <w:r>
                    <w:rPr>
                      <w:rFonts w:hint="eastAsia"/>
                    </w:rPr>
                    <w:t>年平均质量浓度</w:t>
                  </w:r>
                </w:p>
              </w:tc>
              <w:tc>
                <w:tcPr>
                  <w:tcW w:w="1164" w:type="dxa"/>
                  <w:tcBorders>
                    <w:tl2br w:val="nil"/>
                    <w:tr2bl w:val="nil"/>
                  </w:tcBorders>
                  <w:vAlign w:val="center"/>
                </w:tcPr>
                <w:p w14:paraId="0EC1442F">
                  <w:pPr>
                    <w:pStyle w:val="56"/>
                    <w:bidi w:val="0"/>
                    <w:rPr>
                      <w:rFonts w:hint="default" w:eastAsia="宋体"/>
                      <w:color w:val="auto"/>
                      <w:szCs w:val="21"/>
                      <w:lang w:val="en-US" w:eastAsia="zh-CN"/>
                    </w:rPr>
                  </w:pPr>
                  <w:r>
                    <w:rPr>
                      <w:rFonts w:hint="eastAsia"/>
                      <w:lang w:val="en-US" w:eastAsia="zh-CN"/>
                    </w:rPr>
                    <w:t>20</w:t>
                  </w:r>
                </w:p>
              </w:tc>
              <w:tc>
                <w:tcPr>
                  <w:tcW w:w="1131" w:type="dxa"/>
                  <w:tcBorders>
                    <w:tl2br w:val="nil"/>
                    <w:tr2bl w:val="nil"/>
                  </w:tcBorders>
                  <w:vAlign w:val="center"/>
                </w:tcPr>
                <w:p w14:paraId="3F51F23B">
                  <w:pPr>
                    <w:pStyle w:val="56"/>
                    <w:bidi w:val="0"/>
                    <w:rPr>
                      <w:color w:val="auto"/>
                      <w:szCs w:val="21"/>
                    </w:rPr>
                  </w:pPr>
                  <w:r>
                    <w:rPr>
                      <w:rFonts w:hint="eastAsia"/>
                    </w:rPr>
                    <w:t>40</w:t>
                  </w:r>
                </w:p>
              </w:tc>
              <w:tc>
                <w:tcPr>
                  <w:tcW w:w="1370" w:type="dxa"/>
                  <w:tcBorders>
                    <w:tl2br w:val="nil"/>
                    <w:tr2bl w:val="nil"/>
                  </w:tcBorders>
                  <w:vAlign w:val="bottom"/>
                </w:tcPr>
                <w:p w14:paraId="59EAB458">
                  <w:pPr>
                    <w:pStyle w:val="56"/>
                    <w:bidi w:val="0"/>
                    <w:rPr>
                      <w:rFonts w:ascii="Times New Roman" w:hAnsi="Times New Roman" w:eastAsia="宋体" w:cs="Times New Roman"/>
                      <w:color w:val="auto"/>
                      <w:szCs w:val="21"/>
                    </w:rPr>
                  </w:pPr>
                  <w:r>
                    <w:rPr>
                      <w:rFonts w:hint="default"/>
                      <w:lang w:val="en-US" w:eastAsia="zh-CN"/>
                    </w:rPr>
                    <w:t>50%</w:t>
                  </w:r>
                </w:p>
              </w:tc>
              <w:tc>
                <w:tcPr>
                  <w:tcW w:w="1380" w:type="dxa"/>
                  <w:tcBorders>
                    <w:tl2br w:val="nil"/>
                    <w:tr2bl w:val="nil"/>
                  </w:tcBorders>
                  <w:vAlign w:val="center"/>
                </w:tcPr>
                <w:p w14:paraId="5028E3EB">
                  <w:pPr>
                    <w:pStyle w:val="56"/>
                    <w:bidi w:val="0"/>
                    <w:rPr>
                      <w:szCs w:val="21"/>
                    </w:rPr>
                  </w:pPr>
                  <w:r>
                    <w:rPr>
                      <w:rFonts w:hint="eastAsia"/>
                    </w:rPr>
                    <w:t>达标</w:t>
                  </w:r>
                </w:p>
              </w:tc>
            </w:tr>
            <w:tr w14:paraId="54DEC72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117" w:type="dxa"/>
                  <w:tcBorders>
                    <w:tl2br w:val="nil"/>
                    <w:tr2bl w:val="nil"/>
                  </w:tcBorders>
                  <w:vAlign w:val="center"/>
                </w:tcPr>
                <w:p w14:paraId="3D9B20B6">
                  <w:pPr>
                    <w:pStyle w:val="56"/>
                    <w:bidi w:val="0"/>
                    <w:rPr>
                      <w:color w:val="auto"/>
                      <w:szCs w:val="21"/>
                    </w:rPr>
                  </w:pPr>
                  <w:r>
                    <w:rPr>
                      <w:rFonts w:hint="eastAsia"/>
                    </w:rPr>
                    <w:t>PM</w:t>
                  </w:r>
                  <w:r>
                    <w:rPr>
                      <w:rFonts w:hint="eastAsia"/>
                      <w:vertAlign w:val="subscript"/>
                    </w:rPr>
                    <w:t>2.5</w:t>
                  </w:r>
                </w:p>
              </w:tc>
              <w:tc>
                <w:tcPr>
                  <w:tcW w:w="1809" w:type="dxa"/>
                  <w:tcBorders>
                    <w:tl2br w:val="nil"/>
                    <w:tr2bl w:val="nil"/>
                  </w:tcBorders>
                  <w:vAlign w:val="center"/>
                </w:tcPr>
                <w:p w14:paraId="3729DC1E">
                  <w:pPr>
                    <w:pStyle w:val="56"/>
                    <w:bidi w:val="0"/>
                    <w:rPr>
                      <w:color w:val="auto"/>
                      <w:szCs w:val="21"/>
                    </w:rPr>
                  </w:pPr>
                  <w:r>
                    <w:rPr>
                      <w:rFonts w:hint="eastAsia"/>
                    </w:rPr>
                    <w:t>年平均质量浓度</w:t>
                  </w:r>
                </w:p>
              </w:tc>
              <w:tc>
                <w:tcPr>
                  <w:tcW w:w="1164" w:type="dxa"/>
                  <w:tcBorders>
                    <w:tl2br w:val="nil"/>
                    <w:tr2bl w:val="nil"/>
                  </w:tcBorders>
                  <w:vAlign w:val="center"/>
                </w:tcPr>
                <w:p w14:paraId="40747BD5">
                  <w:pPr>
                    <w:pStyle w:val="56"/>
                    <w:bidi w:val="0"/>
                    <w:rPr>
                      <w:rFonts w:hint="default" w:eastAsia="宋体"/>
                      <w:color w:val="auto"/>
                      <w:szCs w:val="21"/>
                      <w:lang w:val="en-US" w:eastAsia="zh-CN"/>
                    </w:rPr>
                  </w:pPr>
                  <w:r>
                    <w:rPr>
                      <w:rFonts w:hint="eastAsia"/>
                      <w:lang w:val="en-US" w:eastAsia="zh-CN"/>
                    </w:rPr>
                    <w:t>23.4</w:t>
                  </w:r>
                </w:p>
              </w:tc>
              <w:tc>
                <w:tcPr>
                  <w:tcW w:w="1131" w:type="dxa"/>
                  <w:tcBorders>
                    <w:tl2br w:val="nil"/>
                    <w:tr2bl w:val="nil"/>
                  </w:tcBorders>
                  <w:vAlign w:val="center"/>
                </w:tcPr>
                <w:p w14:paraId="4889124E">
                  <w:pPr>
                    <w:pStyle w:val="56"/>
                    <w:bidi w:val="0"/>
                    <w:rPr>
                      <w:color w:val="auto"/>
                      <w:szCs w:val="21"/>
                    </w:rPr>
                  </w:pPr>
                  <w:r>
                    <w:rPr>
                      <w:rFonts w:hint="eastAsia"/>
                    </w:rPr>
                    <w:t>35</w:t>
                  </w:r>
                </w:p>
              </w:tc>
              <w:tc>
                <w:tcPr>
                  <w:tcW w:w="1370" w:type="dxa"/>
                  <w:tcBorders>
                    <w:tl2br w:val="nil"/>
                    <w:tr2bl w:val="nil"/>
                  </w:tcBorders>
                  <w:vAlign w:val="bottom"/>
                </w:tcPr>
                <w:p w14:paraId="1671FEAB">
                  <w:pPr>
                    <w:pStyle w:val="56"/>
                    <w:bidi w:val="0"/>
                    <w:rPr>
                      <w:rFonts w:ascii="Times New Roman" w:hAnsi="Times New Roman" w:eastAsia="宋体" w:cs="Times New Roman"/>
                      <w:color w:val="auto"/>
                      <w:szCs w:val="21"/>
                    </w:rPr>
                  </w:pPr>
                  <w:r>
                    <w:rPr>
                      <w:rFonts w:hint="default"/>
                      <w:lang w:val="en-US" w:eastAsia="zh-CN"/>
                    </w:rPr>
                    <w:t>67%</w:t>
                  </w:r>
                </w:p>
              </w:tc>
              <w:tc>
                <w:tcPr>
                  <w:tcW w:w="1380" w:type="dxa"/>
                  <w:tcBorders>
                    <w:tl2br w:val="nil"/>
                    <w:tr2bl w:val="nil"/>
                  </w:tcBorders>
                  <w:vAlign w:val="center"/>
                </w:tcPr>
                <w:p w14:paraId="21D14C5B">
                  <w:pPr>
                    <w:pStyle w:val="56"/>
                    <w:bidi w:val="0"/>
                    <w:rPr>
                      <w:szCs w:val="21"/>
                    </w:rPr>
                  </w:pPr>
                  <w:r>
                    <w:rPr>
                      <w:rFonts w:hint="eastAsia"/>
                    </w:rPr>
                    <w:t>达标</w:t>
                  </w:r>
                </w:p>
              </w:tc>
            </w:tr>
            <w:tr w14:paraId="5A120E7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117" w:type="dxa"/>
                  <w:tcBorders>
                    <w:tl2br w:val="nil"/>
                    <w:tr2bl w:val="nil"/>
                  </w:tcBorders>
                  <w:vAlign w:val="center"/>
                </w:tcPr>
                <w:p w14:paraId="09F50663">
                  <w:pPr>
                    <w:pStyle w:val="56"/>
                    <w:bidi w:val="0"/>
                    <w:rPr>
                      <w:color w:val="auto"/>
                      <w:szCs w:val="21"/>
                    </w:rPr>
                  </w:pPr>
                  <w:r>
                    <w:rPr>
                      <w:rFonts w:hint="eastAsia"/>
                    </w:rPr>
                    <w:t>PM</w:t>
                  </w:r>
                  <w:r>
                    <w:rPr>
                      <w:rFonts w:hint="eastAsia"/>
                      <w:vertAlign w:val="subscript"/>
                    </w:rPr>
                    <w:t>10</w:t>
                  </w:r>
                </w:p>
              </w:tc>
              <w:tc>
                <w:tcPr>
                  <w:tcW w:w="1809" w:type="dxa"/>
                  <w:tcBorders>
                    <w:tl2br w:val="nil"/>
                    <w:tr2bl w:val="nil"/>
                  </w:tcBorders>
                  <w:vAlign w:val="center"/>
                </w:tcPr>
                <w:p w14:paraId="4F0D4311">
                  <w:pPr>
                    <w:pStyle w:val="56"/>
                    <w:bidi w:val="0"/>
                    <w:rPr>
                      <w:color w:val="auto"/>
                      <w:szCs w:val="21"/>
                    </w:rPr>
                  </w:pPr>
                  <w:r>
                    <w:rPr>
                      <w:rFonts w:hint="eastAsia"/>
                    </w:rPr>
                    <w:t>年平均质量浓度</w:t>
                  </w:r>
                </w:p>
              </w:tc>
              <w:tc>
                <w:tcPr>
                  <w:tcW w:w="1164" w:type="dxa"/>
                  <w:tcBorders>
                    <w:tl2br w:val="nil"/>
                    <w:tr2bl w:val="nil"/>
                  </w:tcBorders>
                  <w:vAlign w:val="center"/>
                </w:tcPr>
                <w:p w14:paraId="4D3DBCEE">
                  <w:pPr>
                    <w:pStyle w:val="56"/>
                    <w:bidi w:val="0"/>
                    <w:rPr>
                      <w:rFonts w:hint="default" w:eastAsia="宋体"/>
                      <w:color w:val="auto"/>
                      <w:szCs w:val="21"/>
                      <w:lang w:val="en-US" w:eastAsia="zh-CN"/>
                    </w:rPr>
                  </w:pPr>
                  <w:r>
                    <w:rPr>
                      <w:rFonts w:hint="eastAsia"/>
                      <w:lang w:val="en-US" w:eastAsia="zh-CN"/>
                    </w:rPr>
                    <w:t>38</w:t>
                  </w:r>
                </w:p>
              </w:tc>
              <w:tc>
                <w:tcPr>
                  <w:tcW w:w="1131" w:type="dxa"/>
                  <w:tcBorders>
                    <w:tl2br w:val="nil"/>
                    <w:tr2bl w:val="nil"/>
                  </w:tcBorders>
                  <w:vAlign w:val="center"/>
                </w:tcPr>
                <w:p w14:paraId="2DDC89D0">
                  <w:pPr>
                    <w:pStyle w:val="56"/>
                    <w:bidi w:val="0"/>
                    <w:rPr>
                      <w:color w:val="auto"/>
                      <w:szCs w:val="21"/>
                    </w:rPr>
                  </w:pPr>
                  <w:r>
                    <w:rPr>
                      <w:rFonts w:hint="eastAsia"/>
                    </w:rPr>
                    <w:t>70</w:t>
                  </w:r>
                </w:p>
              </w:tc>
              <w:tc>
                <w:tcPr>
                  <w:tcW w:w="1370" w:type="dxa"/>
                  <w:tcBorders>
                    <w:tl2br w:val="nil"/>
                    <w:tr2bl w:val="nil"/>
                  </w:tcBorders>
                  <w:vAlign w:val="bottom"/>
                </w:tcPr>
                <w:p w14:paraId="79AD960D">
                  <w:pPr>
                    <w:pStyle w:val="56"/>
                    <w:bidi w:val="0"/>
                    <w:rPr>
                      <w:rFonts w:ascii="Times New Roman" w:hAnsi="Times New Roman" w:eastAsia="宋体" w:cs="Times New Roman"/>
                      <w:color w:val="auto"/>
                      <w:szCs w:val="21"/>
                    </w:rPr>
                  </w:pPr>
                  <w:r>
                    <w:rPr>
                      <w:rFonts w:hint="default"/>
                      <w:lang w:val="en-US" w:eastAsia="zh-CN"/>
                    </w:rPr>
                    <w:t>54%</w:t>
                  </w:r>
                </w:p>
              </w:tc>
              <w:tc>
                <w:tcPr>
                  <w:tcW w:w="1380" w:type="dxa"/>
                  <w:tcBorders>
                    <w:tl2br w:val="nil"/>
                    <w:tr2bl w:val="nil"/>
                  </w:tcBorders>
                  <w:vAlign w:val="center"/>
                </w:tcPr>
                <w:p w14:paraId="2F9D1D4A">
                  <w:pPr>
                    <w:pStyle w:val="56"/>
                    <w:bidi w:val="0"/>
                    <w:rPr>
                      <w:szCs w:val="21"/>
                    </w:rPr>
                  </w:pPr>
                  <w:r>
                    <w:rPr>
                      <w:rFonts w:hint="eastAsia"/>
                    </w:rPr>
                    <w:t>达标</w:t>
                  </w:r>
                </w:p>
              </w:tc>
            </w:tr>
            <w:tr w14:paraId="658BA24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117" w:type="dxa"/>
                  <w:tcBorders>
                    <w:tl2br w:val="nil"/>
                    <w:tr2bl w:val="nil"/>
                  </w:tcBorders>
                  <w:vAlign w:val="center"/>
                </w:tcPr>
                <w:p w14:paraId="0518C94E">
                  <w:pPr>
                    <w:pStyle w:val="56"/>
                    <w:bidi w:val="0"/>
                    <w:rPr>
                      <w:color w:val="auto"/>
                      <w:szCs w:val="21"/>
                    </w:rPr>
                  </w:pPr>
                  <w:r>
                    <w:rPr>
                      <w:rFonts w:hint="eastAsia"/>
                    </w:rPr>
                    <w:t>CO</w:t>
                  </w:r>
                </w:p>
              </w:tc>
              <w:tc>
                <w:tcPr>
                  <w:tcW w:w="1809" w:type="dxa"/>
                  <w:tcBorders>
                    <w:tl2br w:val="nil"/>
                    <w:tr2bl w:val="nil"/>
                  </w:tcBorders>
                  <w:vAlign w:val="center"/>
                </w:tcPr>
                <w:p w14:paraId="6F1B9251">
                  <w:pPr>
                    <w:pStyle w:val="56"/>
                    <w:bidi w:val="0"/>
                    <w:rPr>
                      <w:color w:val="auto"/>
                      <w:szCs w:val="21"/>
                    </w:rPr>
                  </w:pPr>
                  <w:r>
                    <w:rPr>
                      <w:rFonts w:hint="eastAsia"/>
                    </w:rPr>
                    <w:t>年平均质量浓度</w:t>
                  </w:r>
                </w:p>
              </w:tc>
              <w:tc>
                <w:tcPr>
                  <w:tcW w:w="1164" w:type="dxa"/>
                  <w:tcBorders>
                    <w:tl2br w:val="nil"/>
                    <w:tr2bl w:val="nil"/>
                  </w:tcBorders>
                  <w:vAlign w:val="center"/>
                </w:tcPr>
                <w:p w14:paraId="09C157CE">
                  <w:pPr>
                    <w:pStyle w:val="56"/>
                    <w:bidi w:val="0"/>
                    <w:rPr>
                      <w:rFonts w:hint="default" w:eastAsia="宋体"/>
                      <w:color w:val="auto"/>
                      <w:szCs w:val="21"/>
                      <w:lang w:val="en-US" w:eastAsia="zh-CN"/>
                    </w:rPr>
                  </w:pPr>
                  <w:r>
                    <w:rPr>
                      <w:rFonts w:hint="eastAsia"/>
                      <w:lang w:val="en-US" w:eastAsia="zh-CN"/>
                    </w:rPr>
                    <w:t>900</w:t>
                  </w:r>
                </w:p>
              </w:tc>
              <w:tc>
                <w:tcPr>
                  <w:tcW w:w="1131" w:type="dxa"/>
                  <w:tcBorders>
                    <w:tl2br w:val="nil"/>
                    <w:tr2bl w:val="nil"/>
                  </w:tcBorders>
                  <w:vAlign w:val="center"/>
                </w:tcPr>
                <w:p w14:paraId="44563A46">
                  <w:pPr>
                    <w:pStyle w:val="56"/>
                    <w:bidi w:val="0"/>
                    <w:rPr>
                      <w:color w:val="auto"/>
                      <w:szCs w:val="21"/>
                    </w:rPr>
                  </w:pPr>
                  <w:r>
                    <w:rPr>
                      <w:rFonts w:hint="eastAsia"/>
                    </w:rPr>
                    <w:t>4000</w:t>
                  </w:r>
                </w:p>
              </w:tc>
              <w:tc>
                <w:tcPr>
                  <w:tcW w:w="1370" w:type="dxa"/>
                  <w:tcBorders>
                    <w:tl2br w:val="nil"/>
                    <w:tr2bl w:val="nil"/>
                  </w:tcBorders>
                  <w:vAlign w:val="bottom"/>
                </w:tcPr>
                <w:p w14:paraId="615ECD4B">
                  <w:pPr>
                    <w:pStyle w:val="56"/>
                    <w:bidi w:val="0"/>
                    <w:rPr>
                      <w:rFonts w:ascii="Times New Roman" w:hAnsi="Times New Roman" w:eastAsia="宋体" w:cs="Times New Roman"/>
                      <w:color w:val="auto"/>
                      <w:szCs w:val="21"/>
                    </w:rPr>
                  </w:pPr>
                  <w:r>
                    <w:rPr>
                      <w:rFonts w:hint="default"/>
                      <w:lang w:val="en-US" w:eastAsia="zh-CN"/>
                    </w:rPr>
                    <w:t>23%</w:t>
                  </w:r>
                </w:p>
              </w:tc>
              <w:tc>
                <w:tcPr>
                  <w:tcW w:w="1380" w:type="dxa"/>
                  <w:tcBorders>
                    <w:tl2br w:val="nil"/>
                    <w:tr2bl w:val="nil"/>
                  </w:tcBorders>
                  <w:vAlign w:val="center"/>
                </w:tcPr>
                <w:p w14:paraId="32E4C8DE">
                  <w:pPr>
                    <w:pStyle w:val="56"/>
                    <w:bidi w:val="0"/>
                    <w:rPr>
                      <w:szCs w:val="21"/>
                    </w:rPr>
                  </w:pPr>
                  <w:r>
                    <w:rPr>
                      <w:rFonts w:hint="eastAsia"/>
                    </w:rPr>
                    <w:t>达标</w:t>
                  </w:r>
                </w:p>
              </w:tc>
            </w:tr>
            <w:tr w14:paraId="46CE975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117" w:type="dxa"/>
                  <w:tcBorders>
                    <w:tl2br w:val="nil"/>
                    <w:tr2bl w:val="nil"/>
                  </w:tcBorders>
                  <w:vAlign w:val="center"/>
                </w:tcPr>
                <w:p w14:paraId="78D152E1">
                  <w:pPr>
                    <w:pStyle w:val="56"/>
                    <w:bidi w:val="0"/>
                    <w:rPr>
                      <w:color w:val="auto"/>
                      <w:szCs w:val="21"/>
                    </w:rPr>
                  </w:pPr>
                  <w:r>
                    <w:rPr>
                      <w:rFonts w:hint="eastAsia"/>
                    </w:rPr>
                    <w:t>臭氧（O3）</w:t>
                  </w:r>
                </w:p>
              </w:tc>
              <w:tc>
                <w:tcPr>
                  <w:tcW w:w="1809" w:type="dxa"/>
                  <w:tcBorders>
                    <w:tl2br w:val="nil"/>
                    <w:tr2bl w:val="nil"/>
                  </w:tcBorders>
                  <w:vAlign w:val="center"/>
                </w:tcPr>
                <w:p w14:paraId="505F30A8">
                  <w:pPr>
                    <w:pStyle w:val="56"/>
                    <w:bidi w:val="0"/>
                    <w:rPr>
                      <w:color w:val="auto"/>
                      <w:szCs w:val="21"/>
                    </w:rPr>
                  </w:pPr>
                  <w:r>
                    <w:rPr>
                      <w:rFonts w:hint="eastAsia"/>
                    </w:rPr>
                    <w:t>8h平均质量浓度</w:t>
                  </w:r>
                </w:p>
              </w:tc>
              <w:tc>
                <w:tcPr>
                  <w:tcW w:w="1164" w:type="dxa"/>
                  <w:tcBorders>
                    <w:tl2br w:val="nil"/>
                    <w:tr2bl w:val="nil"/>
                  </w:tcBorders>
                  <w:vAlign w:val="center"/>
                </w:tcPr>
                <w:p w14:paraId="3F8C1765">
                  <w:pPr>
                    <w:pStyle w:val="56"/>
                    <w:bidi w:val="0"/>
                    <w:rPr>
                      <w:color w:val="auto"/>
                      <w:szCs w:val="21"/>
                    </w:rPr>
                  </w:pPr>
                  <w:r>
                    <w:rPr>
                      <w:rFonts w:hint="eastAsia"/>
                    </w:rPr>
                    <w:t>134</w:t>
                  </w:r>
                </w:p>
              </w:tc>
              <w:tc>
                <w:tcPr>
                  <w:tcW w:w="1131" w:type="dxa"/>
                  <w:tcBorders>
                    <w:tl2br w:val="nil"/>
                    <w:tr2bl w:val="nil"/>
                  </w:tcBorders>
                  <w:vAlign w:val="center"/>
                </w:tcPr>
                <w:p w14:paraId="1E1C5534">
                  <w:pPr>
                    <w:pStyle w:val="56"/>
                    <w:bidi w:val="0"/>
                    <w:rPr>
                      <w:color w:val="auto"/>
                      <w:szCs w:val="21"/>
                    </w:rPr>
                  </w:pPr>
                  <w:r>
                    <w:rPr>
                      <w:rFonts w:hint="eastAsia"/>
                    </w:rPr>
                    <w:t>160</w:t>
                  </w:r>
                </w:p>
              </w:tc>
              <w:tc>
                <w:tcPr>
                  <w:tcW w:w="1370" w:type="dxa"/>
                  <w:tcBorders>
                    <w:tl2br w:val="nil"/>
                    <w:tr2bl w:val="nil"/>
                  </w:tcBorders>
                  <w:vAlign w:val="bottom"/>
                </w:tcPr>
                <w:p w14:paraId="1BDFE915">
                  <w:pPr>
                    <w:pStyle w:val="56"/>
                    <w:bidi w:val="0"/>
                    <w:rPr>
                      <w:rFonts w:ascii="Times New Roman" w:hAnsi="Times New Roman" w:eastAsia="宋体" w:cs="Times New Roman"/>
                      <w:color w:val="auto"/>
                      <w:szCs w:val="21"/>
                    </w:rPr>
                  </w:pPr>
                  <w:r>
                    <w:rPr>
                      <w:rFonts w:hint="default"/>
                      <w:lang w:val="en-US" w:eastAsia="zh-CN"/>
                    </w:rPr>
                    <w:t>84%</w:t>
                  </w:r>
                </w:p>
              </w:tc>
              <w:tc>
                <w:tcPr>
                  <w:tcW w:w="1380" w:type="dxa"/>
                  <w:tcBorders>
                    <w:tl2br w:val="nil"/>
                    <w:tr2bl w:val="nil"/>
                  </w:tcBorders>
                  <w:vAlign w:val="center"/>
                </w:tcPr>
                <w:p w14:paraId="6FD41999">
                  <w:pPr>
                    <w:pStyle w:val="56"/>
                    <w:bidi w:val="0"/>
                    <w:rPr>
                      <w:szCs w:val="21"/>
                    </w:rPr>
                  </w:pPr>
                  <w:r>
                    <w:rPr>
                      <w:rFonts w:hint="eastAsia"/>
                    </w:rPr>
                    <w:t>达标</w:t>
                  </w:r>
                </w:p>
              </w:tc>
            </w:tr>
          </w:tbl>
          <w:p w14:paraId="7842AE77">
            <w:pPr>
              <w:ind w:firstLine="480"/>
              <w:rPr>
                <w:color w:val="auto"/>
              </w:rPr>
            </w:pPr>
            <w:r>
              <w:rPr>
                <w:rFonts w:hint="eastAsia"/>
                <w:color w:val="auto"/>
              </w:rPr>
              <w:t>项目所在区域</w:t>
            </w:r>
            <w:r>
              <w:rPr>
                <w:rFonts w:hint="default" w:ascii="Times New Roman" w:hAnsi="Times New Roman" w:cs="Times New Roman" w:eastAsiaTheme="minorEastAsia"/>
                <w:b w:val="0"/>
                <w:bCs w:val="0"/>
                <w:i w:val="0"/>
                <w:iCs w:val="0"/>
                <w:color w:val="auto"/>
                <w:kern w:val="0"/>
                <w:sz w:val="21"/>
                <w:szCs w:val="21"/>
                <w:u w:val="none"/>
                <w:lang w:val="en-US" w:eastAsia="zh-CN" w:bidi="ar"/>
              </w:rPr>
              <w:t>SO</w:t>
            </w:r>
            <w:r>
              <w:rPr>
                <w:rStyle w:val="156"/>
                <w:rFonts w:hint="default" w:ascii="Times New Roman" w:hAnsi="Times New Roman" w:cs="Times New Roman" w:eastAsiaTheme="minorEastAsia"/>
                <w:b w:val="0"/>
                <w:bCs w:val="0"/>
                <w:color w:val="auto"/>
                <w:sz w:val="21"/>
                <w:szCs w:val="21"/>
                <w:vertAlign w:val="subscript"/>
                <w:lang w:val="en-US" w:eastAsia="zh-CN" w:bidi="ar"/>
              </w:rPr>
              <w:t>2</w:t>
            </w:r>
            <w:r>
              <w:rPr>
                <w:rFonts w:hint="eastAsia"/>
                <w:color w:val="auto"/>
              </w:rPr>
              <w:t>、NO</w:t>
            </w:r>
            <w:r>
              <w:rPr>
                <w:rFonts w:hint="eastAsia"/>
                <w:color w:val="auto"/>
                <w:vertAlign w:val="subscript"/>
              </w:rPr>
              <w:t>2</w:t>
            </w:r>
            <w:r>
              <w:rPr>
                <w:rFonts w:hint="eastAsia"/>
                <w:color w:val="auto"/>
              </w:rPr>
              <w:t>、PM</w:t>
            </w:r>
            <w:r>
              <w:rPr>
                <w:rFonts w:hint="eastAsia"/>
                <w:color w:val="auto"/>
                <w:vertAlign w:val="subscript"/>
              </w:rPr>
              <w:t>10</w:t>
            </w:r>
            <w:r>
              <w:rPr>
                <w:rFonts w:hint="eastAsia"/>
                <w:color w:val="auto"/>
              </w:rPr>
              <w:t>、PM</w:t>
            </w:r>
            <w:r>
              <w:rPr>
                <w:rFonts w:hint="eastAsia"/>
                <w:color w:val="auto"/>
                <w:vertAlign w:val="subscript"/>
              </w:rPr>
              <w:t>2.5</w:t>
            </w:r>
            <w:r>
              <w:rPr>
                <w:rFonts w:hint="eastAsia"/>
                <w:color w:val="auto"/>
              </w:rPr>
              <w:t>、CO、O</w:t>
            </w:r>
            <w:r>
              <w:rPr>
                <w:rFonts w:hint="eastAsia"/>
                <w:color w:val="auto"/>
                <w:vertAlign w:val="subscript"/>
              </w:rPr>
              <w:t>3</w:t>
            </w:r>
            <w:r>
              <w:rPr>
                <w:rFonts w:hint="eastAsia"/>
                <w:color w:val="auto"/>
              </w:rPr>
              <w:t>年均值均达到《环境空气质量标准》（GB3095-2012）二级标准</w:t>
            </w:r>
            <w:r>
              <w:rPr>
                <w:rFonts w:hint="eastAsia"/>
                <w:color w:val="auto"/>
                <w:lang w:val="en-US" w:eastAsia="zh-CN"/>
              </w:rPr>
              <w:t>要求</w:t>
            </w:r>
            <w:r>
              <w:rPr>
                <w:rFonts w:hint="eastAsia"/>
                <w:color w:val="auto"/>
              </w:rPr>
              <w:t>，表明项目所在地属于达标区。</w:t>
            </w:r>
          </w:p>
          <w:p w14:paraId="43B1AE65">
            <w:pPr>
              <w:ind w:firstLine="480"/>
              <w:rPr>
                <w:rFonts w:hint="eastAsia" w:eastAsia="宋体"/>
                <w:lang w:eastAsia="zh-CN"/>
              </w:rPr>
            </w:pPr>
            <w:r>
              <w:rPr>
                <w:rFonts w:hint="eastAsia"/>
              </w:rPr>
              <w:t>特征污染物</w:t>
            </w:r>
            <w:r>
              <w:rPr>
                <w:rFonts w:hint="eastAsia"/>
                <w:lang w:eastAsia="zh-CN"/>
              </w:rPr>
              <w:t>：</w:t>
            </w:r>
          </w:p>
          <w:p w14:paraId="662365BB">
            <w:pPr>
              <w:ind w:firstLine="480"/>
            </w:pPr>
            <w:r>
              <w:rPr>
                <w:rFonts w:hint="eastAsia"/>
              </w:rPr>
              <w:t>根据《建设项目环境影响报告表编制技术指南（污染影响类）》</w:t>
            </w:r>
            <w:r>
              <w:rPr>
                <w:rFonts w:hint="eastAsia"/>
                <w:lang w:eastAsia="zh-CN"/>
              </w:rPr>
              <w:t>，</w:t>
            </w:r>
            <w:r>
              <w:rPr>
                <w:rFonts w:hint="eastAsia"/>
              </w:rPr>
              <w:t>排放国家、地方环境空气质量标准中有标准限值要求的特征污染物时，引用建设项目周边5千米范围内近3年的现有监测数据，无相关数据的选择当季主导风向下风向1个点位补充不少于3天的</w:t>
            </w:r>
            <w:r>
              <w:rPr>
                <w:rFonts w:hint="eastAsia"/>
                <w:lang w:eastAsia="zh-CN"/>
              </w:rPr>
              <w:t>监测数据</w:t>
            </w:r>
            <w:r>
              <w:rPr>
                <w:rFonts w:hint="eastAsia"/>
              </w:rPr>
              <w:t>。因此本项目只补充特征污染因子TSP的环境现状监测数据。</w:t>
            </w:r>
          </w:p>
          <w:p w14:paraId="2B731AE5">
            <w:pPr>
              <w:ind w:firstLine="480"/>
              <w:rPr>
                <w:color w:val="auto"/>
              </w:rPr>
            </w:pPr>
            <w:r>
              <w:rPr>
                <w:rFonts w:hint="eastAsia"/>
              </w:rPr>
              <w:t>本次评价TSP环境</w:t>
            </w:r>
            <w:r>
              <w:rPr>
                <w:rFonts w:hint="eastAsia"/>
                <w:color w:val="auto"/>
              </w:rPr>
              <w:t>现状监测数据引用《</w:t>
            </w:r>
            <w:r>
              <w:rPr>
                <w:rFonts w:hint="eastAsia"/>
                <w:color w:val="auto"/>
                <w:lang w:val="en-US" w:eastAsia="zh-CN"/>
              </w:rPr>
              <w:t>江西千通管业有限公司HDPE新材料生产及管材制造建设项目大气、地下水、声、土壤环境现状监测报告</w:t>
            </w:r>
            <w:r>
              <w:rPr>
                <w:rFonts w:hint="eastAsia"/>
                <w:color w:val="auto"/>
              </w:rPr>
              <w:t>》中监测点位</w:t>
            </w:r>
            <w:r>
              <w:rPr>
                <w:rFonts w:hint="eastAsia"/>
                <w:color w:val="auto"/>
                <w:lang w:val="en-US" w:eastAsia="zh-CN"/>
              </w:rPr>
              <w:t>头家咀</w:t>
            </w:r>
            <w:r>
              <w:rPr>
                <w:rFonts w:hint="eastAsia"/>
                <w:color w:val="auto"/>
              </w:rPr>
              <w:t>的监测数据。引用点位位于本项目西南面</w:t>
            </w:r>
            <w:r>
              <w:rPr>
                <w:rFonts w:hint="eastAsia"/>
                <w:color w:val="auto"/>
                <w:lang w:val="en-US" w:eastAsia="zh-CN"/>
              </w:rPr>
              <w:t>1064</w:t>
            </w:r>
            <w:r>
              <w:rPr>
                <w:rFonts w:hint="eastAsia"/>
                <w:color w:val="auto"/>
              </w:rPr>
              <w:t>米处，当地主导风向为东北风，该点位于项目下风向5km范围内，采样时间为20</w:t>
            </w:r>
            <w:r>
              <w:rPr>
                <w:rFonts w:hint="eastAsia"/>
                <w:color w:val="auto"/>
                <w:lang w:val="en-US" w:eastAsia="zh-CN"/>
              </w:rPr>
              <w:t>24</w:t>
            </w:r>
            <w:r>
              <w:rPr>
                <w:rFonts w:hint="eastAsia"/>
                <w:color w:val="auto"/>
              </w:rPr>
              <w:t>年9月</w:t>
            </w:r>
            <w:r>
              <w:rPr>
                <w:rFonts w:hint="eastAsia"/>
                <w:color w:val="auto"/>
                <w:lang w:val="en-US" w:eastAsia="zh-CN"/>
              </w:rPr>
              <w:t>10</w:t>
            </w:r>
            <w:r>
              <w:rPr>
                <w:rFonts w:hint="eastAsia"/>
                <w:color w:val="auto"/>
              </w:rPr>
              <w:t>日</w:t>
            </w:r>
            <w:r>
              <w:rPr>
                <w:rFonts w:hint="eastAsia"/>
                <w:color w:val="auto"/>
                <w:lang w:val="en-US" w:eastAsia="zh-CN"/>
              </w:rPr>
              <w:t>~</w:t>
            </w:r>
            <w:r>
              <w:rPr>
                <w:rFonts w:hint="eastAsia"/>
                <w:color w:val="auto"/>
              </w:rPr>
              <w:t>202</w:t>
            </w:r>
            <w:r>
              <w:rPr>
                <w:rFonts w:hint="eastAsia"/>
                <w:color w:val="auto"/>
                <w:lang w:val="en-US" w:eastAsia="zh-CN"/>
              </w:rPr>
              <w:t>4</w:t>
            </w:r>
            <w:r>
              <w:rPr>
                <w:rFonts w:hint="eastAsia"/>
                <w:color w:val="auto"/>
              </w:rPr>
              <w:t>年</w:t>
            </w:r>
            <w:r>
              <w:rPr>
                <w:rFonts w:hint="eastAsia"/>
                <w:color w:val="auto"/>
                <w:lang w:val="en-US" w:eastAsia="zh-CN"/>
              </w:rPr>
              <w:t>9</w:t>
            </w:r>
            <w:r>
              <w:rPr>
                <w:rFonts w:hint="eastAsia"/>
                <w:color w:val="auto"/>
              </w:rPr>
              <w:t>月</w:t>
            </w:r>
            <w:r>
              <w:rPr>
                <w:rFonts w:hint="eastAsia"/>
                <w:color w:val="auto"/>
                <w:lang w:val="en-US" w:eastAsia="zh-CN"/>
              </w:rPr>
              <w:t>1</w:t>
            </w:r>
            <w:r>
              <w:rPr>
                <w:rFonts w:hint="eastAsia"/>
                <w:color w:val="auto"/>
              </w:rPr>
              <w:t>6日，距今三年内有效，故引用可行。环境空气现状监测评价结果见表3-3。</w:t>
            </w:r>
          </w:p>
          <w:p w14:paraId="2951D5DC">
            <w:pPr>
              <w:pStyle w:val="59"/>
              <w:numPr>
                <w:ilvl w:val="0"/>
                <w:numId w:val="0"/>
              </w:numPr>
              <w:tabs>
                <w:tab w:val="left" w:pos="0"/>
              </w:tabs>
              <w:ind w:left="0" w:leftChars="0" w:firstLine="0" w:firstLineChars="0"/>
              <w:rPr>
                <w:b/>
                <w:bCs/>
                <w:color w:val="auto"/>
                <w:sz w:val="21"/>
                <w:szCs w:val="21"/>
              </w:rPr>
            </w:pPr>
            <w:r>
              <w:rPr>
                <w:rFonts w:hint="default" w:ascii="Times New Roman" w:hAnsi="Times New Roman" w:eastAsia="宋体" w:cs="Times New Roman"/>
                <w:b/>
                <w:bCs/>
                <w:color w:val="auto"/>
                <w:kern w:val="2"/>
                <w:sz w:val="21"/>
                <w:szCs w:val="21"/>
                <w:lang w:val="en-US" w:eastAsia="zh-CN" w:bidi="ar-SA"/>
              </w:rPr>
              <w:t xml:space="preserve">表3-3 </w:t>
            </w:r>
            <w:r>
              <w:rPr>
                <w:rFonts w:hint="eastAsia"/>
                <w:b/>
                <w:bCs/>
                <w:color w:val="auto"/>
                <w:sz w:val="21"/>
                <w:szCs w:val="21"/>
              </w:rPr>
              <w:t>环境空气现状监测情况</w:t>
            </w:r>
            <w:r>
              <w:rPr>
                <w:rFonts w:hint="eastAsia"/>
                <w:b/>
                <w:bCs/>
                <w:color w:val="auto"/>
                <w:sz w:val="21"/>
                <w:szCs w:val="21"/>
                <w:lang w:val="en-US" w:eastAsia="zh-CN"/>
              </w:rPr>
              <w:t xml:space="preserve">    </w:t>
            </w:r>
            <w:r>
              <w:rPr>
                <w:rFonts w:hint="eastAsia"/>
                <w:b/>
                <w:bCs/>
                <w:color w:val="auto"/>
                <w:sz w:val="21"/>
                <w:szCs w:val="21"/>
              </w:rPr>
              <w:t>单位：mg/m³</w:t>
            </w:r>
          </w:p>
          <w:tbl>
            <w:tblPr>
              <w:tblStyle w:val="41"/>
              <w:tblW w:w="4997"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1045"/>
              <w:gridCol w:w="1138"/>
              <w:gridCol w:w="1046"/>
              <w:gridCol w:w="1046"/>
              <w:gridCol w:w="785"/>
              <w:gridCol w:w="788"/>
              <w:gridCol w:w="1522"/>
              <w:gridCol w:w="1046"/>
            </w:tblGrid>
            <w:tr w14:paraId="73316E1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25" w:hRule="atLeast"/>
                <w:jc w:val="center"/>
              </w:trPr>
              <w:tc>
                <w:tcPr>
                  <w:tcW w:w="621" w:type="pct"/>
                  <w:vMerge w:val="restart"/>
                  <w:tcBorders>
                    <w:tl2br w:val="nil"/>
                    <w:tr2bl w:val="nil"/>
                  </w:tcBorders>
                  <w:noWrap/>
                  <w:vAlign w:val="center"/>
                </w:tcPr>
                <w:p w14:paraId="36AA40FB">
                  <w:pPr>
                    <w:pStyle w:val="56"/>
                    <w:bidi w:val="0"/>
                    <w:rPr>
                      <w:color w:val="auto"/>
                      <w:szCs w:val="21"/>
                    </w:rPr>
                  </w:pPr>
                  <w:r>
                    <w:rPr>
                      <w:color w:val="auto"/>
                    </w:rPr>
                    <w:t>监测点位</w:t>
                  </w:r>
                </w:p>
              </w:tc>
              <w:tc>
                <w:tcPr>
                  <w:tcW w:w="676" w:type="pct"/>
                  <w:vMerge w:val="restart"/>
                  <w:tcBorders>
                    <w:tl2br w:val="nil"/>
                    <w:tr2bl w:val="nil"/>
                  </w:tcBorders>
                  <w:noWrap/>
                  <w:vAlign w:val="center"/>
                </w:tcPr>
                <w:p w14:paraId="19786E7F">
                  <w:pPr>
                    <w:pStyle w:val="56"/>
                    <w:bidi w:val="0"/>
                    <w:rPr>
                      <w:color w:val="auto"/>
                      <w:szCs w:val="21"/>
                    </w:rPr>
                  </w:pPr>
                  <w:r>
                    <w:rPr>
                      <w:color w:val="auto"/>
                    </w:rPr>
                    <w:t>污染物</w:t>
                  </w:r>
                </w:p>
              </w:tc>
              <w:tc>
                <w:tcPr>
                  <w:tcW w:w="621" w:type="pct"/>
                  <w:vMerge w:val="restart"/>
                  <w:tcBorders>
                    <w:tl2br w:val="nil"/>
                    <w:tr2bl w:val="nil"/>
                  </w:tcBorders>
                  <w:noWrap/>
                  <w:vAlign w:val="center"/>
                </w:tcPr>
                <w:p w14:paraId="59AC5F37">
                  <w:pPr>
                    <w:pStyle w:val="56"/>
                    <w:bidi w:val="0"/>
                    <w:rPr>
                      <w:color w:val="auto"/>
                      <w:szCs w:val="21"/>
                    </w:rPr>
                  </w:pPr>
                  <w:r>
                    <w:rPr>
                      <w:color w:val="auto"/>
                    </w:rPr>
                    <w:t>平均时间</w:t>
                  </w:r>
                </w:p>
              </w:tc>
              <w:tc>
                <w:tcPr>
                  <w:tcW w:w="621" w:type="pct"/>
                  <w:vMerge w:val="restart"/>
                  <w:tcBorders>
                    <w:tl2br w:val="nil"/>
                    <w:tr2bl w:val="nil"/>
                  </w:tcBorders>
                  <w:noWrap/>
                  <w:vAlign w:val="center"/>
                </w:tcPr>
                <w:p w14:paraId="6CB9BF91">
                  <w:pPr>
                    <w:pStyle w:val="56"/>
                    <w:bidi w:val="0"/>
                    <w:rPr>
                      <w:color w:val="auto"/>
                      <w:szCs w:val="21"/>
                    </w:rPr>
                  </w:pPr>
                  <w:r>
                    <w:rPr>
                      <w:color w:val="auto"/>
                    </w:rPr>
                    <w:t>评价标准</w:t>
                  </w:r>
                </w:p>
              </w:tc>
              <w:tc>
                <w:tcPr>
                  <w:tcW w:w="934" w:type="pct"/>
                  <w:gridSpan w:val="2"/>
                  <w:tcBorders>
                    <w:tl2br w:val="nil"/>
                    <w:tr2bl w:val="nil"/>
                  </w:tcBorders>
                  <w:noWrap/>
                  <w:vAlign w:val="center"/>
                </w:tcPr>
                <w:p w14:paraId="647628F9">
                  <w:pPr>
                    <w:pStyle w:val="56"/>
                    <w:bidi w:val="0"/>
                    <w:rPr>
                      <w:color w:val="auto"/>
                      <w:szCs w:val="21"/>
                    </w:rPr>
                  </w:pPr>
                  <w:r>
                    <w:rPr>
                      <w:color w:val="auto"/>
                    </w:rPr>
                    <w:t>监测浓度范围</w:t>
                  </w:r>
                </w:p>
              </w:tc>
              <w:tc>
                <w:tcPr>
                  <w:tcW w:w="904" w:type="pct"/>
                  <w:vMerge w:val="restart"/>
                  <w:tcBorders>
                    <w:tl2br w:val="nil"/>
                    <w:tr2bl w:val="nil"/>
                  </w:tcBorders>
                  <w:noWrap/>
                  <w:vAlign w:val="center"/>
                </w:tcPr>
                <w:p w14:paraId="34BD2A25">
                  <w:pPr>
                    <w:pStyle w:val="56"/>
                    <w:bidi w:val="0"/>
                    <w:rPr>
                      <w:color w:val="auto"/>
                    </w:rPr>
                  </w:pPr>
                  <w:r>
                    <w:rPr>
                      <w:color w:val="auto"/>
                    </w:rPr>
                    <w:t>最大浓度</w:t>
                  </w:r>
                </w:p>
                <w:p w14:paraId="44E6B078">
                  <w:pPr>
                    <w:pStyle w:val="56"/>
                    <w:bidi w:val="0"/>
                    <w:rPr>
                      <w:color w:val="auto"/>
                      <w:szCs w:val="21"/>
                    </w:rPr>
                  </w:pPr>
                  <w:r>
                    <w:rPr>
                      <w:color w:val="auto"/>
                    </w:rPr>
                    <w:t>占标率（%）</w:t>
                  </w:r>
                </w:p>
              </w:tc>
              <w:tc>
                <w:tcPr>
                  <w:tcW w:w="621" w:type="pct"/>
                  <w:vMerge w:val="restart"/>
                  <w:tcBorders>
                    <w:tl2br w:val="nil"/>
                    <w:tr2bl w:val="nil"/>
                  </w:tcBorders>
                  <w:noWrap/>
                  <w:vAlign w:val="center"/>
                </w:tcPr>
                <w:p w14:paraId="3082D7B6">
                  <w:pPr>
                    <w:pStyle w:val="56"/>
                    <w:bidi w:val="0"/>
                    <w:rPr>
                      <w:color w:val="auto"/>
                      <w:szCs w:val="21"/>
                    </w:rPr>
                  </w:pPr>
                  <w:r>
                    <w:rPr>
                      <w:color w:val="auto"/>
                    </w:rPr>
                    <w:t>达标情况</w:t>
                  </w:r>
                </w:p>
              </w:tc>
            </w:tr>
            <w:tr w14:paraId="6CBA444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25" w:hRule="atLeast"/>
                <w:jc w:val="center"/>
              </w:trPr>
              <w:tc>
                <w:tcPr>
                  <w:tcW w:w="621" w:type="pct"/>
                  <w:vMerge w:val="continue"/>
                  <w:tcBorders>
                    <w:tl2br w:val="nil"/>
                    <w:tr2bl w:val="nil"/>
                  </w:tcBorders>
                  <w:vAlign w:val="center"/>
                </w:tcPr>
                <w:p w14:paraId="278A6FD1">
                  <w:pPr>
                    <w:pStyle w:val="56"/>
                    <w:jc w:val="center"/>
                    <w:rPr>
                      <w:color w:val="auto"/>
                      <w:sz w:val="21"/>
                      <w:szCs w:val="21"/>
                    </w:rPr>
                  </w:pPr>
                </w:p>
              </w:tc>
              <w:tc>
                <w:tcPr>
                  <w:tcW w:w="676" w:type="pct"/>
                  <w:vMerge w:val="continue"/>
                  <w:tcBorders>
                    <w:tl2br w:val="nil"/>
                    <w:tr2bl w:val="nil"/>
                  </w:tcBorders>
                  <w:vAlign w:val="center"/>
                </w:tcPr>
                <w:p w14:paraId="48F94A80">
                  <w:pPr>
                    <w:pStyle w:val="56"/>
                    <w:jc w:val="center"/>
                    <w:rPr>
                      <w:color w:val="auto"/>
                      <w:sz w:val="21"/>
                      <w:szCs w:val="21"/>
                    </w:rPr>
                  </w:pPr>
                </w:p>
              </w:tc>
              <w:tc>
                <w:tcPr>
                  <w:tcW w:w="621" w:type="pct"/>
                  <w:vMerge w:val="continue"/>
                  <w:tcBorders>
                    <w:tl2br w:val="nil"/>
                    <w:tr2bl w:val="nil"/>
                  </w:tcBorders>
                  <w:vAlign w:val="center"/>
                </w:tcPr>
                <w:p w14:paraId="7E2BB427">
                  <w:pPr>
                    <w:pStyle w:val="56"/>
                    <w:jc w:val="center"/>
                    <w:rPr>
                      <w:color w:val="auto"/>
                      <w:sz w:val="21"/>
                      <w:szCs w:val="21"/>
                    </w:rPr>
                  </w:pPr>
                </w:p>
              </w:tc>
              <w:tc>
                <w:tcPr>
                  <w:tcW w:w="621" w:type="pct"/>
                  <w:vMerge w:val="continue"/>
                  <w:tcBorders>
                    <w:tl2br w:val="nil"/>
                    <w:tr2bl w:val="nil"/>
                  </w:tcBorders>
                  <w:vAlign w:val="center"/>
                </w:tcPr>
                <w:p w14:paraId="3D88FF20">
                  <w:pPr>
                    <w:pStyle w:val="56"/>
                    <w:jc w:val="center"/>
                    <w:rPr>
                      <w:color w:val="auto"/>
                      <w:sz w:val="21"/>
                      <w:szCs w:val="21"/>
                    </w:rPr>
                  </w:pPr>
                </w:p>
              </w:tc>
              <w:tc>
                <w:tcPr>
                  <w:tcW w:w="466" w:type="pct"/>
                  <w:tcBorders>
                    <w:tl2br w:val="nil"/>
                    <w:tr2bl w:val="nil"/>
                  </w:tcBorders>
                  <w:noWrap/>
                  <w:vAlign w:val="center"/>
                </w:tcPr>
                <w:p w14:paraId="5143D98B">
                  <w:pPr>
                    <w:pStyle w:val="56"/>
                    <w:bidi w:val="0"/>
                    <w:rPr>
                      <w:color w:val="auto"/>
                      <w:szCs w:val="21"/>
                    </w:rPr>
                  </w:pPr>
                  <w:r>
                    <w:rPr>
                      <w:color w:val="auto"/>
                    </w:rPr>
                    <w:t>最小值</w:t>
                  </w:r>
                </w:p>
              </w:tc>
              <w:tc>
                <w:tcPr>
                  <w:tcW w:w="467" w:type="pct"/>
                  <w:tcBorders>
                    <w:tl2br w:val="nil"/>
                    <w:tr2bl w:val="nil"/>
                  </w:tcBorders>
                  <w:noWrap/>
                  <w:vAlign w:val="center"/>
                </w:tcPr>
                <w:p w14:paraId="2D8E364D">
                  <w:pPr>
                    <w:pStyle w:val="56"/>
                    <w:bidi w:val="0"/>
                    <w:rPr>
                      <w:color w:val="auto"/>
                      <w:szCs w:val="21"/>
                    </w:rPr>
                  </w:pPr>
                  <w:r>
                    <w:rPr>
                      <w:color w:val="auto"/>
                    </w:rPr>
                    <w:t>最大值</w:t>
                  </w:r>
                </w:p>
              </w:tc>
              <w:tc>
                <w:tcPr>
                  <w:tcW w:w="904" w:type="pct"/>
                  <w:vMerge w:val="continue"/>
                  <w:tcBorders>
                    <w:tl2br w:val="nil"/>
                    <w:tr2bl w:val="nil"/>
                  </w:tcBorders>
                  <w:vAlign w:val="center"/>
                </w:tcPr>
                <w:p w14:paraId="736053EF">
                  <w:pPr>
                    <w:pStyle w:val="56"/>
                    <w:jc w:val="center"/>
                    <w:rPr>
                      <w:color w:val="auto"/>
                      <w:sz w:val="21"/>
                      <w:szCs w:val="21"/>
                    </w:rPr>
                  </w:pPr>
                </w:p>
              </w:tc>
              <w:tc>
                <w:tcPr>
                  <w:tcW w:w="621" w:type="pct"/>
                  <w:vMerge w:val="continue"/>
                  <w:tcBorders>
                    <w:tl2br w:val="nil"/>
                    <w:tr2bl w:val="nil"/>
                  </w:tcBorders>
                  <w:vAlign w:val="center"/>
                </w:tcPr>
                <w:p w14:paraId="5002483D">
                  <w:pPr>
                    <w:pStyle w:val="56"/>
                    <w:jc w:val="center"/>
                    <w:rPr>
                      <w:color w:val="auto"/>
                      <w:sz w:val="21"/>
                      <w:szCs w:val="21"/>
                    </w:rPr>
                  </w:pPr>
                </w:p>
              </w:tc>
            </w:tr>
            <w:tr w14:paraId="56FB8A7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25" w:hRule="atLeast"/>
                <w:jc w:val="center"/>
              </w:trPr>
              <w:tc>
                <w:tcPr>
                  <w:tcW w:w="621" w:type="pct"/>
                  <w:tcBorders>
                    <w:tl2br w:val="nil"/>
                    <w:tr2bl w:val="nil"/>
                  </w:tcBorders>
                  <w:noWrap/>
                  <w:vAlign w:val="center"/>
                </w:tcPr>
                <w:p w14:paraId="5CB6DA88">
                  <w:pPr>
                    <w:pStyle w:val="56"/>
                    <w:bidi w:val="0"/>
                    <w:rPr>
                      <w:color w:val="auto"/>
                      <w:szCs w:val="21"/>
                    </w:rPr>
                  </w:pPr>
                  <w:r>
                    <w:rPr>
                      <w:rFonts w:hint="eastAsia"/>
                      <w:color w:val="auto"/>
                      <w:lang w:val="en-US" w:eastAsia="zh-CN"/>
                    </w:rPr>
                    <w:t>头家咀</w:t>
                  </w:r>
                </w:p>
              </w:tc>
              <w:tc>
                <w:tcPr>
                  <w:tcW w:w="676" w:type="pct"/>
                  <w:tcBorders>
                    <w:tl2br w:val="nil"/>
                    <w:tr2bl w:val="nil"/>
                  </w:tcBorders>
                  <w:noWrap/>
                  <w:vAlign w:val="center"/>
                </w:tcPr>
                <w:p w14:paraId="7DE72CD7">
                  <w:pPr>
                    <w:pStyle w:val="56"/>
                    <w:bidi w:val="0"/>
                    <w:rPr>
                      <w:color w:val="auto"/>
                      <w:szCs w:val="21"/>
                    </w:rPr>
                  </w:pPr>
                  <w:r>
                    <w:rPr>
                      <w:rFonts w:hint="eastAsia"/>
                      <w:color w:val="auto"/>
                    </w:rPr>
                    <w:t>TSP</w:t>
                  </w:r>
                </w:p>
              </w:tc>
              <w:tc>
                <w:tcPr>
                  <w:tcW w:w="621" w:type="pct"/>
                  <w:tcBorders>
                    <w:tl2br w:val="nil"/>
                    <w:tr2bl w:val="nil"/>
                  </w:tcBorders>
                  <w:noWrap/>
                  <w:vAlign w:val="center"/>
                </w:tcPr>
                <w:p w14:paraId="426A51B4">
                  <w:pPr>
                    <w:pStyle w:val="56"/>
                    <w:bidi w:val="0"/>
                    <w:rPr>
                      <w:color w:val="auto"/>
                      <w:szCs w:val="21"/>
                    </w:rPr>
                  </w:pPr>
                  <w:r>
                    <w:rPr>
                      <w:rFonts w:hint="eastAsia"/>
                      <w:color w:val="auto"/>
                    </w:rPr>
                    <w:t>日均值</w:t>
                  </w:r>
                </w:p>
              </w:tc>
              <w:tc>
                <w:tcPr>
                  <w:tcW w:w="621" w:type="pct"/>
                  <w:tcBorders>
                    <w:tl2br w:val="nil"/>
                    <w:tr2bl w:val="nil"/>
                  </w:tcBorders>
                  <w:noWrap/>
                  <w:vAlign w:val="center"/>
                </w:tcPr>
                <w:p w14:paraId="3F9ACAA9">
                  <w:pPr>
                    <w:pStyle w:val="56"/>
                    <w:bidi w:val="0"/>
                    <w:rPr>
                      <w:color w:val="auto"/>
                      <w:szCs w:val="21"/>
                    </w:rPr>
                  </w:pPr>
                  <w:r>
                    <w:rPr>
                      <w:rFonts w:hint="eastAsia"/>
                      <w:color w:val="auto"/>
                    </w:rPr>
                    <w:t>0.3</w:t>
                  </w:r>
                </w:p>
              </w:tc>
              <w:tc>
                <w:tcPr>
                  <w:tcW w:w="466" w:type="pct"/>
                  <w:tcBorders>
                    <w:tl2br w:val="nil"/>
                    <w:tr2bl w:val="nil"/>
                  </w:tcBorders>
                  <w:noWrap/>
                  <w:vAlign w:val="center"/>
                </w:tcPr>
                <w:p w14:paraId="5F3894CB">
                  <w:pPr>
                    <w:pStyle w:val="56"/>
                    <w:bidi w:val="0"/>
                    <w:rPr>
                      <w:rFonts w:hint="default" w:eastAsia="宋体"/>
                      <w:color w:val="auto"/>
                      <w:szCs w:val="21"/>
                      <w:lang w:val="en-US" w:eastAsia="zh-CN"/>
                    </w:rPr>
                  </w:pPr>
                  <w:r>
                    <w:rPr>
                      <w:rFonts w:hint="eastAsia"/>
                      <w:color w:val="auto"/>
                    </w:rPr>
                    <w:t>0.1</w:t>
                  </w:r>
                  <w:r>
                    <w:rPr>
                      <w:rFonts w:hint="eastAsia"/>
                      <w:color w:val="auto"/>
                      <w:lang w:val="en-US" w:eastAsia="zh-CN"/>
                    </w:rPr>
                    <w:t>43</w:t>
                  </w:r>
                </w:p>
              </w:tc>
              <w:tc>
                <w:tcPr>
                  <w:tcW w:w="467" w:type="pct"/>
                  <w:tcBorders>
                    <w:tl2br w:val="nil"/>
                    <w:tr2bl w:val="nil"/>
                  </w:tcBorders>
                  <w:noWrap/>
                  <w:vAlign w:val="center"/>
                </w:tcPr>
                <w:p w14:paraId="6BB227DB">
                  <w:pPr>
                    <w:pStyle w:val="56"/>
                    <w:bidi w:val="0"/>
                    <w:rPr>
                      <w:rFonts w:hint="default" w:eastAsia="宋体"/>
                      <w:color w:val="auto"/>
                      <w:szCs w:val="21"/>
                      <w:lang w:val="en-US" w:eastAsia="zh-CN"/>
                    </w:rPr>
                  </w:pPr>
                  <w:r>
                    <w:rPr>
                      <w:rFonts w:hint="eastAsia"/>
                      <w:color w:val="auto"/>
                    </w:rPr>
                    <w:t>0.</w:t>
                  </w:r>
                  <w:r>
                    <w:rPr>
                      <w:rFonts w:hint="eastAsia"/>
                      <w:color w:val="auto"/>
                      <w:lang w:val="en-US" w:eastAsia="zh-CN"/>
                    </w:rPr>
                    <w:t>149</w:t>
                  </w:r>
                </w:p>
              </w:tc>
              <w:tc>
                <w:tcPr>
                  <w:tcW w:w="904" w:type="pct"/>
                  <w:tcBorders>
                    <w:tl2br w:val="nil"/>
                    <w:tr2bl w:val="nil"/>
                  </w:tcBorders>
                  <w:noWrap/>
                  <w:vAlign w:val="center"/>
                </w:tcPr>
                <w:p w14:paraId="79AAD3D5">
                  <w:pPr>
                    <w:pStyle w:val="56"/>
                    <w:bidi w:val="0"/>
                    <w:rPr>
                      <w:rFonts w:hint="default" w:eastAsia="宋体"/>
                      <w:color w:val="auto"/>
                      <w:szCs w:val="21"/>
                      <w:lang w:val="en-US" w:eastAsia="zh-CN"/>
                    </w:rPr>
                  </w:pPr>
                  <w:r>
                    <w:rPr>
                      <w:rFonts w:hint="eastAsia"/>
                      <w:color w:val="auto"/>
                      <w:lang w:val="en-US" w:eastAsia="zh-CN"/>
                    </w:rPr>
                    <w:t>49.8</w:t>
                  </w:r>
                </w:p>
              </w:tc>
              <w:tc>
                <w:tcPr>
                  <w:tcW w:w="621" w:type="pct"/>
                  <w:tcBorders>
                    <w:tl2br w:val="nil"/>
                    <w:tr2bl w:val="nil"/>
                  </w:tcBorders>
                  <w:noWrap/>
                  <w:vAlign w:val="center"/>
                </w:tcPr>
                <w:p w14:paraId="1D5FA045">
                  <w:pPr>
                    <w:pStyle w:val="56"/>
                    <w:bidi w:val="0"/>
                    <w:rPr>
                      <w:color w:val="auto"/>
                      <w:szCs w:val="21"/>
                    </w:rPr>
                  </w:pPr>
                  <w:r>
                    <w:rPr>
                      <w:rFonts w:hint="eastAsia"/>
                      <w:color w:val="auto"/>
                    </w:rPr>
                    <w:t>达标</w:t>
                  </w:r>
                </w:p>
              </w:tc>
            </w:tr>
          </w:tbl>
          <w:p w14:paraId="61F99150">
            <w:pPr>
              <w:ind w:firstLine="480"/>
              <w:rPr>
                <w:color w:val="auto"/>
              </w:rPr>
            </w:pPr>
            <w:r>
              <w:rPr>
                <w:rFonts w:hint="eastAsia"/>
                <w:color w:val="auto"/>
              </w:rPr>
              <w:t>根据本项目引用监测数据可知，</w:t>
            </w:r>
            <w:r>
              <w:rPr>
                <w:color w:val="auto"/>
              </w:rPr>
              <w:t>环境空气中的TSP浓度可以达到《环境空气质量标准》</w:t>
            </w:r>
            <w:r>
              <w:rPr>
                <w:rFonts w:hint="eastAsia"/>
                <w:color w:val="auto"/>
                <w:lang w:eastAsia="zh-CN"/>
              </w:rPr>
              <w:t>（</w:t>
            </w:r>
            <w:r>
              <w:rPr>
                <w:color w:val="auto"/>
              </w:rPr>
              <w:t>GB3095-2012</w:t>
            </w:r>
            <w:r>
              <w:rPr>
                <w:rFonts w:hint="eastAsia"/>
                <w:color w:val="auto"/>
                <w:lang w:eastAsia="zh-CN"/>
              </w:rPr>
              <w:t>）</w:t>
            </w:r>
            <w:r>
              <w:rPr>
                <w:color w:val="auto"/>
              </w:rPr>
              <w:t>二级标准</w:t>
            </w:r>
            <w:r>
              <w:rPr>
                <w:rFonts w:hint="eastAsia"/>
                <w:color w:val="auto"/>
                <w:lang w:val="en-US" w:eastAsia="zh-CN"/>
              </w:rPr>
              <w:t>要求</w:t>
            </w:r>
            <w:r>
              <w:rPr>
                <w:rFonts w:hint="eastAsia"/>
                <w:color w:val="auto"/>
              </w:rPr>
              <w:t>。</w:t>
            </w:r>
          </w:p>
          <w:p w14:paraId="1F98D4D7">
            <w:pPr>
              <w:ind w:firstLine="482"/>
              <w:rPr>
                <w:b/>
                <w:bCs/>
              </w:rPr>
            </w:pPr>
            <w:r>
              <w:rPr>
                <w:rFonts w:hint="eastAsia"/>
                <w:b/>
                <w:bCs/>
              </w:rPr>
              <w:t>3</w:t>
            </w:r>
            <w:r>
              <w:rPr>
                <w:b/>
                <w:bCs/>
              </w:rPr>
              <w:t>、声环境质量现状</w:t>
            </w:r>
          </w:p>
          <w:p w14:paraId="1CF947CE">
            <w:pPr>
              <w:ind w:firstLine="480"/>
            </w:pPr>
            <w:r>
              <w:t>本项目四周执行《声环境质量标准》（GB3096-2008）</w:t>
            </w:r>
            <w:r>
              <w:rPr>
                <w:rFonts w:hint="eastAsia"/>
              </w:rPr>
              <w:t>3</w:t>
            </w:r>
            <w:r>
              <w:t>类标准。项目厂界外</w:t>
            </w:r>
            <w:r>
              <w:rPr>
                <w:rFonts w:hint="eastAsia"/>
              </w:rPr>
              <w:t>50</w:t>
            </w:r>
            <w:r>
              <w:t>m范围内无</w:t>
            </w:r>
            <w:r>
              <w:rPr>
                <w:rFonts w:hint="eastAsia"/>
              </w:rPr>
              <w:t>声</w:t>
            </w:r>
            <w:r>
              <w:t>环境敏感目标。</w:t>
            </w:r>
          </w:p>
          <w:p w14:paraId="558DC243">
            <w:pPr>
              <w:ind w:firstLine="482"/>
              <w:rPr>
                <w:b/>
                <w:bCs/>
              </w:rPr>
            </w:pPr>
            <w:r>
              <w:rPr>
                <w:rFonts w:hint="eastAsia"/>
                <w:b/>
                <w:bCs/>
              </w:rPr>
              <w:t>4、生态环境现状</w:t>
            </w:r>
          </w:p>
          <w:p w14:paraId="6E8AC256">
            <w:pPr>
              <w:ind w:firstLine="480"/>
            </w:pPr>
            <w:r>
              <w:rPr>
                <w:rFonts w:hint="eastAsia"/>
              </w:rPr>
              <w:t>建设项目用地范围内无生态环境保护目标。</w:t>
            </w:r>
          </w:p>
          <w:p w14:paraId="1BADC950">
            <w:pPr>
              <w:ind w:firstLine="482"/>
              <w:rPr>
                <w:b/>
                <w:bCs/>
              </w:rPr>
            </w:pPr>
            <w:r>
              <w:rPr>
                <w:rFonts w:hint="eastAsia"/>
                <w:b/>
                <w:bCs/>
              </w:rPr>
              <w:t>5、土壤、地下水环境</w:t>
            </w:r>
          </w:p>
          <w:p w14:paraId="67F7EFD8">
            <w:pPr>
              <w:ind w:firstLine="480"/>
            </w:pPr>
            <w:r>
              <w:t>根据</w:t>
            </w:r>
            <w:r>
              <w:rPr>
                <w:lang w:val="zh-CN"/>
              </w:rPr>
              <w:t>《建设项目环境影响评价表编制技术指南（污染影响类）》（202</w:t>
            </w:r>
            <w:r>
              <w:t>1</w:t>
            </w:r>
            <w:r>
              <w:rPr>
                <w:lang w:val="zh-CN"/>
              </w:rPr>
              <w:t>年）</w:t>
            </w:r>
            <w:r>
              <w:t>的有关要求，地下水、土壤环境原则上不开展环境质量现状调查。项目位于工业园区，排放的废气污染物为颗粒物，出现大气沉降污染土壤及地下水的可能性较低。</w:t>
            </w:r>
            <w:r>
              <w:rPr>
                <w:rFonts w:hint="eastAsia"/>
              </w:rPr>
              <w:t>危废间和废水处理设施等</w:t>
            </w:r>
            <w:r>
              <w:t>独立</w:t>
            </w:r>
            <w:r>
              <w:rPr>
                <w:rFonts w:hint="eastAsia"/>
              </w:rPr>
              <w:t>设置</w:t>
            </w:r>
            <w:r>
              <w:t>且厂房周边地面已做硬化处理，出现液态原辅料外泄通过地表垂直入渗方式污染土壤及地下水的可能性较低。同时本项目采取“源头控制、分区防渗、污染监控、应急响应”等措施，可有效阻断土壤、地下水环境污染途径。本评价在此不对地下水和土壤环境质量现状进行调查。</w:t>
            </w:r>
          </w:p>
          <w:p w14:paraId="0C4EFEB7">
            <w:pPr>
              <w:ind w:firstLine="480"/>
              <w:rPr>
                <w:kern w:val="0"/>
                <w:szCs w:val="21"/>
              </w:rPr>
            </w:pPr>
            <w:r>
              <w:t>综上所述，项目选址周边环境空气质量、地表水环境质量、声环境质量</w:t>
            </w:r>
            <w:r>
              <w:rPr>
                <w:rFonts w:hint="eastAsia"/>
              </w:rPr>
              <w:t>、生态环境和地下水、土壤环境</w:t>
            </w:r>
            <w:r>
              <w:t>符合功能区划要求。项目所在区域整体环境质量良好。</w:t>
            </w:r>
          </w:p>
        </w:tc>
      </w:tr>
      <w:tr w14:paraId="117D9C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vAlign w:val="center"/>
          </w:tcPr>
          <w:p w14:paraId="18A1837F">
            <w:pPr>
              <w:ind w:firstLine="0" w:firstLineChars="0"/>
              <w:jc w:val="center"/>
              <w:rPr>
                <w:b/>
                <w:bCs/>
                <w:kern w:val="0"/>
              </w:rPr>
            </w:pPr>
            <w:r>
              <w:rPr>
                <w:b/>
                <w:bCs/>
                <w:kern w:val="0"/>
              </w:rPr>
              <w:t>环境</w:t>
            </w:r>
          </w:p>
          <w:p w14:paraId="626A1114">
            <w:pPr>
              <w:ind w:firstLine="0" w:firstLineChars="0"/>
              <w:jc w:val="center"/>
              <w:rPr>
                <w:b/>
                <w:bCs/>
                <w:kern w:val="0"/>
              </w:rPr>
            </w:pPr>
            <w:r>
              <w:rPr>
                <w:b/>
                <w:bCs/>
                <w:kern w:val="0"/>
              </w:rPr>
              <w:t>保护</w:t>
            </w:r>
          </w:p>
          <w:p w14:paraId="75F8E7FF">
            <w:pPr>
              <w:ind w:firstLine="0" w:firstLineChars="0"/>
              <w:jc w:val="center"/>
              <w:rPr>
                <w:kern w:val="0"/>
                <w:szCs w:val="21"/>
              </w:rPr>
            </w:pPr>
            <w:r>
              <w:rPr>
                <w:b/>
                <w:bCs/>
                <w:kern w:val="0"/>
              </w:rPr>
              <w:t>目标</w:t>
            </w:r>
          </w:p>
        </w:tc>
        <w:tc>
          <w:tcPr>
            <w:tcW w:w="8190" w:type="dxa"/>
            <w:vAlign w:val="center"/>
          </w:tcPr>
          <w:p w14:paraId="1780B837">
            <w:pPr>
              <w:spacing w:line="360" w:lineRule="auto"/>
              <w:ind w:firstLine="482"/>
              <w:rPr>
                <w:b/>
                <w:bCs/>
                <w:kern w:val="21"/>
              </w:rPr>
            </w:pPr>
            <w:r>
              <w:rPr>
                <w:b/>
                <w:bCs/>
                <w:kern w:val="21"/>
              </w:rPr>
              <w:t>主要环境保护目标</w:t>
            </w:r>
            <w:r>
              <w:rPr>
                <w:rFonts w:hint="eastAsia"/>
                <w:b/>
                <w:bCs/>
                <w:kern w:val="21"/>
              </w:rPr>
              <w:t>（</w:t>
            </w:r>
            <w:r>
              <w:rPr>
                <w:b/>
                <w:bCs/>
                <w:kern w:val="21"/>
              </w:rPr>
              <w:t>列出名单及保护级别</w:t>
            </w:r>
            <w:r>
              <w:rPr>
                <w:rFonts w:hint="eastAsia"/>
                <w:b/>
                <w:bCs/>
                <w:kern w:val="21"/>
              </w:rPr>
              <w:t>）</w:t>
            </w:r>
          </w:p>
          <w:p w14:paraId="1907FC28">
            <w:pPr>
              <w:spacing w:line="360" w:lineRule="auto"/>
              <w:ind w:firstLine="480"/>
              <w:jc w:val="left"/>
            </w:pPr>
            <w:r>
              <w:t>本项目</w:t>
            </w:r>
            <w:r>
              <w:rPr>
                <w:bCs/>
              </w:rPr>
              <w:t>位于</w:t>
            </w:r>
            <w:r>
              <w:rPr>
                <w:rFonts w:hint="eastAsia"/>
                <w:bCs/>
              </w:rPr>
              <w:t>江西高安</w:t>
            </w:r>
            <w:r>
              <w:rPr>
                <w:rFonts w:hint="eastAsia"/>
                <w:bCs/>
                <w:lang w:val="en-US" w:eastAsia="zh-CN"/>
              </w:rPr>
              <w:t>高新技术产业园区</w:t>
            </w:r>
            <w:r>
              <w:rPr>
                <w:rFonts w:hint="eastAsia"/>
                <w:bCs/>
              </w:rPr>
              <w:t>新世纪产业</w:t>
            </w:r>
            <w:r>
              <w:rPr>
                <w:rFonts w:hint="eastAsia"/>
                <w:bCs/>
                <w:lang w:val="en-US" w:eastAsia="zh-CN"/>
              </w:rPr>
              <w:t>园祥符收费站组团</w:t>
            </w:r>
            <w:r>
              <w:t>，项目</w:t>
            </w:r>
            <w:r>
              <w:rPr>
                <w:rFonts w:hint="eastAsia"/>
              </w:rPr>
              <w:t>各</w:t>
            </w:r>
            <w:r>
              <w:rPr>
                <w:rFonts w:hint="eastAsia"/>
                <w:lang w:val="en-US" w:eastAsia="zh-CN"/>
              </w:rPr>
              <w:t>环境</w:t>
            </w:r>
            <w:r>
              <w:rPr>
                <w:rFonts w:hint="eastAsia"/>
              </w:rPr>
              <w:t>要素环境保护目标如下：</w:t>
            </w:r>
          </w:p>
          <w:p w14:paraId="650928F2">
            <w:pPr>
              <w:spacing w:line="360" w:lineRule="auto"/>
              <w:ind w:firstLine="480"/>
              <w:jc w:val="left"/>
            </w:pPr>
            <w:r>
              <w:rPr>
                <w:rFonts w:hint="eastAsia"/>
              </w:rPr>
              <w:t>1、大气环境保护目标</w:t>
            </w:r>
          </w:p>
          <w:p w14:paraId="75EE3763">
            <w:pPr>
              <w:spacing w:line="360" w:lineRule="auto"/>
              <w:ind w:firstLine="480"/>
              <w:jc w:val="left"/>
            </w:pPr>
            <w:r>
              <w:rPr>
                <w:rFonts w:hint="eastAsia"/>
                <w:szCs w:val="32"/>
              </w:rPr>
              <w:t>项目边界外500m范围内环境空气保护目标：</w:t>
            </w:r>
            <w:r>
              <w:rPr>
                <w:rFonts w:hint="eastAsia"/>
                <w:lang w:val="en-US" w:eastAsia="zh-CN"/>
              </w:rPr>
              <w:t>杉林村、吾家庄散户</w:t>
            </w:r>
            <w:r>
              <w:rPr>
                <w:rFonts w:hint="eastAsia"/>
                <w:szCs w:val="32"/>
              </w:rPr>
              <w:t>。</w:t>
            </w:r>
          </w:p>
          <w:p w14:paraId="23680ED6">
            <w:pPr>
              <w:spacing w:line="360" w:lineRule="auto"/>
              <w:ind w:firstLine="480"/>
              <w:jc w:val="left"/>
            </w:pPr>
            <w:r>
              <w:rPr>
                <w:rFonts w:hint="eastAsia"/>
              </w:rPr>
              <w:t>2、</w:t>
            </w:r>
            <w:r>
              <w:t>声环境保护目标</w:t>
            </w:r>
          </w:p>
          <w:p w14:paraId="03C83C2B">
            <w:pPr>
              <w:spacing w:line="360" w:lineRule="auto"/>
              <w:ind w:firstLine="480"/>
              <w:jc w:val="left"/>
            </w:pPr>
            <w:r>
              <w:rPr>
                <w:rFonts w:hint="eastAsia"/>
              </w:rPr>
              <w:t>项目厂界外50米范围内无声环境保护目标。</w:t>
            </w:r>
          </w:p>
          <w:p w14:paraId="08EA81E3">
            <w:pPr>
              <w:spacing w:line="360" w:lineRule="auto"/>
              <w:ind w:firstLine="480"/>
              <w:jc w:val="left"/>
            </w:pPr>
            <w:r>
              <w:rPr>
                <w:rFonts w:hint="eastAsia"/>
              </w:rPr>
              <w:t>3、</w:t>
            </w:r>
            <w:r>
              <w:t>地</w:t>
            </w:r>
            <w:r>
              <w:rPr>
                <w:rFonts w:hint="eastAsia"/>
              </w:rPr>
              <w:t>表</w:t>
            </w:r>
            <w:r>
              <w:t>水环境保护目标</w:t>
            </w:r>
          </w:p>
          <w:p w14:paraId="15A77679">
            <w:pPr>
              <w:spacing w:line="360" w:lineRule="auto"/>
              <w:ind w:firstLine="480"/>
              <w:jc w:val="left"/>
            </w:pPr>
            <w:r>
              <w:rPr>
                <w:rFonts w:hint="eastAsia"/>
              </w:rPr>
              <w:t>本项目地表水环境保护目标不涉及饮用水水源保护区、饮用水取水口，涉水的自然保护区、风景名胜区，重要湿地、重点保护与珍稀水生生物的栖息地、重要水生生物的自然产卵场及索饵场、越冬场和游通道，天然渔场等渔业水体，以及水产种质资源保护区等水环境保护目标。</w:t>
            </w:r>
          </w:p>
          <w:p w14:paraId="116D6681">
            <w:pPr>
              <w:spacing w:line="360" w:lineRule="auto"/>
              <w:ind w:firstLine="480"/>
              <w:jc w:val="left"/>
            </w:pPr>
            <w:r>
              <w:rPr>
                <w:rFonts w:hint="eastAsia"/>
              </w:rPr>
              <w:t>4、地下水环境保护目标</w:t>
            </w:r>
          </w:p>
          <w:p w14:paraId="608DE78F">
            <w:pPr>
              <w:spacing w:line="360" w:lineRule="auto"/>
              <w:ind w:firstLine="480"/>
              <w:jc w:val="left"/>
            </w:pPr>
            <w:r>
              <w:t>厂界外500米范围内无地下水集中式饮用水水源和热水、矿泉水、温泉等特殊地下水资源。</w:t>
            </w:r>
          </w:p>
          <w:p w14:paraId="043A02DB">
            <w:pPr>
              <w:spacing w:line="360" w:lineRule="auto"/>
              <w:ind w:firstLine="480"/>
              <w:jc w:val="left"/>
            </w:pPr>
            <w:r>
              <w:rPr>
                <w:rFonts w:hint="eastAsia"/>
              </w:rPr>
              <w:t>5、生态环境保护目标</w:t>
            </w:r>
          </w:p>
          <w:p w14:paraId="634562EA">
            <w:pPr>
              <w:spacing w:line="360" w:lineRule="auto"/>
              <w:ind w:firstLine="480"/>
              <w:jc w:val="left"/>
            </w:pPr>
            <w:r>
              <w:rPr>
                <w:rFonts w:hint="eastAsia"/>
              </w:rPr>
              <w:t>本项目评价范围内不涉及《环境影响评价技术导则</w:t>
            </w:r>
            <w:r>
              <w:rPr>
                <w:rFonts w:hint="eastAsia"/>
                <w:lang w:val="en-US" w:eastAsia="zh-CN"/>
              </w:rPr>
              <w:t xml:space="preserve">  </w:t>
            </w:r>
            <w:r>
              <w:rPr>
                <w:rFonts w:hint="eastAsia"/>
              </w:rPr>
              <w:t>生态影响》</w:t>
            </w:r>
            <w:r>
              <w:rPr>
                <w:rFonts w:hint="eastAsia"/>
                <w:lang w:eastAsia="zh-CN"/>
              </w:rPr>
              <w:t>（</w:t>
            </w:r>
            <w:r>
              <w:rPr>
                <w:rFonts w:hint="eastAsia"/>
              </w:rPr>
              <w:t>HJ19-2022</w:t>
            </w:r>
            <w:r>
              <w:rPr>
                <w:rFonts w:hint="eastAsia"/>
                <w:lang w:eastAsia="zh-CN"/>
              </w:rPr>
              <w:t>）</w:t>
            </w:r>
            <w:r>
              <w:rPr>
                <w:rFonts w:hint="eastAsia"/>
              </w:rPr>
              <w:t>中规定的国家公园、自然保护区、世界自然遗产、重要生境和自然公园等生态敏感区。</w:t>
            </w:r>
          </w:p>
          <w:p w14:paraId="01A2CABD">
            <w:pPr>
              <w:pStyle w:val="59"/>
              <w:numPr>
                <w:ilvl w:val="0"/>
                <w:numId w:val="0"/>
              </w:numPr>
              <w:tabs>
                <w:tab w:val="left" w:pos="0"/>
              </w:tabs>
              <w:ind w:left="0" w:leftChars="0" w:firstLine="0" w:firstLineChars="0"/>
              <w:rPr>
                <w:b/>
                <w:bCs/>
              </w:rPr>
            </w:pPr>
            <w:r>
              <w:rPr>
                <w:rFonts w:hint="default" w:ascii="Times New Roman" w:hAnsi="Times New Roman" w:eastAsia="宋体" w:cs="Times New Roman"/>
                <w:b/>
                <w:bCs/>
                <w:kern w:val="2"/>
                <w:sz w:val="21"/>
                <w:szCs w:val="21"/>
                <w:lang w:val="en-US" w:eastAsia="zh-CN" w:bidi="ar-SA"/>
              </w:rPr>
              <w:t xml:space="preserve">表3-4 </w:t>
            </w:r>
            <w:r>
              <w:rPr>
                <w:rFonts w:hint="eastAsia"/>
                <w:b/>
                <w:bCs/>
              </w:rPr>
              <w:t>环境保护目标</w:t>
            </w:r>
          </w:p>
          <w:tbl>
            <w:tblPr>
              <w:tblStyle w:val="41"/>
              <w:tblW w:w="4983"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28" w:type="dxa"/>
                <w:bottom w:w="0" w:type="dxa"/>
                <w:right w:w="28" w:type="dxa"/>
              </w:tblCellMar>
            </w:tblPr>
            <w:tblGrid>
              <w:gridCol w:w="700"/>
              <w:gridCol w:w="1326"/>
              <w:gridCol w:w="851"/>
              <w:gridCol w:w="785"/>
              <w:gridCol w:w="695"/>
              <w:gridCol w:w="1150"/>
              <w:gridCol w:w="1114"/>
              <w:gridCol w:w="1771"/>
            </w:tblGrid>
            <w:tr w14:paraId="266F1B3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336" w:hRule="atLeast"/>
                <w:jc w:val="center"/>
              </w:trPr>
              <w:tc>
                <w:tcPr>
                  <w:tcW w:w="417" w:type="pct"/>
                  <w:vMerge w:val="restart"/>
                  <w:tcBorders>
                    <w:tl2br w:val="nil"/>
                    <w:tr2bl w:val="nil"/>
                  </w:tcBorders>
                  <w:vAlign w:val="center"/>
                </w:tcPr>
                <w:p w14:paraId="7709C430">
                  <w:pPr>
                    <w:pStyle w:val="56"/>
                    <w:bidi w:val="0"/>
                  </w:pPr>
                  <w:r>
                    <w:t>环境</w:t>
                  </w:r>
                </w:p>
                <w:p w14:paraId="7EB6F0AD">
                  <w:pPr>
                    <w:pStyle w:val="56"/>
                    <w:bidi w:val="0"/>
                    <w:rPr>
                      <w:color w:val="auto"/>
                    </w:rPr>
                  </w:pPr>
                  <w:r>
                    <w:t>要素</w:t>
                  </w:r>
                </w:p>
              </w:tc>
              <w:tc>
                <w:tcPr>
                  <w:tcW w:w="790" w:type="pct"/>
                  <w:vMerge w:val="restart"/>
                  <w:tcBorders>
                    <w:tl2br w:val="nil"/>
                    <w:tr2bl w:val="nil"/>
                  </w:tcBorders>
                  <w:vAlign w:val="center"/>
                </w:tcPr>
                <w:p w14:paraId="121CEC03">
                  <w:pPr>
                    <w:pStyle w:val="56"/>
                    <w:bidi w:val="0"/>
                  </w:pPr>
                  <w:r>
                    <w:t>环境保</w:t>
                  </w:r>
                </w:p>
                <w:p w14:paraId="18F26546">
                  <w:pPr>
                    <w:pStyle w:val="56"/>
                    <w:bidi w:val="0"/>
                    <w:rPr>
                      <w:color w:val="auto"/>
                    </w:rPr>
                  </w:pPr>
                  <w:r>
                    <w:t>护目标</w:t>
                  </w:r>
                </w:p>
              </w:tc>
              <w:tc>
                <w:tcPr>
                  <w:tcW w:w="975" w:type="pct"/>
                  <w:gridSpan w:val="2"/>
                  <w:tcBorders>
                    <w:tl2br w:val="nil"/>
                    <w:tr2bl w:val="nil"/>
                  </w:tcBorders>
                  <w:vAlign w:val="center"/>
                </w:tcPr>
                <w:p w14:paraId="3A5B4C85">
                  <w:pPr>
                    <w:pStyle w:val="56"/>
                    <w:bidi w:val="0"/>
                    <w:rPr>
                      <w:color w:val="auto"/>
                    </w:rPr>
                  </w:pPr>
                  <w:r>
                    <w:t>坐标</w:t>
                  </w:r>
                </w:p>
              </w:tc>
              <w:tc>
                <w:tcPr>
                  <w:tcW w:w="414" w:type="pct"/>
                  <w:vMerge w:val="restart"/>
                  <w:tcBorders>
                    <w:tl2br w:val="nil"/>
                    <w:tr2bl w:val="nil"/>
                  </w:tcBorders>
                  <w:vAlign w:val="center"/>
                </w:tcPr>
                <w:p w14:paraId="3347552B">
                  <w:pPr>
                    <w:pStyle w:val="56"/>
                    <w:bidi w:val="0"/>
                    <w:rPr>
                      <w:color w:val="auto"/>
                    </w:rPr>
                  </w:pPr>
                  <w:r>
                    <w:t>方位</w:t>
                  </w:r>
                </w:p>
              </w:tc>
              <w:tc>
                <w:tcPr>
                  <w:tcW w:w="685" w:type="pct"/>
                  <w:vMerge w:val="restart"/>
                  <w:tcBorders>
                    <w:tl2br w:val="nil"/>
                    <w:tr2bl w:val="nil"/>
                  </w:tcBorders>
                  <w:vAlign w:val="center"/>
                </w:tcPr>
                <w:p w14:paraId="6A3EB895">
                  <w:pPr>
                    <w:pStyle w:val="56"/>
                    <w:bidi w:val="0"/>
                    <w:rPr>
                      <w:color w:val="auto"/>
                    </w:rPr>
                  </w:pPr>
                  <w:r>
                    <w:t>距离厂界最近距离/m</w:t>
                  </w:r>
                </w:p>
              </w:tc>
              <w:tc>
                <w:tcPr>
                  <w:tcW w:w="661" w:type="pct"/>
                  <w:vMerge w:val="restart"/>
                  <w:tcBorders>
                    <w:tl2br w:val="nil"/>
                    <w:tr2bl w:val="nil"/>
                  </w:tcBorders>
                  <w:vAlign w:val="center"/>
                </w:tcPr>
                <w:p w14:paraId="12E7FB08">
                  <w:pPr>
                    <w:pStyle w:val="56"/>
                    <w:bidi w:val="0"/>
                    <w:rPr>
                      <w:color w:val="auto"/>
                    </w:rPr>
                  </w:pPr>
                  <w:r>
                    <w:t>规模/人</w:t>
                  </w:r>
                </w:p>
              </w:tc>
              <w:tc>
                <w:tcPr>
                  <w:tcW w:w="1053" w:type="pct"/>
                  <w:vMerge w:val="restart"/>
                  <w:tcBorders>
                    <w:tl2br w:val="nil"/>
                    <w:tr2bl w:val="nil"/>
                  </w:tcBorders>
                  <w:vAlign w:val="center"/>
                </w:tcPr>
                <w:p w14:paraId="5F6D6EF1">
                  <w:pPr>
                    <w:pStyle w:val="56"/>
                    <w:bidi w:val="0"/>
                    <w:rPr>
                      <w:color w:val="auto"/>
                    </w:rPr>
                  </w:pPr>
                  <w:r>
                    <w:t>保护级别</w:t>
                  </w:r>
                </w:p>
              </w:tc>
            </w:tr>
            <w:tr w14:paraId="2E51331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353" w:hRule="atLeast"/>
                <w:jc w:val="center"/>
              </w:trPr>
              <w:tc>
                <w:tcPr>
                  <w:tcW w:w="417" w:type="pct"/>
                  <w:vMerge w:val="continue"/>
                  <w:tcBorders>
                    <w:tl2br w:val="nil"/>
                    <w:tr2bl w:val="nil"/>
                  </w:tcBorders>
                  <w:vAlign w:val="center"/>
                </w:tcPr>
                <w:p w14:paraId="5A8C8004">
                  <w:pPr>
                    <w:pStyle w:val="56"/>
                    <w:jc w:val="center"/>
                    <w:rPr>
                      <w:color w:val="auto"/>
                    </w:rPr>
                  </w:pPr>
                </w:p>
              </w:tc>
              <w:tc>
                <w:tcPr>
                  <w:tcW w:w="790" w:type="pct"/>
                  <w:vMerge w:val="continue"/>
                  <w:tcBorders>
                    <w:tl2br w:val="nil"/>
                    <w:tr2bl w:val="nil"/>
                  </w:tcBorders>
                  <w:vAlign w:val="center"/>
                </w:tcPr>
                <w:p w14:paraId="10CB71C6">
                  <w:pPr>
                    <w:pStyle w:val="56"/>
                    <w:jc w:val="center"/>
                    <w:rPr>
                      <w:color w:val="auto"/>
                    </w:rPr>
                  </w:pPr>
                </w:p>
              </w:tc>
              <w:tc>
                <w:tcPr>
                  <w:tcW w:w="507" w:type="pct"/>
                  <w:tcBorders>
                    <w:tl2br w:val="nil"/>
                    <w:tr2bl w:val="nil"/>
                  </w:tcBorders>
                  <w:vAlign w:val="center"/>
                </w:tcPr>
                <w:p w14:paraId="6CC03D7A">
                  <w:pPr>
                    <w:pStyle w:val="56"/>
                    <w:bidi w:val="0"/>
                    <w:rPr>
                      <w:color w:val="auto"/>
                    </w:rPr>
                  </w:pPr>
                  <w:r>
                    <w:t>X</w:t>
                  </w:r>
                </w:p>
              </w:tc>
              <w:tc>
                <w:tcPr>
                  <w:tcW w:w="467" w:type="pct"/>
                  <w:tcBorders>
                    <w:tl2br w:val="nil"/>
                    <w:tr2bl w:val="nil"/>
                  </w:tcBorders>
                  <w:vAlign w:val="center"/>
                </w:tcPr>
                <w:p w14:paraId="2DEF20A2">
                  <w:pPr>
                    <w:pStyle w:val="56"/>
                    <w:bidi w:val="0"/>
                    <w:rPr>
                      <w:color w:val="auto"/>
                    </w:rPr>
                  </w:pPr>
                  <w:r>
                    <w:t>Y</w:t>
                  </w:r>
                </w:p>
              </w:tc>
              <w:tc>
                <w:tcPr>
                  <w:tcW w:w="414" w:type="pct"/>
                  <w:vMerge w:val="continue"/>
                  <w:tcBorders>
                    <w:tl2br w:val="nil"/>
                    <w:tr2bl w:val="nil"/>
                  </w:tcBorders>
                  <w:vAlign w:val="center"/>
                </w:tcPr>
                <w:p w14:paraId="7CA86D14">
                  <w:pPr>
                    <w:pStyle w:val="56"/>
                    <w:jc w:val="center"/>
                    <w:rPr>
                      <w:color w:val="auto"/>
                    </w:rPr>
                  </w:pPr>
                </w:p>
              </w:tc>
              <w:tc>
                <w:tcPr>
                  <w:tcW w:w="685" w:type="pct"/>
                  <w:vMerge w:val="continue"/>
                  <w:tcBorders>
                    <w:tl2br w:val="nil"/>
                    <w:tr2bl w:val="nil"/>
                  </w:tcBorders>
                  <w:vAlign w:val="center"/>
                </w:tcPr>
                <w:p w14:paraId="2DD4E3F2">
                  <w:pPr>
                    <w:pStyle w:val="56"/>
                    <w:jc w:val="center"/>
                    <w:rPr>
                      <w:color w:val="auto"/>
                    </w:rPr>
                  </w:pPr>
                </w:p>
              </w:tc>
              <w:tc>
                <w:tcPr>
                  <w:tcW w:w="661" w:type="pct"/>
                  <w:vMerge w:val="continue"/>
                  <w:tcBorders>
                    <w:tl2br w:val="nil"/>
                    <w:tr2bl w:val="nil"/>
                  </w:tcBorders>
                  <w:vAlign w:val="center"/>
                </w:tcPr>
                <w:p w14:paraId="7ED3F8B7">
                  <w:pPr>
                    <w:pStyle w:val="56"/>
                    <w:jc w:val="center"/>
                    <w:rPr>
                      <w:color w:val="auto"/>
                    </w:rPr>
                  </w:pPr>
                </w:p>
              </w:tc>
              <w:tc>
                <w:tcPr>
                  <w:tcW w:w="1053" w:type="pct"/>
                  <w:vMerge w:val="continue"/>
                  <w:tcBorders>
                    <w:tl2br w:val="nil"/>
                    <w:tr2bl w:val="nil"/>
                  </w:tcBorders>
                  <w:vAlign w:val="center"/>
                </w:tcPr>
                <w:p w14:paraId="6401FEB4">
                  <w:pPr>
                    <w:pStyle w:val="56"/>
                    <w:jc w:val="center"/>
                    <w:rPr>
                      <w:color w:val="auto"/>
                    </w:rPr>
                  </w:pPr>
                </w:p>
              </w:tc>
            </w:tr>
            <w:tr w14:paraId="3F2B738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90" w:hRule="atLeast"/>
                <w:jc w:val="center"/>
              </w:trPr>
              <w:tc>
                <w:tcPr>
                  <w:tcW w:w="417" w:type="pct"/>
                  <w:vMerge w:val="restart"/>
                  <w:tcBorders>
                    <w:tl2br w:val="nil"/>
                    <w:tr2bl w:val="nil"/>
                  </w:tcBorders>
                  <w:vAlign w:val="center"/>
                </w:tcPr>
                <w:p w14:paraId="58FC3C85">
                  <w:pPr>
                    <w:pStyle w:val="56"/>
                    <w:bidi w:val="0"/>
                  </w:pPr>
                  <w:r>
                    <w:t>大气</w:t>
                  </w:r>
                </w:p>
                <w:p w14:paraId="08CA3D77">
                  <w:pPr>
                    <w:pStyle w:val="56"/>
                    <w:bidi w:val="0"/>
                    <w:rPr>
                      <w:color w:val="auto"/>
                    </w:rPr>
                  </w:pPr>
                  <w:r>
                    <w:t>环境</w:t>
                  </w:r>
                </w:p>
              </w:tc>
              <w:tc>
                <w:tcPr>
                  <w:tcW w:w="790" w:type="pct"/>
                  <w:tcBorders>
                    <w:tl2br w:val="nil"/>
                    <w:tr2bl w:val="nil"/>
                  </w:tcBorders>
                  <w:vAlign w:val="center"/>
                </w:tcPr>
                <w:p w14:paraId="1C4DD8E8">
                  <w:pPr>
                    <w:pStyle w:val="56"/>
                    <w:bidi w:val="0"/>
                    <w:rPr>
                      <w:rFonts w:hint="eastAsia" w:eastAsia="宋体"/>
                      <w:color w:val="auto"/>
                      <w:lang w:val="en-US" w:eastAsia="zh-CN"/>
                    </w:rPr>
                  </w:pPr>
                  <w:r>
                    <w:rPr>
                      <w:rFonts w:hint="eastAsia"/>
                      <w:lang w:val="en-US" w:eastAsia="zh-CN"/>
                    </w:rPr>
                    <w:t>杉林村</w:t>
                  </w:r>
                </w:p>
              </w:tc>
              <w:tc>
                <w:tcPr>
                  <w:tcW w:w="507" w:type="pct"/>
                  <w:tcBorders>
                    <w:tl2br w:val="nil"/>
                    <w:tr2bl w:val="nil"/>
                  </w:tcBorders>
                  <w:vAlign w:val="center"/>
                </w:tcPr>
                <w:p w14:paraId="3EDDA111">
                  <w:pPr>
                    <w:pStyle w:val="56"/>
                    <w:bidi w:val="0"/>
                    <w:rPr>
                      <w:color w:val="auto"/>
                    </w:rPr>
                  </w:pPr>
                  <w:r>
                    <w:rPr>
                      <w:rFonts w:hint="eastAsia"/>
                      <w:lang w:val="en-US" w:eastAsia="zh-CN"/>
                    </w:rPr>
                    <w:t>-335</w:t>
                  </w:r>
                </w:p>
              </w:tc>
              <w:tc>
                <w:tcPr>
                  <w:tcW w:w="467" w:type="pct"/>
                  <w:tcBorders>
                    <w:tl2br w:val="nil"/>
                    <w:tr2bl w:val="nil"/>
                  </w:tcBorders>
                  <w:vAlign w:val="center"/>
                </w:tcPr>
                <w:p w14:paraId="6E135529">
                  <w:pPr>
                    <w:pStyle w:val="56"/>
                    <w:bidi w:val="0"/>
                    <w:rPr>
                      <w:rFonts w:hint="default" w:eastAsia="宋体"/>
                      <w:color w:val="auto"/>
                      <w:lang w:val="en-US" w:eastAsia="zh-CN"/>
                    </w:rPr>
                  </w:pPr>
                  <w:r>
                    <w:rPr>
                      <w:rFonts w:hint="eastAsia"/>
                      <w:lang w:val="en-US" w:eastAsia="zh-CN"/>
                    </w:rPr>
                    <w:t>450</w:t>
                  </w:r>
                </w:p>
              </w:tc>
              <w:tc>
                <w:tcPr>
                  <w:tcW w:w="414" w:type="pct"/>
                  <w:tcBorders>
                    <w:tl2br w:val="nil"/>
                    <w:tr2bl w:val="nil"/>
                  </w:tcBorders>
                  <w:vAlign w:val="center"/>
                </w:tcPr>
                <w:p w14:paraId="36475150">
                  <w:pPr>
                    <w:pStyle w:val="56"/>
                    <w:bidi w:val="0"/>
                    <w:rPr>
                      <w:rFonts w:hint="eastAsia" w:eastAsia="宋体"/>
                      <w:color w:val="auto"/>
                      <w:lang w:val="en-US" w:eastAsia="zh-CN"/>
                    </w:rPr>
                  </w:pPr>
                  <w:r>
                    <w:rPr>
                      <w:rFonts w:hint="eastAsia"/>
                      <w:lang w:val="en-US" w:eastAsia="zh-CN"/>
                    </w:rPr>
                    <w:t>西北</w:t>
                  </w:r>
                </w:p>
              </w:tc>
              <w:tc>
                <w:tcPr>
                  <w:tcW w:w="685" w:type="pct"/>
                  <w:tcBorders>
                    <w:tl2br w:val="nil"/>
                    <w:tr2bl w:val="nil"/>
                  </w:tcBorders>
                  <w:vAlign w:val="center"/>
                </w:tcPr>
                <w:p w14:paraId="59D1EB61">
                  <w:pPr>
                    <w:pStyle w:val="56"/>
                    <w:bidi w:val="0"/>
                    <w:rPr>
                      <w:rFonts w:hint="default" w:eastAsia="宋体"/>
                      <w:color w:val="auto"/>
                      <w:lang w:val="en-US" w:eastAsia="zh-CN"/>
                    </w:rPr>
                  </w:pPr>
                  <w:r>
                    <w:rPr>
                      <w:rFonts w:hint="eastAsia"/>
                      <w:lang w:val="en-US" w:eastAsia="zh-CN"/>
                    </w:rPr>
                    <w:t>479</w:t>
                  </w:r>
                </w:p>
              </w:tc>
              <w:tc>
                <w:tcPr>
                  <w:tcW w:w="661" w:type="pct"/>
                  <w:tcBorders>
                    <w:tl2br w:val="nil"/>
                    <w:tr2bl w:val="nil"/>
                  </w:tcBorders>
                  <w:vAlign w:val="center"/>
                </w:tcPr>
                <w:p w14:paraId="664BA20B">
                  <w:pPr>
                    <w:pStyle w:val="56"/>
                    <w:bidi w:val="0"/>
                    <w:rPr>
                      <w:rFonts w:hint="default" w:eastAsia="宋体"/>
                      <w:color w:val="auto"/>
                      <w:lang w:val="en-US" w:eastAsia="zh-CN"/>
                    </w:rPr>
                  </w:pPr>
                  <w:r>
                    <w:rPr>
                      <w:rFonts w:hint="eastAsia"/>
                      <w:lang w:val="en-US" w:eastAsia="zh-CN"/>
                    </w:rPr>
                    <w:t>200</w:t>
                  </w:r>
                </w:p>
              </w:tc>
              <w:tc>
                <w:tcPr>
                  <w:tcW w:w="1053" w:type="pct"/>
                  <w:vMerge w:val="restart"/>
                  <w:tcBorders>
                    <w:tl2br w:val="nil"/>
                    <w:tr2bl w:val="nil"/>
                  </w:tcBorders>
                  <w:vAlign w:val="center"/>
                </w:tcPr>
                <w:p w14:paraId="5E1E0E18">
                  <w:pPr>
                    <w:pStyle w:val="56"/>
                    <w:bidi w:val="0"/>
                    <w:rPr>
                      <w:color w:val="auto"/>
                    </w:rPr>
                  </w:pPr>
                  <w:r>
                    <w:rPr>
                      <w:rFonts w:hint="eastAsia"/>
                    </w:rPr>
                    <w:t>（GB3095-2012）二级标准</w:t>
                  </w:r>
                </w:p>
              </w:tc>
            </w:tr>
            <w:tr w14:paraId="522B7D2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90" w:hRule="atLeast"/>
                <w:jc w:val="center"/>
              </w:trPr>
              <w:tc>
                <w:tcPr>
                  <w:tcW w:w="417" w:type="pct"/>
                  <w:vMerge w:val="continue"/>
                  <w:tcBorders>
                    <w:tl2br w:val="nil"/>
                    <w:tr2bl w:val="nil"/>
                  </w:tcBorders>
                  <w:vAlign w:val="center"/>
                </w:tcPr>
                <w:p w14:paraId="3B6D964B">
                  <w:pPr>
                    <w:pStyle w:val="56"/>
                    <w:jc w:val="center"/>
                    <w:rPr>
                      <w:color w:val="auto"/>
                    </w:rPr>
                  </w:pPr>
                </w:p>
              </w:tc>
              <w:tc>
                <w:tcPr>
                  <w:tcW w:w="790" w:type="pct"/>
                  <w:tcBorders>
                    <w:tl2br w:val="nil"/>
                    <w:tr2bl w:val="nil"/>
                  </w:tcBorders>
                  <w:vAlign w:val="center"/>
                </w:tcPr>
                <w:p w14:paraId="234C6737">
                  <w:pPr>
                    <w:pStyle w:val="56"/>
                    <w:bidi w:val="0"/>
                    <w:rPr>
                      <w:rFonts w:hint="default" w:eastAsia="宋体"/>
                      <w:color w:val="auto"/>
                      <w:lang w:val="en-US" w:eastAsia="zh-CN"/>
                    </w:rPr>
                  </w:pPr>
                  <w:r>
                    <w:rPr>
                      <w:rFonts w:hint="eastAsia"/>
                      <w:lang w:val="en-US" w:eastAsia="zh-CN"/>
                    </w:rPr>
                    <w:t>吾家庄散户</w:t>
                  </w:r>
                </w:p>
              </w:tc>
              <w:tc>
                <w:tcPr>
                  <w:tcW w:w="507" w:type="pct"/>
                  <w:tcBorders>
                    <w:tl2br w:val="nil"/>
                    <w:tr2bl w:val="nil"/>
                  </w:tcBorders>
                  <w:vAlign w:val="center"/>
                </w:tcPr>
                <w:p w14:paraId="2248494E">
                  <w:pPr>
                    <w:pStyle w:val="56"/>
                    <w:bidi w:val="0"/>
                    <w:rPr>
                      <w:rFonts w:hint="default" w:eastAsia="宋体"/>
                      <w:color w:val="auto"/>
                      <w:lang w:val="en-US" w:eastAsia="zh-CN"/>
                    </w:rPr>
                  </w:pPr>
                  <w:r>
                    <w:rPr>
                      <w:rFonts w:hint="eastAsia"/>
                      <w:lang w:val="en-US" w:eastAsia="zh-CN"/>
                    </w:rPr>
                    <w:t>610</w:t>
                  </w:r>
                </w:p>
              </w:tc>
              <w:tc>
                <w:tcPr>
                  <w:tcW w:w="467" w:type="pct"/>
                  <w:tcBorders>
                    <w:tl2br w:val="nil"/>
                    <w:tr2bl w:val="nil"/>
                  </w:tcBorders>
                  <w:vAlign w:val="center"/>
                </w:tcPr>
                <w:p w14:paraId="0F9E25E0">
                  <w:pPr>
                    <w:pStyle w:val="56"/>
                    <w:bidi w:val="0"/>
                    <w:rPr>
                      <w:rFonts w:hint="default" w:eastAsia="宋体"/>
                      <w:color w:val="auto"/>
                      <w:lang w:val="en-US" w:eastAsia="zh-CN"/>
                    </w:rPr>
                  </w:pPr>
                  <w:r>
                    <w:rPr>
                      <w:rFonts w:hint="eastAsia"/>
                      <w:lang w:val="en-US" w:eastAsia="zh-CN"/>
                    </w:rPr>
                    <w:t>140</w:t>
                  </w:r>
                </w:p>
              </w:tc>
              <w:tc>
                <w:tcPr>
                  <w:tcW w:w="414" w:type="pct"/>
                  <w:tcBorders>
                    <w:tl2br w:val="nil"/>
                    <w:tr2bl w:val="nil"/>
                  </w:tcBorders>
                  <w:vAlign w:val="center"/>
                </w:tcPr>
                <w:p w14:paraId="1D6EF4A4">
                  <w:pPr>
                    <w:pStyle w:val="56"/>
                    <w:bidi w:val="0"/>
                    <w:rPr>
                      <w:rFonts w:hint="eastAsia" w:eastAsia="宋体"/>
                      <w:color w:val="auto"/>
                      <w:lang w:val="en-US" w:eastAsia="zh-CN"/>
                    </w:rPr>
                  </w:pPr>
                  <w:r>
                    <w:rPr>
                      <w:rFonts w:hint="eastAsia"/>
                      <w:lang w:val="en-US" w:eastAsia="zh-CN"/>
                    </w:rPr>
                    <w:t>东北</w:t>
                  </w:r>
                </w:p>
              </w:tc>
              <w:tc>
                <w:tcPr>
                  <w:tcW w:w="685" w:type="pct"/>
                  <w:tcBorders>
                    <w:tl2br w:val="nil"/>
                    <w:tr2bl w:val="nil"/>
                  </w:tcBorders>
                  <w:vAlign w:val="center"/>
                </w:tcPr>
                <w:p w14:paraId="7F3346F3">
                  <w:pPr>
                    <w:pStyle w:val="56"/>
                    <w:bidi w:val="0"/>
                    <w:rPr>
                      <w:rFonts w:hint="default" w:eastAsia="宋体"/>
                      <w:color w:val="auto"/>
                      <w:lang w:val="en-US" w:eastAsia="zh-CN"/>
                    </w:rPr>
                  </w:pPr>
                  <w:r>
                    <w:rPr>
                      <w:rFonts w:hint="eastAsia"/>
                      <w:lang w:val="en-US" w:eastAsia="zh-CN"/>
                    </w:rPr>
                    <w:t>500</w:t>
                  </w:r>
                </w:p>
              </w:tc>
              <w:tc>
                <w:tcPr>
                  <w:tcW w:w="661" w:type="pct"/>
                  <w:tcBorders>
                    <w:tl2br w:val="nil"/>
                    <w:tr2bl w:val="nil"/>
                  </w:tcBorders>
                  <w:vAlign w:val="center"/>
                </w:tcPr>
                <w:p w14:paraId="759A3031">
                  <w:pPr>
                    <w:pStyle w:val="56"/>
                    <w:bidi w:val="0"/>
                    <w:rPr>
                      <w:rFonts w:hint="default" w:eastAsia="宋体"/>
                      <w:color w:val="auto"/>
                      <w:lang w:val="en-US" w:eastAsia="zh-CN"/>
                    </w:rPr>
                  </w:pPr>
                  <w:r>
                    <w:rPr>
                      <w:rFonts w:hint="eastAsia"/>
                      <w:lang w:val="en-US" w:eastAsia="zh-CN"/>
                    </w:rPr>
                    <w:t>40</w:t>
                  </w:r>
                </w:p>
              </w:tc>
              <w:tc>
                <w:tcPr>
                  <w:tcW w:w="1053" w:type="pct"/>
                  <w:vMerge w:val="continue"/>
                  <w:tcBorders>
                    <w:tl2br w:val="nil"/>
                    <w:tr2bl w:val="nil"/>
                  </w:tcBorders>
                  <w:vAlign w:val="center"/>
                </w:tcPr>
                <w:p w14:paraId="32500710">
                  <w:pPr>
                    <w:pStyle w:val="56"/>
                    <w:jc w:val="center"/>
                    <w:rPr>
                      <w:rFonts w:hint="eastAsia"/>
                      <w:color w:val="auto"/>
                    </w:rPr>
                  </w:pPr>
                </w:p>
              </w:tc>
            </w:tr>
            <w:tr w14:paraId="142B6BB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90" w:hRule="atLeast"/>
                <w:jc w:val="center"/>
              </w:trPr>
              <w:tc>
                <w:tcPr>
                  <w:tcW w:w="417" w:type="pct"/>
                  <w:tcBorders>
                    <w:tl2br w:val="nil"/>
                    <w:tr2bl w:val="nil"/>
                  </w:tcBorders>
                  <w:vAlign w:val="center"/>
                </w:tcPr>
                <w:p w14:paraId="09EED7D0">
                  <w:pPr>
                    <w:pStyle w:val="56"/>
                    <w:bidi w:val="0"/>
                    <w:rPr>
                      <w:color w:val="auto"/>
                    </w:rPr>
                  </w:pPr>
                  <w:r>
                    <w:t>声环境</w:t>
                  </w:r>
                </w:p>
              </w:tc>
              <w:tc>
                <w:tcPr>
                  <w:tcW w:w="790" w:type="pct"/>
                  <w:tcBorders>
                    <w:tl2br w:val="nil"/>
                    <w:tr2bl w:val="nil"/>
                  </w:tcBorders>
                  <w:vAlign w:val="center"/>
                </w:tcPr>
                <w:p w14:paraId="70A5EA3D">
                  <w:pPr>
                    <w:pStyle w:val="56"/>
                    <w:bidi w:val="0"/>
                    <w:rPr>
                      <w:color w:val="auto"/>
                    </w:rPr>
                  </w:pPr>
                  <w:r>
                    <w:t>厂界</w:t>
                  </w:r>
                </w:p>
              </w:tc>
              <w:tc>
                <w:tcPr>
                  <w:tcW w:w="2738" w:type="pct"/>
                  <w:gridSpan w:val="5"/>
                  <w:tcBorders>
                    <w:tl2br w:val="nil"/>
                    <w:tr2bl w:val="nil"/>
                  </w:tcBorders>
                  <w:vAlign w:val="center"/>
                </w:tcPr>
                <w:p w14:paraId="565A01BB">
                  <w:pPr>
                    <w:pStyle w:val="56"/>
                    <w:bidi w:val="0"/>
                    <w:rPr>
                      <w:color w:val="auto"/>
                    </w:rPr>
                  </w:pPr>
                  <w:r>
                    <w:rPr>
                      <w:rFonts w:hint="eastAsia"/>
                    </w:rPr>
                    <w:t>厂界外50米范围内无声环境保护目标</w:t>
                  </w:r>
                </w:p>
              </w:tc>
              <w:tc>
                <w:tcPr>
                  <w:tcW w:w="1053" w:type="pct"/>
                  <w:tcBorders>
                    <w:tl2br w:val="nil"/>
                    <w:tr2bl w:val="nil"/>
                  </w:tcBorders>
                  <w:vAlign w:val="center"/>
                </w:tcPr>
                <w:p w14:paraId="3B6C7643">
                  <w:pPr>
                    <w:pStyle w:val="56"/>
                    <w:bidi w:val="0"/>
                    <w:rPr>
                      <w:color w:val="auto"/>
                    </w:rPr>
                  </w:pPr>
                  <w:r>
                    <w:rPr>
                      <w:rFonts w:hint="eastAsia"/>
                    </w:rPr>
                    <w:t>/</w:t>
                  </w:r>
                </w:p>
              </w:tc>
            </w:tr>
            <w:tr w14:paraId="2490994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589" w:hRule="atLeast"/>
                <w:jc w:val="center"/>
              </w:trPr>
              <w:tc>
                <w:tcPr>
                  <w:tcW w:w="417" w:type="pct"/>
                  <w:tcBorders>
                    <w:tl2br w:val="nil"/>
                    <w:tr2bl w:val="nil"/>
                  </w:tcBorders>
                  <w:vAlign w:val="center"/>
                </w:tcPr>
                <w:p w14:paraId="6BA86328">
                  <w:pPr>
                    <w:pStyle w:val="56"/>
                    <w:bidi w:val="0"/>
                    <w:rPr>
                      <w:color w:val="auto"/>
                    </w:rPr>
                  </w:pPr>
                  <w:r>
                    <w:rPr>
                      <w:rFonts w:hint="eastAsia"/>
                    </w:rPr>
                    <w:t>地表</w:t>
                  </w:r>
                  <w:r>
                    <w:t>水环境</w:t>
                  </w:r>
                </w:p>
              </w:tc>
              <w:tc>
                <w:tcPr>
                  <w:tcW w:w="790" w:type="pct"/>
                  <w:tcBorders>
                    <w:tl2br w:val="nil"/>
                    <w:tr2bl w:val="nil"/>
                  </w:tcBorders>
                  <w:vAlign w:val="center"/>
                </w:tcPr>
                <w:p w14:paraId="11965450">
                  <w:pPr>
                    <w:pStyle w:val="56"/>
                    <w:bidi w:val="0"/>
                    <w:rPr>
                      <w:color w:val="auto"/>
                    </w:rPr>
                  </w:pPr>
                  <w:r>
                    <w:rPr>
                      <w:rFonts w:hint="eastAsia"/>
                    </w:rPr>
                    <w:t>锦江</w:t>
                  </w:r>
                </w:p>
              </w:tc>
              <w:tc>
                <w:tcPr>
                  <w:tcW w:w="507" w:type="pct"/>
                  <w:tcBorders>
                    <w:tl2br w:val="nil"/>
                    <w:tr2bl w:val="nil"/>
                  </w:tcBorders>
                  <w:vAlign w:val="center"/>
                </w:tcPr>
                <w:p w14:paraId="20E2F48A">
                  <w:pPr>
                    <w:pStyle w:val="56"/>
                    <w:bidi w:val="0"/>
                    <w:rPr>
                      <w:color w:val="auto"/>
                    </w:rPr>
                  </w:pPr>
                  <w:r>
                    <w:rPr>
                      <w:rFonts w:hint="eastAsia"/>
                    </w:rPr>
                    <w:t>/</w:t>
                  </w:r>
                </w:p>
              </w:tc>
              <w:tc>
                <w:tcPr>
                  <w:tcW w:w="467" w:type="pct"/>
                  <w:tcBorders>
                    <w:tl2br w:val="nil"/>
                    <w:tr2bl w:val="nil"/>
                  </w:tcBorders>
                  <w:vAlign w:val="center"/>
                </w:tcPr>
                <w:p w14:paraId="6B7A0D90">
                  <w:pPr>
                    <w:pStyle w:val="56"/>
                    <w:bidi w:val="0"/>
                    <w:rPr>
                      <w:color w:val="auto"/>
                    </w:rPr>
                  </w:pPr>
                  <w:r>
                    <w:rPr>
                      <w:rFonts w:hint="eastAsia"/>
                    </w:rPr>
                    <w:t>/</w:t>
                  </w:r>
                </w:p>
              </w:tc>
              <w:tc>
                <w:tcPr>
                  <w:tcW w:w="414" w:type="pct"/>
                  <w:tcBorders>
                    <w:tl2br w:val="nil"/>
                    <w:tr2bl w:val="nil"/>
                  </w:tcBorders>
                  <w:vAlign w:val="center"/>
                </w:tcPr>
                <w:p w14:paraId="1382452F">
                  <w:pPr>
                    <w:pStyle w:val="56"/>
                    <w:bidi w:val="0"/>
                    <w:rPr>
                      <w:color w:val="auto"/>
                    </w:rPr>
                  </w:pPr>
                  <w:r>
                    <w:rPr>
                      <w:rFonts w:hint="eastAsia"/>
                    </w:rPr>
                    <w:t>南</w:t>
                  </w:r>
                </w:p>
              </w:tc>
              <w:tc>
                <w:tcPr>
                  <w:tcW w:w="685" w:type="pct"/>
                  <w:tcBorders>
                    <w:tl2br w:val="nil"/>
                    <w:tr2bl w:val="nil"/>
                  </w:tcBorders>
                  <w:vAlign w:val="center"/>
                </w:tcPr>
                <w:p w14:paraId="0D36EFEC">
                  <w:pPr>
                    <w:pStyle w:val="56"/>
                    <w:bidi w:val="0"/>
                    <w:rPr>
                      <w:rFonts w:hint="default" w:eastAsia="宋体"/>
                      <w:color w:val="auto"/>
                      <w:lang w:val="en-US" w:eastAsia="zh-CN"/>
                    </w:rPr>
                  </w:pPr>
                  <w:r>
                    <w:rPr>
                      <w:rFonts w:hint="eastAsia"/>
                      <w:lang w:val="en-US" w:eastAsia="zh-CN"/>
                    </w:rPr>
                    <w:t>3700</w:t>
                  </w:r>
                </w:p>
              </w:tc>
              <w:tc>
                <w:tcPr>
                  <w:tcW w:w="661" w:type="pct"/>
                  <w:tcBorders>
                    <w:tl2br w:val="nil"/>
                    <w:tr2bl w:val="nil"/>
                  </w:tcBorders>
                  <w:vAlign w:val="center"/>
                </w:tcPr>
                <w:p w14:paraId="13751904">
                  <w:pPr>
                    <w:pStyle w:val="56"/>
                    <w:bidi w:val="0"/>
                    <w:rPr>
                      <w:color w:val="auto"/>
                    </w:rPr>
                  </w:pPr>
                  <w:r>
                    <w:rPr>
                      <w:rFonts w:hint="eastAsia"/>
                    </w:rPr>
                    <w:t>中型</w:t>
                  </w:r>
                </w:p>
              </w:tc>
              <w:tc>
                <w:tcPr>
                  <w:tcW w:w="1053" w:type="pct"/>
                  <w:tcBorders>
                    <w:tl2br w:val="nil"/>
                    <w:tr2bl w:val="nil"/>
                  </w:tcBorders>
                  <w:vAlign w:val="center"/>
                </w:tcPr>
                <w:p w14:paraId="20E1E824">
                  <w:pPr>
                    <w:pStyle w:val="56"/>
                    <w:bidi w:val="0"/>
                  </w:pPr>
                  <w:r>
                    <w:rPr>
                      <w:rFonts w:hint="eastAsia"/>
                      <w:lang w:eastAsia="zh-CN"/>
                    </w:rPr>
                    <w:t>(</w:t>
                  </w:r>
                  <w:r>
                    <w:t>GB3838-2002</w:t>
                  </w:r>
                  <w:r>
                    <w:rPr>
                      <w:rFonts w:hint="eastAsia"/>
                      <w:lang w:eastAsia="zh-CN"/>
                    </w:rPr>
                    <w:t>)</w:t>
                  </w:r>
                </w:p>
                <w:p w14:paraId="013F5EF3">
                  <w:pPr>
                    <w:pStyle w:val="56"/>
                    <w:bidi w:val="0"/>
                    <w:rPr>
                      <w:color w:val="auto"/>
                    </w:rPr>
                  </w:pPr>
                  <w:r>
                    <w:t>Ⅲ类标准</w:t>
                  </w:r>
                </w:p>
              </w:tc>
            </w:tr>
            <w:tr w14:paraId="2541C93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340" w:hRule="atLeast"/>
                <w:jc w:val="center"/>
              </w:trPr>
              <w:tc>
                <w:tcPr>
                  <w:tcW w:w="417" w:type="pct"/>
                  <w:tcBorders>
                    <w:tl2br w:val="nil"/>
                    <w:tr2bl w:val="nil"/>
                  </w:tcBorders>
                  <w:vAlign w:val="center"/>
                </w:tcPr>
                <w:p w14:paraId="54BF5454">
                  <w:pPr>
                    <w:pStyle w:val="56"/>
                    <w:bidi w:val="0"/>
                    <w:rPr>
                      <w:color w:val="auto"/>
                    </w:rPr>
                  </w:pPr>
                  <w:r>
                    <w:rPr>
                      <w:rFonts w:hint="eastAsia"/>
                    </w:rPr>
                    <w:t>地下水</w:t>
                  </w:r>
                </w:p>
              </w:tc>
              <w:tc>
                <w:tcPr>
                  <w:tcW w:w="4582" w:type="pct"/>
                  <w:gridSpan w:val="7"/>
                  <w:tcBorders>
                    <w:tl2br w:val="nil"/>
                    <w:tr2bl w:val="nil"/>
                  </w:tcBorders>
                  <w:vAlign w:val="center"/>
                </w:tcPr>
                <w:p w14:paraId="0745EB60">
                  <w:pPr>
                    <w:pStyle w:val="56"/>
                    <w:bidi w:val="0"/>
                    <w:jc w:val="left"/>
                    <w:rPr>
                      <w:color w:val="auto"/>
                    </w:rPr>
                  </w:pPr>
                  <w:r>
                    <w:t>厂界外500米范围内无地下水集中式饮用水水源和热水、矿泉水、温泉等特殊地下水资源</w:t>
                  </w:r>
                  <w:r>
                    <w:rPr>
                      <w:rFonts w:hint="eastAsia"/>
                    </w:rPr>
                    <w:t>。</w:t>
                  </w:r>
                </w:p>
              </w:tc>
            </w:tr>
            <w:tr w14:paraId="247A21A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340" w:hRule="atLeast"/>
                <w:jc w:val="center"/>
              </w:trPr>
              <w:tc>
                <w:tcPr>
                  <w:tcW w:w="417" w:type="pct"/>
                  <w:tcBorders>
                    <w:tl2br w:val="nil"/>
                    <w:tr2bl w:val="nil"/>
                  </w:tcBorders>
                  <w:vAlign w:val="center"/>
                </w:tcPr>
                <w:p w14:paraId="00F7FD2B">
                  <w:pPr>
                    <w:pStyle w:val="56"/>
                    <w:bidi w:val="0"/>
                    <w:rPr>
                      <w:color w:val="auto"/>
                    </w:rPr>
                  </w:pPr>
                  <w:r>
                    <w:rPr>
                      <w:rFonts w:hint="eastAsia"/>
                    </w:rPr>
                    <w:t>生态</w:t>
                  </w:r>
                </w:p>
              </w:tc>
              <w:tc>
                <w:tcPr>
                  <w:tcW w:w="4582" w:type="pct"/>
                  <w:gridSpan w:val="7"/>
                  <w:tcBorders>
                    <w:tl2br w:val="nil"/>
                    <w:tr2bl w:val="nil"/>
                  </w:tcBorders>
                  <w:vAlign w:val="center"/>
                </w:tcPr>
                <w:p w14:paraId="6F780266">
                  <w:pPr>
                    <w:pStyle w:val="56"/>
                    <w:bidi w:val="0"/>
                    <w:jc w:val="left"/>
                    <w:rPr>
                      <w:color w:val="auto"/>
                    </w:rPr>
                  </w:pPr>
                  <w:r>
                    <w:rPr>
                      <w:rFonts w:hint="eastAsia"/>
                    </w:rPr>
                    <w:t>项目评价范围内不涉及风景名胜、文物古迹、自然保护区、饮用水源保护区等需要特殊保护的环境敏感目标，评价区域内没有珍稀动植物。</w:t>
                  </w:r>
                </w:p>
              </w:tc>
            </w:tr>
            <w:tr w14:paraId="02FCA4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340" w:hRule="atLeast"/>
                <w:jc w:val="center"/>
              </w:trPr>
              <w:tc>
                <w:tcPr>
                  <w:tcW w:w="5000" w:type="pct"/>
                  <w:gridSpan w:val="8"/>
                  <w:tcBorders>
                    <w:tl2br w:val="nil"/>
                    <w:tr2bl w:val="nil"/>
                  </w:tcBorders>
                  <w:shd w:val="clear" w:color="auto" w:fill="auto"/>
                </w:tcPr>
                <w:p w14:paraId="1A114DE3">
                  <w:pPr>
                    <w:pStyle w:val="56"/>
                    <w:bidi w:val="0"/>
                    <w:jc w:val="left"/>
                    <w:rPr>
                      <w:rFonts w:hint="eastAsia" w:eastAsia="宋体"/>
                      <w:color w:val="auto"/>
                      <w:lang w:eastAsia="zh-CN"/>
                    </w:rPr>
                  </w:pPr>
                  <w:r>
                    <w:rPr>
                      <w:rFonts w:hint="eastAsia"/>
                    </w:rPr>
                    <w:t>以项目</w:t>
                  </w:r>
                  <w:r>
                    <w:rPr>
                      <w:rFonts w:hint="eastAsia"/>
                      <w:lang w:val="en-US" w:eastAsia="zh-CN"/>
                    </w:rPr>
                    <w:t>中心</w:t>
                  </w:r>
                  <w:r>
                    <w:rPr>
                      <w:rFonts w:hint="eastAsia"/>
                    </w:rPr>
                    <w:t>为原点坐标（0，0），正东X轴为正方向，正北Y轴为正方向建立直角坐标系给对应坐标，X、Y坐标原点的经纬度为</w:t>
                  </w:r>
                  <w:r>
                    <w:rPr>
                      <w:rFonts w:hint="eastAsia"/>
                      <w:lang w:val="en-US" w:eastAsia="zh-CN"/>
                    </w:rPr>
                    <w:t>E</w:t>
                  </w:r>
                  <w:r>
                    <w:rPr>
                      <w:rFonts w:hint="eastAsia"/>
                    </w:rPr>
                    <w:t>115°28′16.983″，</w:t>
                  </w:r>
                  <w:r>
                    <w:rPr>
                      <w:rFonts w:hint="eastAsia"/>
                      <w:lang w:val="en-US" w:eastAsia="zh-CN"/>
                    </w:rPr>
                    <w:t>N</w:t>
                  </w:r>
                  <w:r>
                    <w:rPr>
                      <w:rFonts w:hint="eastAsia"/>
                    </w:rPr>
                    <w:t>28°29′6.178″</w:t>
                  </w:r>
                  <w:r>
                    <w:rPr>
                      <w:rFonts w:hint="eastAsia"/>
                      <w:lang w:eastAsia="zh-CN"/>
                    </w:rPr>
                    <w:t>。</w:t>
                  </w:r>
                </w:p>
              </w:tc>
            </w:tr>
          </w:tbl>
          <w:p w14:paraId="31E4DBF2">
            <w:pPr>
              <w:spacing w:line="360" w:lineRule="auto"/>
              <w:jc w:val="left"/>
              <w:rPr>
                <w:kern w:val="0"/>
                <w:szCs w:val="21"/>
              </w:rPr>
            </w:pPr>
          </w:p>
        </w:tc>
      </w:tr>
      <w:tr w14:paraId="2DB28A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tcMar>
              <w:left w:w="28" w:type="dxa"/>
              <w:right w:w="28" w:type="dxa"/>
            </w:tcMar>
            <w:vAlign w:val="center"/>
          </w:tcPr>
          <w:p w14:paraId="5F7682A3">
            <w:pPr>
              <w:ind w:firstLine="0" w:firstLineChars="0"/>
              <w:jc w:val="center"/>
              <w:rPr>
                <w:b/>
                <w:bCs/>
                <w:kern w:val="0"/>
              </w:rPr>
            </w:pPr>
            <w:r>
              <w:rPr>
                <w:b/>
                <w:bCs/>
                <w:kern w:val="0"/>
              </w:rPr>
              <w:t>污染</w:t>
            </w:r>
          </w:p>
          <w:p w14:paraId="1EA0CEBF">
            <w:pPr>
              <w:ind w:firstLine="0" w:firstLineChars="0"/>
              <w:jc w:val="center"/>
              <w:rPr>
                <w:b/>
                <w:bCs/>
                <w:kern w:val="0"/>
              </w:rPr>
            </w:pPr>
            <w:r>
              <w:rPr>
                <w:b/>
                <w:bCs/>
                <w:kern w:val="0"/>
              </w:rPr>
              <w:t>物排</w:t>
            </w:r>
          </w:p>
          <w:p w14:paraId="30A2954A">
            <w:pPr>
              <w:ind w:firstLine="0" w:firstLineChars="0"/>
              <w:jc w:val="center"/>
              <w:rPr>
                <w:b/>
                <w:bCs/>
                <w:kern w:val="0"/>
              </w:rPr>
            </w:pPr>
            <w:r>
              <w:rPr>
                <w:b/>
                <w:bCs/>
                <w:kern w:val="0"/>
              </w:rPr>
              <w:t>放控</w:t>
            </w:r>
          </w:p>
          <w:p w14:paraId="200FDD98">
            <w:pPr>
              <w:ind w:firstLine="0" w:firstLineChars="0"/>
              <w:jc w:val="center"/>
              <w:rPr>
                <w:b/>
                <w:bCs/>
                <w:kern w:val="0"/>
              </w:rPr>
            </w:pPr>
            <w:r>
              <w:rPr>
                <w:b/>
                <w:bCs/>
                <w:kern w:val="0"/>
              </w:rPr>
              <w:t>制标</w:t>
            </w:r>
          </w:p>
          <w:p w14:paraId="5DE570CA">
            <w:pPr>
              <w:ind w:firstLine="0" w:firstLineChars="0"/>
              <w:jc w:val="center"/>
              <w:rPr>
                <w:kern w:val="0"/>
                <w:szCs w:val="21"/>
              </w:rPr>
            </w:pPr>
            <w:r>
              <w:rPr>
                <w:b/>
                <w:bCs/>
                <w:kern w:val="0"/>
              </w:rPr>
              <w:t>准</w:t>
            </w:r>
          </w:p>
        </w:tc>
        <w:tc>
          <w:tcPr>
            <w:tcW w:w="8190" w:type="dxa"/>
            <w:vAlign w:val="center"/>
          </w:tcPr>
          <w:p w14:paraId="2C91B86B">
            <w:pPr>
              <w:spacing w:line="360" w:lineRule="auto"/>
              <w:ind w:firstLine="482"/>
              <w:rPr>
                <w:b/>
                <w:bCs/>
              </w:rPr>
            </w:pPr>
            <w:r>
              <w:rPr>
                <w:b/>
                <w:bCs/>
              </w:rPr>
              <w:t>1、废气排放标准</w:t>
            </w:r>
          </w:p>
          <w:p w14:paraId="114E19AA">
            <w:pPr>
              <w:adjustRightInd w:val="0"/>
              <w:snapToGrid w:val="0"/>
              <w:spacing w:line="360" w:lineRule="auto"/>
              <w:ind w:firstLine="480" w:firstLineChars="200"/>
              <w:rPr>
                <w:rFonts w:hint="eastAsia"/>
                <w:color w:val="auto"/>
                <w:sz w:val="24"/>
              </w:rPr>
            </w:pPr>
            <w:r>
              <w:rPr>
                <w:color w:val="auto"/>
                <w:kern w:val="0"/>
                <w:sz w:val="24"/>
              </w:rPr>
              <w:t>本</w:t>
            </w:r>
            <w:r>
              <w:rPr>
                <w:color w:val="auto"/>
                <w:sz w:val="24"/>
                <w:lang w:val="zh-CN"/>
              </w:rPr>
              <w:t>项目</w:t>
            </w:r>
            <w:r>
              <w:rPr>
                <w:color w:val="auto"/>
                <w:sz w:val="24"/>
              </w:rPr>
              <w:t>营运期</w:t>
            </w:r>
            <w:r>
              <w:rPr>
                <w:rFonts w:hint="eastAsia"/>
                <w:color w:val="auto"/>
                <w:sz w:val="24"/>
                <w:lang w:val="zh-CN"/>
              </w:rPr>
              <w:t>颗粒物</w:t>
            </w:r>
            <w:r>
              <w:rPr>
                <w:rFonts w:hint="eastAsia"/>
                <w:color w:val="auto"/>
                <w:sz w:val="24"/>
                <w:highlight w:val="none"/>
                <w:lang w:val="zh-CN"/>
              </w:rPr>
              <w:t>排放执行</w:t>
            </w:r>
            <w:r>
              <w:rPr>
                <w:rFonts w:hint="default" w:ascii="Times New Roman" w:hAnsi="Times New Roman" w:eastAsia="宋体" w:cs="Times New Roman"/>
                <w:color w:val="auto"/>
                <w:sz w:val="24"/>
                <w:lang w:val="en-US" w:eastAsia="zh-CN"/>
              </w:rPr>
              <w:t>《水泥工业大气污染物排放标准》（GB4915-2013）</w:t>
            </w:r>
            <w:r>
              <w:rPr>
                <w:rFonts w:hint="eastAsia" w:ascii="Times New Roman" w:hAnsi="Times New Roman" w:eastAsia="宋体" w:cs="Times New Roman"/>
                <w:color w:val="auto"/>
                <w:sz w:val="24"/>
                <w:lang w:val="en-US" w:eastAsia="zh-CN"/>
              </w:rPr>
              <w:t>表1</w:t>
            </w:r>
            <w:r>
              <w:rPr>
                <w:rFonts w:hint="eastAsia"/>
                <w:color w:val="auto"/>
                <w:sz w:val="24"/>
              </w:rPr>
              <w:t>标准及</w:t>
            </w:r>
            <w:r>
              <w:rPr>
                <w:rFonts w:hint="eastAsia"/>
                <w:color w:val="FF0000"/>
                <w:sz w:val="24"/>
                <w:lang w:val="en-US" w:eastAsia="zh-CN"/>
              </w:rPr>
              <w:t>表3</w:t>
            </w:r>
            <w:r>
              <w:rPr>
                <w:rFonts w:hint="eastAsia"/>
                <w:color w:val="FF0000"/>
                <w:sz w:val="24"/>
              </w:rPr>
              <w:t>无组织排放监控浓度限值</w:t>
            </w:r>
            <w:r>
              <w:rPr>
                <w:rFonts w:hint="eastAsia" w:ascii="Times New Roman" w:hAnsi="Times New Roman" w:eastAsia="宋体" w:cs="Times New Roman"/>
                <w:color w:val="auto"/>
                <w:sz w:val="24"/>
                <w:lang w:val="zh-CN"/>
              </w:rPr>
              <w:t>。具体如下表所示</w:t>
            </w:r>
            <w:r>
              <w:rPr>
                <w:rFonts w:hint="eastAsia"/>
                <w:color w:val="auto"/>
                <w:sz w:val="24"/>
              </w:rPr>
              <w:t>。</w:t>
            </w:r>
          </w:p>
          <w:p w14:paraId="21EF3F68">
            <w:pPr>
              <w:pStyle w:val="59"/>
              <w:numPr>
                <w:ilvl w:val="0"/>
                <w:numId w:val="0"/>
              </w:numPr>
              <w:tabs>
                <w:tab w:val="left" w:pos="0"/>
              </w:tabs>
              <w:ind w:leftChars="0"/>
              <w:jc w:val="center"/>
              <w:rPr>
                <w:rFonts w:hint="eastAsia" w:ascii="Times New Roman" w:hAnsi="Times New Roman" w:eastAsia="宋体" w:cs="Times New Roman"/>
                <w:b/>
                <w:bCs/>
              </w:rPr>
            </w:pPr>
            <w:r>
              <w:rPr>
                <w:rFonts w:hint="eastAsia" w:ascii="Times New Roman" w:hAnsi="Times New Roman" w:eastAsia="宋体" w:cs="Times New Roman"/>
                <w:b/>
                <w:bCs/>
                <w:lang w:val="en-US" w:eastAsia="zh-CN"/>
              </w:rPr>
              <w:t xml:space="preserve">表3-5 </w:t>
            </w:r>
            <w:r>
              <w:rPr>
                <w:rFonts w:hint="eastAsia" w:ascii="Times New Roman" w:hAnsi="Times New Roman" w:eastAsia="宋体" w:cs="Times New Roman"/>
                <w:b/>
                <w:bCs/>
              </w:rPr>
              <w:t>大气污染物排放标准</w:t>
            </w:r>
          </w:p>
          <w:tbl>
            <w:tblPr>
              <w:tblStyle w:val="145"/>
              <w:tblW w:w="0" w:type="auto"/>
              <w:tblInd w:w="-6" w:type="dxa"/>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autofit"/>
              <w:tblCellMar>
                <w:top w:w="0" w:type="dxa"/>
                <w:left w:w="0" w:type="dxa"/>
                <w:bottom w:w="0" w:type="dxa"/>
                <w:right w:w="0" w:type="dxa"/>
              </w:tblCellMar>
            </w:tblPr>
            <w:tblGrid>
              <w:gridCol w:w="361"/>
              <w:gridCol w:w="614"/>
              <w:gridCol w:w="929"/>
              <w:gridCol w:w="1174"/>
              <w:gridCol w:w="1723"/>
              <w:gridCol w:w="3595"/>
            </w:tblGrid>
            <w:tr w14:paraId="3E043F08">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0" w:type="auto"/>
                  <w:tcBorders>
                    <w:bottom w:val="single" w:color="000000" w:sz="4" w:space="0"/>
                    <w:right w:val="single" w:color="000000" w:sz="4" w:space="0"/>
                  </w:tcBorders>
                  <w:noWrap w:val="0"/>
                  <w:vAlign w:val="center"/>
                </w:tcPr>
                <w:p w14:paraId="260824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sz w:val="21"/>
                      <w:szCs w:val="21"/>
                    </w:rPr>
                  </w:pPr>
                  <w:r>
                    <w:rPr>
                      <w:b/>
                      <w:bCs/>
                      <w:sz w:val="21"/>
                      <w:szCs w:val="21"/>
                    </w:rPr>
                    <w:t>序号</w:t>
                  </w:r>
                </w:p>
              </w:tc>
              <w:tc>
                <w:tcPr>
                  <w:tcW w:w="0" w:type="auto"/>
                  <w:tcBorders>
                    <w:left w:val="single" w:color="000000" w:sz="4" w:space="0"/>
                    <w:bottom w:val="single" w:color="000000" w:sz="4" w:space="0"/>
                    <w:right w:val="single" w:color="000000" w:sz="4" w:space="0"/>
                  </w:tcBorders>
                  <w:noWrap w:val="0"/>
                  <w:vAlign w:val="center"/>
                </w:tcPr>
                <w:p w14:paraId="202830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sz w:val="21"/>
                      <w:szCs w:val="21"/>
                    </w:rPr>
                  </w:pPr>
                  <w:r>
                    <w:rPr>
                      <w:b/>
                      <w:bCs/>
                      <w:sz w:val="21"/>
                      <w:szCs w:val="21"/>
                    </w:rPr>
                    <w:t>污染因子</w:t>
                  </w:r>
                </w:p>
              </w:tc>
              <w:tc>
                <w:tcPr>
                  <w:tcW w:w="0" w:type="auto"/>
                  <w:tcBorders>
                    <w:left w:val="single" w:color="000000" w:sz="4" w:space="0"/>
                    <w:bottom w:val="single" w:color="000000" w:sz="4" w:space="0"/>
                    <w:right w:val="single" w:color="000000" w:sz="4" w:space="0"/>
                  </w:tcBorders>
                  <w:noWrap w:val="0"/>
                  <w:vAlign w:val="center"/>
                </w:tcPr>
                <w:p w14:paraId="05393F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sz w:val="21"/>
                      <w:szCs w:val="21"/>
                    </w:rPr>
                  </w:pPr>
                  <w:r>
                    <w:rPr>
                      <w:b/>
                      <w:bCs/>
                      <w:sz w:val="21"/>
                      <w:szCs w:val="21"/>
                    </w:rPr>
                    <w:t>最高允许排</w:t>
                  </w:r>
                </w:p>
                <w:p w14:paraId="70FAC3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sz w:val="21"/>
                      <w:szCs w:val="21"/>
                    </w:rPr>
                  </w:pPr>
                  <w:r>
                    <w:rPr>
                      <w:b/>
                      <w:bCs/>
                      <w:sz w:val="21"/>
                      <w:szCs w:val="21"/>
                    </w:rPr>
                    <w:t>放浓度</w:t>
                  </w:r>
                </w:p>
                <w:p w14:paraId="40108E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sz w:val="21"/>
                      <w:szCs w:val="21"/>
                    </w:rPr>
                  </w:pPr>
                  <w:r>
                    <w:rPr>
                      <w:rFonts w:hint="eastAsia"/>
                      <w:b/>
                      <w:bCs/>
                      <w:sz w:val="21"/>
                      <w:szCs w:val="21"/>
                      <w:lang w:eastAsia="zh-CN"/>
                    </w:rPr>
                    <w:t>(</w:t>
                  </w:r>
                  <w:r>
                    <w:rPr>
                      <w:b/>
                      <w:bCs/>
                      <w:sz w:val="21"/>
                      <w:szCs w:val="21"/>
                    </w:rPr>
                    <w:t>mg/m</w:t>
                  </w:r>
                  <w:r>
                    <w:rPr>
                      <w:b/>
                      <w:bCs/>
                      <w:sz w:val="21"/>
                      <w:szCs w:val="21"/>
                      <w:vertAlign w:val="superscript"/>
                    </w:rPr>
                    <w:t>3</w:t>
                  </w:r>
                  <w:r>
                    <w:rPr>
                      <w:rFonts w:hint="eastAsia"/>
                      <w:b/>
                      <w:bCs/>
                      <w:sz w:val="21"/>
                      <w:szCs w:val="21"/>
                      <w:vertAlign w:val="superscript"/>
                      <w:lang w:eastAsia="zh-CN"/>
                    </w:rPr>
                    <w:t>)</w:t>
                  </w:r>
                </w:p>
              </w:tc>
              <w:tc>
                <w:tcPr>
                  <w:tcW w:w="0" w:type="auto"/>
                  <w:tcBorders>
                    <w:left w:val="single" w:color="000000" w:sz="4" w:space="0"/>
                    <w:bottom w:val="single" w:color="000000" w:sz="4" w:space="0"/>
                    <w:right w:val="single" w:color="000000" w:sz="4" w:space="0"/>
                  </w:tcBorders>
                  <w:noWrap w:val="0"/>
                  <w:vAlign w:val="center"/>
                </w:tcPr>
                <w:p w14:paraId="458C847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sz w:val="21"/>
                      <w:szCs w:val="21"/>
                    </w:rPr>
                  </w:pPr>
                  <w:r>
                    <w:rPr>
                      <w:b/>
                      <w:bCs/>
                      <w:sz w:val="21"/>
                      <w:szCs w:val="21"/>
                    </w:rPr>
                    <w:t>排放速率kg/h）</w:t>
                  </w:r>
                </w:p>
              </w:tc>
              <w:tc>
                <w:tcPr>
                  <w:tcW w:w="0" w:type="auto"/>
                  <w:tcBorders>
                    <w:left w:val="single" w:color="000000" w:sz="4" w:space="0"/>
                    <w:bottom w:val="single" w:color="000000" w:sz="4" w:space="0"/>
                    <w:right w:val="single" w:color="000000" w:sz="4" w:space="0"/>
                  </w:tcBorders>
                  <w:noWrap w:val="0"/>
                  <w:vAlign w:val="center"/>
                </w:tcPr>
                <w:p w14:paraId="4A6DFB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sz w:val="21"/>
                      <w:szCs w:val="21"/>
                    </w:rPr>
                  </w:pPr>
                  <w:r>
                    <w:rPr>
                      <w:b/>
                      <w:bCs/>
                      <w:sz w:val="21"/>
                      <w:szCs w:val="21"/>
                    </w:rPr>
                    <w:t>无组织排放监控浓度限值</w:t>
                  </w:r>
                </w:p>
                <w:p w14:paraId="72671B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sz w:val="21"/>
                      <w:szCs w:val="21"/>
                    </w:rPr>
                  </w:pPr>
                  <w:r>
                    <w:rPr>
                      <w:rFonts w:hint="eastAsia"/>
                      <w:b/>
                      <w:bCs/>
                      <w:sz w:val="21"/>
                      <w:szCs w:val="21"/>
                      <w:lang w:eastAsia="zh-CN"/>
                    </w:rPr>
                    <w:t>(</w:t>
                  </w:r>
                  <w:r>
                    <w:rPr>
                      <w:b/>
                      <w:bCs/>
                      <w:sz w:val="21"/>
                      <w:szCs w:val="21"/>
                    </w:rPr>
                    <w:t>mg/m</w:t>
                  </w:r>
                  <w:r>
                    <w:rPr>
                      <w:b/>
                      <w:bCs/>
                      <w:sz w:val="21"/>
                      <w:szCs w:val="21"/>
                      <w:vertAlign w:val="superscript"/>
                    </w:rPr>
                    <w:t>3</w:t>
                  </w:r>
                  <w:r>
                    <w:rPr>
                      <w:rFonts w:hint="eastAsia"/>
                      <w:b/>
                      <w:bCs/>
                      <w:sz w:val="21"/>
                      <w:szCs w:val="21"/>
                      <w:lang w:eastAsia="zh-CN"/>
                    </w:rPr>
                    <w:t>)</w:t>
                  </w:r>
                </w:p>
              </w:tc>
              <w:tc>
                <w:tcPr>
                  <w:tcW w:w="0" w:type="auto"/>
                  <w:tcBorders>
                    <w:left w:val="single" w:color="000000" w:sz="4" w:space="0"/>
                    <w:bottom w:val="single" w:color="000000" w:sz="4" w:space="0"/>
                  </w:tcBorders>
                  <w:noWrap w:val="0"/>
                  <w:vAlign w:val="center"/>
                </w:tcPr>
                <w:p w14:paraId="6C0BE8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sz w:val="21"/>
                      <w:szCs w:val="21"/>
                    </w:rPr>
                  </w:pPr>
                  <w:r>
                    <w:rPr>
                      <w:rFonts w:hint="default" w:ascii="Times New Roman" w:hAnsi="Times New Roman" w:cs="Times New Roman"/>
                      <w:b/>
                      <w:bCs/>
                      <w:color w:val="auto"/>
                      <w:spacing w:val="0"/>
                      <w:kern w:val="18"/>
                      <w:sz w:val="21"/>
                      <w:szCs w:val="21"/>
                    </w:rPr>
                    <w:t>依据</w:t>
                  </w:r>
                </w:p>
              </w:tc>
            </w:tr>
            <w:tr w14:paraId="3F586C84">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0" w:type="auto"/>
                  <w:tcBorders>
                    <w:top w:val="single" w:color="000000" w:sz="4" w:space="0"/>
                    <w:bottom w:val="single" w:color="000000" w:sz="4" w:space="0"/>
                    <w:right w:val="single" w:color="000000" w:sz="4" w:space="0"/>
                  </w:tcBorders>
                  <w:noWrap w:val="0"/>
                  <w:vAlign w:val="center"/>
                </w:tcPr>
                <w:p w14:paraId="6CC7B4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sz w:val="21"/>
                      <w:szCs w:val="21"/>
                    </w:rPr>
                    <w:t>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C0578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sz w:val="21"/>
                      <w:szCs w:val="21"/>
                    </w:rPr>
                    <w:t>颗粒物</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8EF65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20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E4AA1D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sz w:val="21"/>
                      <w:szCs w:val="21"/>
                    </w:rPr>
                    <w:t>/</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D4EAF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color w:val="FF0000"/>
                      <w:sz w:val="21"/>
                      <w:szCs w:val="21"/>
                      <w:lang w:val="en-US" w:eastAsia="zh-CN"/>
                    </w:rPr>
                    <w:t>0.5</w:t>
                  </w:r>
                </w:p>
              </w:tc>
              <w:tc>
                <w:tcPr>
                  <w:tcW w:w="0" w:type="auto"/>
                  <w:tcBorders>
                    <w:top w:val="single" w:color="000000" w:sz="4" w:space="0"/>
                    <w:left w:val="single" w:color="000000" w:sz="4" w:space="0"/>
                    <w:bottom w:val="single" w:color="000000" w:sz="4" w:space="0"/>
                  </w:tcBorders>
                  <w:noWrap w:val="0"/>
                  <w:vAlign w:val="center"/>
                </w:tcPr>
                <w:p w14:paraId="1D72CC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rFonts w:hint="default" w:ascii="Times New Roman" w:hAnsi="Times New Roman" w:eastAsia="宋体" w:cs="Times New Roman"/>
                      <w:color w:val="auto"/>
                      <w:sz w:val="21"/>
                      <w:szCs w:val="21"/>
                      <w:lang w:val="en-US" w:eastAsia="zh-CN"/>
                    </w:rPr>
                    <w:t>《水泥工业大气污染物排放标准》（GB4915-2013）</w:t>
                  </w:r>
                </w:p>
              </w:tc>
            </w:tr>
          </w:tbl>
          <w:p w14:paraId="3B01BF05">
            <w:pPr>
              <w:ind w:firstLine="482"/>
              <w:rPr>
                <w:b/>
                <w:bCs/>
              </w:rPr>
            </w:pPr>
            <w:r>
              <w:rPr>
                <w:b/>
                <w:bCs/>
              </w:rPr>
              <w:t>2、废水排放标准</w:t>
            </w:r>
          </w:p>
          <w:p w14:paraId="0E7699E5">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rPr>
                <w:rFonts w:hint="default" w:ascii="Times New Roman" w:hAnsi="Times New Roman" w:eastAsia="宋体" w:cs="Times New Roman"/>
                <w:color w:val="auto"/>
                <w:sz w:val="24"/>
                <w:highlight w:val="none"/>
                <w:lang w:eastAsia="zh-CN"/>
              </w:rPr>
            </w:pPr>
            <w:r>
              <w:rPr>
                <w:rFonts w:hint="eastAsia" w:cs="Times New Roman"/>
                <w:bCs/>
                <w:color w:val="auto"/>
                <w:sz w:val="24"/>
                <w:highlight w:val="none"/>
                <w:lang w:val="en-US" w:eastAsia="zh-CN"/>
              </w:rPr>
              <w:t>本项目生活污水排放执行《污水综合排放标准》（GB8978-1996）表4中三级标准以及高安市工业园污水处理厂接管标准后排入高安市工业园污水处理厂，处理达《城镇污水处理厂污染物排放标准》（GB18918-2002）一级A标准后排放</w:t>
            </w:r>
            <w:r>
              <w:rPr>
                <w:rFonts w:hint="default" w:ascii="Times New Roman" w:hAnsi="Times New Roman" w:eastAsia="宋体" w:cs="Times New Roman"/>
                <w:color w:val="auto"/>
                <w:sz w:val="24"/>
                <w:highlight w:val="none"/>
                <w:lang w:eastAsia="zh-CN"/>
              </w:rPr>
              <w:t>。</w:t>
            </w:r>
          </w:p>
          <w:p w14:paraId="4E96E7E2">
            <w:pPr>
              <w:pStyle w:val="164"/>
              <w:keepNext w:val="0"/>
              <w:keepLines w:val="0"/>
              <w:pageBreakBefore w:val="0"/>
              <w:widowControl w:val="0"/>
              <w:kinsoku/>
              <w:wordWrap/>
              <w:overflowPunct/>
              <w:topLinePunct w:val="0"/>
              <w:autoSpaceDE/>
              <w:autoSpaceDN/>
              <w:bidi w:val="0"/>
              <w:adjustRightInd w:val="0"/>
              <w:snapToGrid w:val="0"/>
              <w:spacing w:before="0" w:beforeLines="0" w:line="240" w:lineRule="auto"/>
              <w:textAlignment w:val="baseline"/>
              <w:rPr>
                <w:rFonts w:ascii="Times New Roman" w:hAnsi="Times New Roman" w:eastAsia="宋体" w:cs="Times New Roman"/>
                <w:sz w:val="21"/>
                <w:szCs w:val="16"/>
              </w:rPr>
            </w:pPr>
            <w:r>
              <w:rPr>
                <w:rFonts w:ascii="Times New Roman" w:hAnsi="Times New Roman" w:eastAsia="宋体" w:cs="Times New Roman"/>
                <w:sz w:val="21"/>
                <w:szCs w:val="16"/>
              </w:rPr>
              <w:t>表3-</w:t>
            </w:r>
            <w:r>
              <w:rPr>
                <w:rFonts w:hint="eastAsia" w:cs="Times New Roman"/>
                <w:sz w:val="21"/>
                <w:szCs w:val="16"/>
                <w:lang w:val="en-US" w:eastAsia="zh-CN"/>
              </w:rPr>
              <w:t>6 污水排放标准</w:t>
            </w:r>
            <w:r>
              <w:rPr>
                <w:rFonts w:ascii="Times New Roman" w:hAnsi="Times New Roman" w:eastAsia="宋体" w:cs="Times New Roman"/>
                <w:sz w:val="21"/>
                <w:szCs w:val="16"/>
              </w:rPr>
              <w:t>（单位：mg/L</w:t>
            </w:r>
            <w:r>
              <w:rPr>
                <w:rFonts w:hint="eastAsia" w:cs="Times New Roman"/>
                <w:sz w:val="21"/>
                <w:szCs w:val="16"/>
                <w:lang w:eastAsia="zh-CN"/>
              </w:rPr>
              <w:t>，</w:t>
            </w:r>
            <w:r>
              <w:rPr>
                <w:rFonts w:hint="eastAsia" w:cs="Times New Roman"/>
                <w:sz w:val="21"/>
                <w:szCs w:val="16"/>
                <w:lang w:val="en-US" w:eastAsia="zh-CN"/>
              </w:rPr>
              <w:t>pH为无量纲</w:t>
            </w:r>
            <w:r>
              <w:rPr>
                <w:rFonts w:ascii="Times New Roman" w:hAnsi="Times New Roman" w:eastAsia="宋体" w:cs="Times New Roman"/>
                <w:sz w:val="21"/>
                <w:szCs w:val="16"/>
              </w:rPr>
              <w:t>）</w:t>
            </w:r>
          </w:p>
          <w:tbl>
            <w:tblPr>
              <w:tblStyle w:val="41"/>
              <w:tblW w:w="0" w:type="auto"/>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230"/>
              <w:gridCol w:w="2968"/>
              <w:gridCol w:w="2968"/>
            </w:tblGrid>
            <w:tr w14:paraId="472B93F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Pr>
              <w:tc>
                <w:tcPr>
                  <w:tcW w:w="2230" w:type="dxa"/>
                  <w:noWrap w:val="0"/>
                  <w:vAlign w:val="center"/>
                </w:tcPr>
                <w:p w14:paraId="02167BFE">
                  <w:pPr>
                    <w:pStyle w:val="165"/>
                    <w:spacing w:line="240" w:lineRule="auto"/>
                    <w:rPr>
                      <w:sz w:val="21"/>
                      <w:szCs w:val="21"/>
                    </w:rPr>
                  </w:pPr>
                  <w:r>
                    <w:rPr>
                      <w:sz w:val="21"/>
                      <w:szCs w:val="21"/>
                    </w:rPr>
                    <w:t>序号</w:t>
                  </w:r>
                </w:p>
              </w:tc>
              <w:tc>
                <w:tcPr>
                  <w:tcW w:w="2968" w:type="dxa"/>
                  <w:noWrap w:val="0"/>
                  <w:vAlign w:val="center"/>
                </w:tcPr>
                <w:p w14:paraId="2501F5FE">
                  <w:pPr>
                    <w:pStyle w:val="165"/>
                    <w:spacing w:line="240" w:lineRule="auto"/>
                    <w:rPr>
                      <w:sz w:val="21"/>
                      <w:szCs w:val="21"/>
                    </w:rPr>
                  </w:pPr>
                  <w:r>
                    <w:rPr>
                      <w:sz w:val="21"/>
                      <w:szCs w:val="21"/>
                    </w:rPr>
                    <w:t>项目</w:t>
                  </w:r>
                </w:p>
              </w:tc>
              <w:tc>
                <w:tcPr>
                  <w:tcW w:w="2968" w:type="dxa"/>
                  <w:noWrap w:val="0"/>
                  <w:vAlign w:val="center"/>
                </w:tcPr>
                <w:p w14:paraId="1A303CC7">
                  <w:pPr>
                    <w:pStyle w:val="165"/>
                    <w:spacing w:line="240" w:lineRule="auto"/>
                    <w:rPr>
                      <w:sz w:val="21"/>
                      <w:szCs w:val="21"/>
                    </w:rPr>
                  </w:pPr>
                  <w:r>
                    <w:rPr>
                      <w:sz w:val="21"/>
                      <w:szCs w:val="21"/>
                    </w:rPr>
                    <w:t>标准值</w:t>
                  </w:r>
                </w:p>
              </w:tc>
            </w:tr>
            <w:tr w14:paraId="204E467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Pr>
              <w:tc>
                <w:tcPr>
                  <w:tcW w:w="2230" w:type="dxa"/>
                  <w:noWrap w:val="0"/>
                  <w:vAlign w:val="center"/>
                </w:tcPr>
                <w:p w14:paraId="56EB3648">
                  <w:pPr>
                    <w:pStyle w:val="165"/>
                    <w:spacing w:line="240" w:lineRule="auto"/>
                    <w:rPr>
                      <w:sz w:val="21"/>
                      <w:szCs w:val="21"/>
                    </w:rPr>
                  </w:pPr>
                  <w:r>
                    <w:rPr>
                      <w:sz w:val="21"/>
                      <w:szCs w:val="21"/>
                    </w:rPr>
                    <w:t>1</w:t>
                  </w:r>
                </w:p>
              </w:tc>
              <w:tc>
                <w:tcPr>
                  <w:tcW w:w="2968" w:type="dxa"/>
                  <w:noWrap w:val="0"/>
                  <w:vAlign w:val="center"/>
                </w:tcPr>
                <w:p w14:paraId="30B51462">
                  <w:pPr>
                    <w:pStyle w:val="165"/>
                    <w:spacing w:line="240" w:lineRule="auto"/>
                    <w:rPr>
                      <w:sz w:val="21"/>
                      <w:szCs w:val="21"/>
                    </w:rPr>
                  </w:pPr>
                  <w:r>
                    <w:rPr>
                      <w:sz w:val="21"/>
                      <w:szCs w:val="21"/>
                    </w:rPr>
                    <w:t>pH</w:t>
                  </w:r>
                </w:p>
              </w:tc>
              <w:tc>
                <w:tcPr>
                  <w:tcW w:w="2968" w:type="dxa"/>
                  <w:noWrap w:val="0"/>
                  <w:vAlign w:val="center"/>
                </w:tcPr>
                <w:p w14:paraId="640DEF3F">
                  <w:pPr>
                    <w:pStyle w:val="165"/>
                    <w:spacing w:line="240" w:lineRule="auto"/>
                    <w:rPr>
                      <w:sz w:val="21"/>
                      <w:szCs w:val="21"/>
                    </w:rPr>
                  </w:pPr>
                  <w:r>
                    <w:rPr>
                      <w:sz w:val="21"/>
                      <w:szCs w:val="21"/>
                    </w:rPr>
                    <w:t>6~9</w:t>
                  </w:r>
                </w:p>
              </w:tc>
            </w:tr>
            <w:tr w14:paraId="76F21AC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Pr>
              <w:tc>
                <w:tcPr>
                  <w:tcW w:w="2230" w:type="dxa"/>
                  <w:noWrap w:val="0"/>
                  <w:vAlign w:val="center"/>
                </w:tcPr>
                <w:p w14:paraId="3E28B2EF">
                  <w:pPr>
                    <w:pStyle w:val="165"/>
                    <w:spacing w:line="240" w:lineRule="auto"/>
                    <w:rPr>
                      <w:sz w:val="21"/>
                      <w:szCs w:val="21"/>
                    </w:rPr>
                  </w:pPr>
                  <w:r>
                    <w:rPr>
                      <w:sz w:val="21"/>
                      <w:szCs w:val="21"/>
                    </w:rPr>
                    <w:t>2</w:t>
                  </w:r>
                </w:p>
              </w:tc>
              <w:tc>
                <w:tcPr>
                  <w:tcW w:w="2968" w:type="dxa"/>
                  <w:noWrap w:val="0"/>
                  <w:vAlign w:val="center"/>
                </w:tcPr>
                <w:p w14:paraId="7DC8EED0">
                  <w:pPr>
                    <w:pStyle w:val="165"/>
                    <w:spacing w:line="240" w:lineRule="auto"/>
                    <w:rPr>
                      <w:sz w:val="21"/>
                      <w:szCs w:val="21"/>
                    </w:rPr>
                  </w:pPr>
                  <w:r>
                    <w:rPr>
                      <w:sz w:val="21"/>
                      <w:szCs w:val="21"/>
                    </w:rPr>
                    <w:t>COD</w:t>
                  </w:r>
                </w:p>
              </w:tc>
              <w:tc>
                <w:tcPr>
                  <w:tcW w:w="2968" w:type="dxa"/>
                  <w:noWrap w:val="0"/>
                  <w:vAlign w:val="center"/>
                </w:tcPr>
                <w:p w14:paraId="1DA404C3">
                  <w:pPr>
                    <w:pStyle w:val="165"/>
                    <w:spacing w:line="240" w:lineRule="auto"/>
                    <w:rPr>
                      <w:sz w:val="21"/>
                      <w:szCs w:val="21"/>
                    </w:rPr>
                  </w:pPr>
                  <w:r>
                    <w:rPr>
                      <w:sz w:val="21"/>
                      <w:szCs w:val="21"/>
                    </w:rPr>
                    <w:t>500</w:t>
                  </w:r>
                </w:p>
              </w:tc>
            </w:tr>
            <w:tr w14:paraId="7890759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Pr>
              <w:tc>
                <w:tcPr>
                  <w:tcW w:w="2230" w:type="dxa"/>
                  <w:noWrap w:val="0"/>
                  <w:vAlign w:val="center"/>
                </w:tcPr>
                <w:p w14:paraId="4B72EC74">
                  <w:pPr>
                    <w:pStyle w:val="165"/>
                    <w:spacing w:line="240" w:lineRule="auto"/>
                    <w:rPr>
                      <w:sz w:val="21"/>
                      <w:szCs w:val="21"/>
                    </w:rPr>
                  </w:pPr>
                  <w:r>
                    <w:rPr>
                      <w:sz w:val="21"/>
                      <w:szCs w:val="21"/>
                    </w:rPr>
                    <w:t>3</w:t>
                  </w:r>
                </w:p>
              </w:tc>
              <w:tc>
                <w:tcPr>
                  <w:tcW w:w="2968" w:type="dxa"/>
                  <w:noWrap w:val="0"/>
                  <w:vAlign w:val="center"/>
                </w:tcPr>
                <w:p w14:paraId="30BF18AD">
                  <w:pPr>
                    <w:pStyle w:val="165"/>
                    <w:spacing w:line="240" w:lineRule="auto"/>
                    <w:rPr>
                      <w:sz w:val="21"/>
                      <w:szCs w:val="21"/>
                    </w:rPr>
                  </w:pPr>
                  <w:r>
                    <w:rPr>
                      <w:bCs/>
                      <w:sz w:val="21"/>
                      <w:szCs w:val="21"/>
                    </w:rPr>
                    <w:t>BOD</w:t>
                  </w:r>
                  <w:r>
                    <w:rPr>
                      <w:bCs/>
                      <w:sz w:val="21"/>
                      <w:szCs w:val="21"/>
                      <w:vertAlign w:val="subscript"/>
                    </w:rPr>
                    <w:t>5</w:t>
                  </w:r>
                </w:p>
              </w:tc>
              <w:tc>
                <w:tcPr>
                  <w:tcW w:w="2968" w:type="dxa"/>
                  <w:noWrap w:val="0"/>
                  <w:vAlign w:val="center"/>
                </w:tcPr>
                <w:p w14:paraId="7CAD33B2">
                  <w:pPr>
                    <w:pStyle w:val="165"/>
                    <w:spacing w:line="240" w:lineRule="auto"/>
                    <w:rPr>
                      <w:rFonts w:hint="default" w:eastAsia="宋体"/>
                      <w:sz w:val="21"/>
                      <w:szCs w:val="21"/>
                      <w:lang w:val="en-US" w:eastAsia="zh-CN"/>
                    </w:rPr>
                  </w:pPr>
                  <w:r>
                    <w:rPr>
                      <w:rFonts w:hint="eastAsia"/>
                      <w:sz w:val="21"/>
                      <w:szCs w:val="21"/>
                      <w:lang w:val="en-US" w:eastAsia="zh-CN"/>
                    </w:rPr>
                    <w:t>300</w:t>
                  </w:r>
                </w:p>
              </w:tc>
            </w:tr>
            <w:tr w14:paraId="68BA61C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Pr>
              <w:tc>
                <w:tcPr>
                  <w:tcW w:w="2230" w:type="dxa"/>
                  <w:noWrap w:val="0"/>
                  <w:vAlign w:val="center"/>
                </w:tcPr>
                <w:p w14:paraId="2BE88B08">
                  <w:pPr>
                    <w:pStyle w:val="165"/>
                    <w:spacing w:line="240" w:lineRule="auto"/>
                    <w:rPr>
                      <w:sz w:val="21"/>
                      <w:szCs w:val="21"/>
                    </w:rPr>
                  </w:pPr>
                  <w:r>
                    <w:rPr>
                      <w:sz w:val="21"/>
                      <w:szCs w:val="21"/>
                    </w:rPr>
                    <w:t>4</w:t>
                  </w:r>
                </w:p>
              </w:tc>
              <w:tc>
                <w:tcPr>
                  <w:tcW w:w="2968" w:type="dxa"/>
                  <w:noWrap w:val="0"/>
                  <w:vAlign w:val="center"/>
                </w:tcPr>
                <w:p w14:paraId="50E08044">
                  <w:pPr>
                    <w:pStyle w:val="165"/>
                    <w:spacing w:line="240" w:lineRule="auto"/>
                    <w:rPr>
                      <w:sz w:val="21"/>
                      <w:szCs w:val="21"/>
                    </w:rPr>
                  </w:pPr>
                  <w:r>
                    <w:rPr>
                      <w:sz w:val="21"/>
                      <w:szCs w:val="21"/>
                    </w:rPr>
                    <w:t>SS</w:t>
                  </w:r>
                </w:p>
              </w:tc>
              <w:tc>
                <w:tcPr>
                  <w:tcW w:w="2968" w:type="dxa"/>
                  <w:noWrap w:val="0"/>
                  <w:vAlign w:val="center"/>
                </w:tcPr>
                <w:p w14:paraId="28742265">
                  <w:pPr>
                    <w:pStyle w:val="165"/>
                    <w:spacing w:line="240" w:lineRule="auto"/>
                    <w:rPr>
                      <w:sz w:val="21"/>
                      <w:szCs w:val="21"/>
                    </w:rPr>
                  </w:pPr>
                  <w:r>
                    <w:rPr>
                      <w:sz w:val="21"/>
                      <w:szCs w:val="21"/>
                    </w:rPr>
                    <w:t>400</w:t>
                  </w:r>
                </w:p>
              </w:tc>
            </w:tr>
            <w:tr w14:paraId="34C0AB4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Pr>
              <w:tc>
                <w:tcPr>
                  <w:tcW w:w="2230" w:type="dxa"/>
                  <w:noWrap w:val="0"/>
                  <w:vAlign w:val="center"/>
                </w:tcPr>
                <w:p w14:paraId="44E7E994">
                  <w:pPr>
                    <w:pStyle w:val="165"/>
                    <w:spacing w:line="240" w:lineRule="auto"/>
                    <w:rPr>
                      <w:sz w:val="21"/>
                      <w:szCs w:val="21"/>
                    </w:rPr>
                  </w:pPr>
                  <w:r>
                    <w:rPr>
                      <w:sz w:val="21"/>
                      <w:szCs w:val="21"/>
                    </w:rPr>
                    <w:t>5</w:t>
                  </w:r>
                </w:p>
              </w:tc>
              <w:tc>
                <w:tcPr>
                  <w:tcW w:w="2968" w:type="dxa"/>
                  <w:noWrap w:val="0"/>
                  <w:vAlign w:val="center"/>
                </w:tcPr>
                <w:p w14:paraId="3AF0E135">
                  <w:pPr>
                    <w:pStyle w:val="165"/>
                    <w:spacing w:line="240" w:lineRule="auto"/>
                    <w:rPr>
                      <w:sz w:val="21"/>
                      <w:szCs w:val="21"/>
                    </w:rPr>
                  </w:pPr>
                  <w:r>
                    <w:rPr>
                      <w:sz w:val="21"/>
                      <w:szCs w:val="21"/>
                    </w:rPr>
                    <w:t>氨氮</w:t>
                  </w:r>
                </w:p>
              </w:tc>
              <w:tc>
                <w:tcPr>
                  <w:tcW w:w="2968" w:type="dxa"/>
                  <w:noWrap w:val="0"/>
                  <w:vAlign w:val="center"/>
                </w:tcPr>
                <w:p w14:paraId="11EA9B0B">
                  <w:pPr>
                    <w:pStyle w:val="165"/>
                    <w:spacing w:line="240" w:lineRule="auto"/>
                    <w:rPr>
                      <w:rFonts w:hint="default" w:eastAsia="宋体"/>
                      <w:sz w:val="21"/>
                      <w:szCs w:val="21"/>
                      <w:lang w:val="en-US" w:eastAsia="zh-CN"/>
                    </w:rPr>
                  </w:pPr>
                  <w:r>
                    <w:rPr>
                      <w:rFonts w:hint="eastAsia"/>
                      <w:sz w:val="21"/>
                      <w:szCs w:val="21"/>
                      <w:lang w:val="en-US" w:eastAsia="zh-CN"/>
                    </w:rPr>
                    <w:t>50</w:t>
                  </w:r>
                </w:p>
              </w:tc>
            </w:tr>
            <w:tr w14:paraId="0C769C9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Pr>
              <w:tc>
                <w:tcPr>
                  <w:tcW w:w="2230" w:type="dxa"/>
                  <w:noWrap w:val="0"/>
                  <w:vAlign w:val="center"/>
                </w:tcPr>
                <w:p w14:paraId="7828484B">
                  <w:pPr>
                    <w:pStyle w:val="165"/>
                    <w:spacing w:line="240" w:lineRule="auto"/>
                    <w:rPr>
                      <w:rFonts w:hint="eastAsia" w:eastAsia="宋体"/>
                      <w:sz w:val="21"/>
                      <w:szCs w:val="21"/>
                      <w:lang w:eastAsia="zh-CN"/>
                    </w:rPr>
                  </w:pPr>
                  <w:r>
                    <w:rPr>
                      <w:rFonts w:hint="eastAsia"/>
                      <w:sz w:val="21"/>
                      <w:szCs w:val="21"/>
                      <w:lang w:val="en-US" w:eastAsia="zh-CN"/>
                    </w:rPr>
                    <w:t>6</w:t>
                  </w:r>
                </w:p>
              </w:tc>
              <w:tc>
                <w:tcPr>
                  <w:tcW w:w="2968" w:type="dxa"/>
                  <w:noWrap w:val="0"/>
                  <w:vAlign w:val="center"/>
                </w:tcPr>
                <w:p w14:paraId="427B95D8">
                  <w:pPr>
                    <w:pStyle w:val="165"/>
                    <w:spacing w:line="240" w:lineRule="auto"/>
                    <w:rPr>
                      <w:sz w:val="21"/>
                      <w:szCs w:val="21"/>
                    </w:rPr>
                  </w:pPr>
                  <w:r>
                    <w:rPr>
                      <w:sz w:val="21"/>
                      <w:szCs w:val="21"/>
                    </w:rPr>
                    <w:t>总磷</w:t>
                  </w:r>
                </w:p>
              </w:tc>
              <w:tc>
                <w:tcPr>
                  <w:tcW w:w="2968" w:type="dxa"/>
                  <w:noWrap w:val="0"/>
                  <w:vAlign w:val="center"/>
                </w:tcPr>
                <w:p w14:paraId="7C7B56F3">
                  <w:pPr>
                    <w:pStyle w:val="165"/>
                    <w:spacing w:line="240" w:lineRule="auto"/>
                    <w:rPr>
                      <w:sz w:val="21"/>
                      <w:szCs w:val="21"/>
                    </w:rPr>
                  </w:pPr>
                  <w:r>
                    <w:rPr>
                      <w:rFonts w:hint="eastAsia"/>
                      <w:sz w:val="21"/>
                      <w:szCs w:val="21"/>
                      <w:lang w:val="en-US" w:eastAsia="zh-CN"/>
                    </w:rPr>
                    <w:t>8</w:t>
                  </w:r>
                </w:p>
              </w:tc>
            </w:tr>
            <w:tr w14:paraId="0BAE07F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90" w:hRule="atLeast"/>
              </w:trPr>
              <w:tc>
                <w:tcPr>
                  <w:tcW w:w="2230" w:type="dxa"/>
                  <w:noWrap w:val="0"/>
                  <w:vAlign w:val="center"/>
                </w:tcPr>
                <w:p w14:paraId="0F6885BB">
                  <w:pPr>
                    <w:pStyle w:val="165"/>
                    <w:spacing w:line="240" w:lineRule="auto"/>
                    <w:rPr>
                      <w:rFonts w:hint="eastAsia" w:eastAsia="宋体"/>
                      <w:sz w:val="21"/>
                      <w:szCs w:val="21"/>
                      <w:lang w:val="en-US" w:eastAsia="zh-CN"/>
                    </w:rPr>
                  </w:pPr>
                  <w:r>
                    <w:rPr>
                      <w:rFonts w:hint="eastAsia"/>
                      <w:sz w:val="21"/>
                      <w:szCs w:val="21"/>
                      <w:lang w:val="en-US" w:eastAsia="zh-CN"/>
                    </w:rPr>
                    <w:t>7</w:t>
                  </w:r>
                </w:p>
              </w:tc>
              <w:tc>
                <w:tcPr>
                  <w:tcW w:w="2968" w:type="dxa"/>
                  <w:noWrap w:val="0"/>
                  <w:vAlign w:val="center"/>
                </w:tcPr>
                <w:p w14:paraId="2A7776BA">
                  <w:pPr>
                    <w:pStyle w:val="165"/>
                    <w:spacing w:line="240" w:lineRule="auto"/>
                    <w:rPr>
                      <w:rFonts w:hint="eastAsia" w:eastAsia="宋体"/>
                      <w:sz w:val="21"/>
                      <w:szCs w:val="21"/>
                      <w:lang w:val="en-US" w:eastAsia="zh-CN"/>
                    </w:rPr>
                  </w:pPr>
                  <w:r>
                    <w:rPr>
                      <w:rFonts w:hint="eastAsia"/>
                      <w:sz w:val="21"/>
                      <w:szCs w:val="21"/>
                      <w:lang w:val="en-US" w:eastAsia="zh-CN"/>
                    </w:rPr>
                    <w:t>动植物油</w:t>
                  </w:r>
                </w:p>
              </w:tc>
              <w:tc>
                <w:tcPr>
                  <w:tcW w:w="2968" w:type="dxa"/>
                  <w:noWrap w:val="0"/>
                  <w:vAlign w:val="center"/>
                </w:tcPr>
                <w:p w14:paraId="1F3DFBDB">
                  <w:pPr>
                    <w:pStyle w:val="165"/>
                    <w:spacing w:line="240" w:lineRule="auto"/>
                    <w:rPr>
                      <w:rFonts w:hint="default" w:eastAsia="宋体"/>
                      <w:sz w:val="21"/>
                      <w:szCs w:val="21"/>
                      <w:lang w:val="en-US" w:eastAsia="zh-CN"/>
                    </w:rPr>
                  </w:pPr>
                  <w:r>
                    <w:rPr>
                      <w:rFonts w:hint="eastAsia"/>
                      <w:sz w:val="21"/>
                      <w:szCs w:val="21"/>
                      <w:lang w:val="en-US" w:eastAsia="zh-CN"/>
                    </w:rPr>
                    <w:t>100</w:t>
                  </w:r>
                </w:p>
              </w:tc>
            </w:tr>
          </w:tbl>
          <w:p w14:paraId="2764A3E4">
            <w:pPr>
              <w:ind w:firstLine="482"/>
              <w:rPr>
                <w:b/>
                <w:bCs/>
              </w:rPr>
            </w:pPr>
            <w:r>
              <w:rPr>
                <w:b/>
                <w:bCs/>
              </w:rPr>
              <w:t>3、噪声</w:t>
            </w:r>
          </w:p>
          <w:p w14:paraId="3A028F65">
            <w:pPr>
              <w:ind w:firstLine="480"/>
            </w:pPr>
            <w:r>
              <w:t>营运期厂界噪声执行《工业企业厂界环境噪声排放标准》（GB12348-2008）</w:t>
            </w:r>
            <w:r>
              <w:rPr>
                <w:rFonts w:hint="eastAsia"/>
              </w:rPr>
              <w:t>3</w:t>
            </w:r>
            <w:r>
              <w:t>类标准</w:t>
            </w:r>
            <w:r>
              <w:rPr>
                <w:rFonts w:hint="eastAsia"/>
                <w:lang w:eastAsia="zh-CN"/>
              </w:rPr>
              <w:t>，</w:t>
            </w:r>
            <w:r>
              <w:t>具体标准见</w:t>
            </w:r>
            <w:r>
              <w:rPr>
                <w:rFonts w:hint="eastAsia"/>
              </w:rPr>
              <w:t>表</w:t>
            </w:r>
            <w:r>
              <w:rPr>
                <w:rFonts w:hint="eastAsia"/>
                <w:lang w:val="en-US" w:eastAsia="zh-CN"/>
              </w:rPr>
              <w:t>3-7</w:t>
            </w:r>
            <w:r>
              <w:t>。</w:t>
            </w:r>
          </w:p>
          <w:p w14:paraId="6D8C3F86">
            <w:pPr>
              <w:pStyle w:val="164"/>
              <w:keepNext w:val="0"/>
              <w:keepLines w:val="0"/>
              <w:pageBreakBefore w:val="0"/>
              <w:widowControl w:val="0"/>
              <w:kinsoku/>
              <w:wordWrap/>
              <w:overflowPunct/>
              <w:topLinePunct w:val="0"/>
              <w:autoSpaceDE/>
              <w:autoSpaceDN/>
              <w:bidi w:val="0"/>
              <w:adjustRightInd w:val="0"/>
              <w:snapToGrid w:val="0"/>
              <w:spacing w:before="0" w:beforeLines="0" w:line="240" w:lineRule="auto"/>
              <w:textAlignment w:val="baseline"/>
              <w:rPr>
                <w:rFonts w:ascii="Times New Roman" w:hAnsi="Times New Roman" w:eastAsia="宋体" w:cs="Times New Roman"/>
                <w:sz w:val="21"/>
                <w:szCs w:val="16"/>
              </w:rPr>
            </w:pPr>
            <w:r>
              <w:rPr>
                <w:rFonts w:hint="default" w:ascii="Times New Roman" w:hAnsi="Times New Roman" w:eastAsia="宋体" w:cs="Times New Roman"/>
                <w:sz w:val="21"/>
                <w:szCs w:val="16"/>
                <w:lang w:val="en-US" w:eastAsia="zh-CN"/>
              </w:rPr>
              <w:t>表3-</w:t>
            </w:r>
            <w:r>
              <w:rPr>
                <w:rFonts w:hint="eastAsia" w:ascii="Times New Roman" w:hAnsi="Times New Roman" w:eastAsia="宋体" w:cs="Times New Roman"/>
                <w:sz w:val="21"/>
                <w:szCs w:val="16"/>
                <w:lang w:val="en-US" w:eastAsia="zh-CN"/>
              </w:rPr>
              <w:t>7</w:t>
            </w:r>
            <w:r>
              <w:rPr>
                <w:rFonts w:hint="default" w:ascii="Times New Roman" w:hAnsi="Times New Roman" w:eastAsia="宋体" w:cs="Times New Roman"/>
                <w:sz w:val="21"/>
                <w:szCs w:val="16"/>
                <w:lang w:val="en-US" w:eastAsia="zh-CN"/>
              </w:rPr>
              <w:t xml:space="preserve"> </w:t>
            </w:r>
            <w:r>
              <w:rPr>
                <w:rFonts w:hint="eastAsia" w:ascii="Times New Roman" w:hAnsi="Times New Roman" w:eastAsia="宋体" w:cs="Times New Roman"/>
                <w:sz w:val="21"/>
                <w:szCs w:val="16"/>
              </w:rPr>
              <w:t>噪声排放标准</w:t>
            </w:r>
          </w:p>
          <w:tbl>
            <w:tblPr>
              <w:tblStyle w:val="41"/>
              <w:tblW w:w="4998"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666"/>
              <w:gridCol w:w="2589"/>
              <w:gridCol w:w="3163"/>
            </w:tblGrid>
            <w:tr w14:paraId="5579F8E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1583" w:type="pct"/>
                  <w:tcBorders>
                    <w:tl2br w:val="nil"/>
                    <w:tr2bl w:val="nil"/>
                  </w:tcBorders>
                  <w:vAlign w:val="center"/>
                </w:tcPr>
                <w:p w14:paraId="6CDE89C1">
                  <w:pPr>
                    <w:pStyle w:val="56"/>
                    <w:bidi w:val="0"/>
                  </w:pPr>
                  <w:r>
                    <w:t>类别</w:t>
                  </w:r>
                </w:p>
              </w:tc>
              <w:tc>
                <w:tcPr>
                  <w:tcW w:w="1537" w:type="pct"/>
                  <w:tcBorders>
                    <w:tl2br w:val="nil"/>
                    <w:tr2bl w:val="nil"/>
                  </w:tcBorders>
                  <w:vAlign w:val="center"/>
                </w:tcPr>
                <w:p w14:paraId="08944D03">
                  <w:pPr>
                    <w:pStyle w:val="56"/>
                    <w:bidi w:val="0"/>
                  </w:pPr>
                  <w:r>
                    <w:t>昼间dB(A)</w:t>
                  </w:r>
                </w:p>
              </w:tc>
              <w:tc>
                <w:tcPr>
                  <w:tcW w:w="1878" w:type="pct"/>
                  <w:tcBorders>
                    <w:tl2br w:val="nil"/>
                    <w:tr2bl w:val="nil"/>
                  </w:tcBorders>
                  <w:vAlign w:val="center"/>
                </w:tcPr>
                <w:p w14:paraId="1F4E5AE3">
                  <w:pPr>
                    <w:pStyle w:val="56"/>
                    <w:bidi w:val="0"/>
                  </w:pPr>
                  <w:r>
                    <w:t>夜间dB(A)</w:t>
                  </w:r>
                </w:p>
              </w:tc>
            </w:tr>
            <w:tr w14:paraId="0891E9B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1583" w:type="pct"/>
                  <w:tcBorders>
                    <w:tl2br w:val="nil"/>
                    <w:tr2bl w:val="nil"/>
                  </w:tcBorders>
                  <w:vAlign w:val="center"/>
                </w:tcPr>
                <w:p w14:paraId="69C800D9">
                  <w:pPr>
                    <w:pStyle w:val="56"/>
                    <w:bidi w:val="0"/>
                  </w:pPr>
                  <w:r>
                    <w:t>（GB12348-2008）</w:t>
                  </w:r>
                  <w:r>
                    <w:rPr>
                      <w:rFonts w:hint="eastAsia"/>
                    </w:rPr>
                    <w:t>3</w:t>
                  </w:r>
                  <w:r>
                    <w:t>类</w:t>
                  </w:r>
                </w:p>
              </w:tc>
              <w:tc>
                <w:tcPr>
                  <w:tcW w:w="1537" w:type="pct"/>
                  <w:tcBorders>
                    <w:tl2br w:val="nil"/>
                    <w:tr2bl w:val="nil"/>
                  </w:tcBorders>
                  <w:vAlign w:val="center"/>
                </w:tcPr>
                <w:p w14:paraId="5B17A2D0">
                  <w:pPr>
                    <w:pStyle w:val="56"/>
                    <w:bidi w:val="0"/>
                  </w:pPr>
                  <w:r>
                    <w:rPr>
                      <w:rFonts w:hint="eastAsia"/>
                    </w:rPr>
                    <w:t>65</w:t>
                  </w:r>
                </w:p>
              </w:tc>
              <w:tc>
                <w:tcPr>
                  <w:tcW w:w="1878" w:type="pct"/>
                  <w:tcBorders>
                    <w:tl2br w:val="nil"/>
                    <w:tr2bl w:val="nil"/>
                  </w:tcBorders>
                  <w:vAlign w:val="center"/>
                </w:tcPr>
                <w:p w14:paraId="2CEE98D1">
                  <w:pPr>
                    <w:pStyle w:val="56"/>
                    <w:bidi w:val="0"/>
                  </w:pPr>
                  <w:r>
                    <w:rPr>
                      <w:rFonts w:hint="eastAsia"/>
                    </w:rPr>
                    <w:t>55</w:t>
                  </w:r>
                </w:p>
              </w:tc>
            </w:tr>
          </w:tbl>
          <w:p w14:paraId="4B3FB47B">
            <w:pPr>
              <w:ind w:firstLine="482"/>
              <w:rPr>
                <w:b/>
                <w:bCs/>
              </w:rPr>
            </w:pPr>
            <w:r>
              <w:rPr>
                <w:b/>
                <w:bCs/>
              </w:rPr>
              <w:t>4、固体废物</w:t>
            </w:r>
          </w:p>
          <w:p w14:paraId="2905A7F8">
            <w:pPr>
              <w:widowControl/>
              <w:ind w:firstLine="480"/>
              <w:jc w:val="left"/>
              <w:rPr>
                <w:kern w:val="0"/>
                <w:szCs w:val="21"/>
              </w:rPr>
            </w:pPr>
            <w:r>
              <w:rPr>
                <w:rFonts w:hint="eastAsia"/>
              </w:rPr>
              <w:t>本项目</w:t>
            </w:r>
            <w:r>
              <w:t>一般工业固废贮存过程应满足相应防渗漏、防雨淋、防扬尘等环境保护要求</w:t>
            </w:r>
            <w:r>
              <w:rPr>
                <w:rFonts w:hint="eastAsia"/>
              </w:rPr>
              <w:t>。危险废物贮存执行《危险废物贮存污染控制标准》（</w:t>
            </w:r>
            <w:r>
              <w:t>GB18597-20</w:t>
            </w:r>
            <w:r>
              <w:rPr>
                <w:rFonts w:hint="eastAsia"/>
              </w:rPr>
              <w:t>23）。</w:t>
            </w:r>
          </w:p>
        </w:tc>
      </w:tr>
      <w:tr w14:paraId="22CFD4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vAlign w:val="center"/>
          </w:tcPr>
          <w:p w14:paraId="63EF1240">
            <w:pPr>
              <w:ind w:firstLine="0" w:firstLineChars="0"/>
              <w:jc w:val="center"/>
              <w:rPr>
                <w:b/>
                <w:bCs/>
                <w:kern w:val="0"/>
              </w:rPr>
            </w:pPr>
            <w:r>
              <w:rPr>
                <w:b/>
                <w:bCs/>
                <w:kern w:val="0"/>
              </w:rPr>
              <w:t>总量</w:t>
            </w:r>
          </w:p>
          <w:p w14:paraId="188C2827">
            <w:pPr>
              <w:ind w:firstLine="0" w:firstLineChars="0"/>
              <w:jc w:val="center"/>
              <w:rPr>
                <w:b/>
                <w:bCs/>
                <w:kern w:val="0"/>
              </w:rPr>
            </w:pPr>
            <w:r>
              <w:rPr>
                <w:b/>
                <w:bCs/>
                <w:kern w:val="0"/>
              </w:rPr>
              <w:t>控制</w:t>
            </w:r>
          </w:p>
          <w:p w14:paraId="669764D9">
            <w:pPr>
              <w:ind w:firstLine="0" w:firstLineChars="0"/>
              <w:jc w:val="center"/>
              <w:rPr>
                <w:kern w:val="0"/>
                <w:szCs w:val="21"/>
              </w:rPr>
            </w:pPr>
            <w:r>
              <w:rPr>
                <w:b/>
                <w:bCs/>
                <w:kern w:val="0"/>
              </w:rPr>
              <w:t>指标</w:t>
            </w:r>
          </w:p>
        </w:tc>
        <w:tc>
          <w:tcPr>
            <w:tcW w:w="8190" w:type="dxa"/>
          </w:tcPr>
          <w:p w14:paraId="20CA0029">
            <w:pPr>
              <w:spacing w:line="360" w:lineRule="auto"/>
              <w:ind w:firstLine="480"/>
            </w:pPr>
            <w:r>
              <w:rPr>
                <w:rFonts w:hint="eastAsia"/>
              </w:rPr>
              <w:t>根据《宜春市人民政府关于印发宜春市“十四五”生态环境保护规划的通知》（宜府发</w:t>
            </w:r>
            <w:r>
              <w:t>〔2021〕15号）表2中主要污染物排放控制标准为：COD</w:t>
            </w:r>
            <w:r>
              <w:rPr>
                <w:vertAlign w:val="subscript"/>
              </w:rPr>
              <w:t>Cr</w:t>
            </w:r>
            <w:r>
              <w:t>、NH</w:t>
            </w:r>
            <w:r>
              <w:rPr>
                <w:vertAlign w:val="subscript"/>
              </w:rPr>
              <w:t>3</w:t>
            </w:r>
            <w:r>
              <w:t>-N和</w:t>
            </w:r>
            <w:r>
              <w:rPr>
                <w:rFonts w:hint="eastAsia"/>
              </w:rPr>
              <w:t>NOx</w:t>
            </w:r>
            <w:r>
              <w:t>、</w:t>
            </w:r>
            <w:r>
              <w:rPr>
                <w:rFonts w:hint="eastAsia"/>
              </w:rPr>
              <w:t>VOCs</w:t>
            </w:r>
            <w:r>
              <w:t>共四种主要污染物</w:t>
            </w:r>
            <w:r>
              <w:rPr>
                <w:rFonts w:hint="eastAsia"/>
              </w:rPr>
              <w:t>需</w:t>
            </w:r>
            <w:r>
              <w:t>实行排放总量控制计划管理</w:t>
            </w:r>
            <w:r>
              <w:rPr>
                <w:rFonts w:hint="eastAsia"/>
              </w:rPr>
              <w:t>。</w:t>
            </w:r>
          </w:p>
          <w:p w14:paraId="16F9CCC3">
            <w:pPr>
              <w:ind w:firstLine="480"/>
              <w:jc w:val="left"/>
              <w:rPr>
                <w:rFonts w:hint="default" w:ascii="Times New Roman" w:hAnsi="Times New Roman" w:eastAsia="宋体" w:cs="Times New Roman"/>
                <w:lang w:val="en-US" w:eastAsia="zh-CN"/>
              </w:rPr>
            </w:pPr>
            <w:r>
              <w:rPr>
                <w:rFonts w:hint="eastAsia" w:cs="Times New Roman"/>
                <w:lang w:val="en-US" w:eastAsia="zh-CN"/>
              </w:rPr>
              <w:t>项目无VOCs及NOx排放，无需申请大气总量。</w:t>
            </w:r>
          </w:p>
          <w:p w14:paraId="397348CA">
            <w:pPr>
              <w:keepNext w:val="0"/>
              <w:keepLines w:val="0"/>
              <w:widowControl/>
              <w:suppressLineNumbers w:val="0"/>
              <w:adjustRightInd w:val="0"/>
              <w:snapToGrid w:val="0"/>
              <w:spacing w:before="0" w:beforeAutospacing="0" w:after="0" w:afterAutospacing="0" w:line="360" w:lineRule="auto"/>
              <w:ind w:left="0" w:right="0"/>
              <w:jc w:val="left"/>
              <w:rPr>
                <w:rFonts w:hint="eastAsia"/>
              </w:rPr>
            </w:pPr>
            <w:r>
              <w:rPr>
                <w:rFonts w:hint="eastAsia"/>
              </w:rPr>
              <w:t>废水总量控制指标：</w:t>
            </w:r>
          </w:p>
          <w:p w14:paraId="12C7BC20">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000000"/>
                <w:kern w:val="2"/>
                <w:sz w:val="21"/>
                <w:szCs w:val="21"/>
              </w:rPr>
            </w:pPr>
            <w:r>
              <w:rPr>
                <w:rFonts w:hint="eastAsia" w:ascii="宋体" w:hAnsi="宋体" w:eastAsia="宋体" w:cs="宋体"/>
                <w:b/>
                <w:bCs/>
                <w:color w:val="000000"/>
                <w:kern w:val="2"/>
                <w:sz w:val="21"/>
                <w:szCs w:val="21"/>
                <w:lang w:val="en-US" w:eastAsia="zh-CN" w:bidi="ar"/>
              </w:rPr>
              <w:t>表</w:t>
            </w:r>
            <w:r>
              <w:rPr>
                <w:rFonts w:hint="eastAsia" w:cs="Times New Roman"/>
                <w:b/>
                <w:bCs/>
                <w:color w:val="000000"/>
                <w:kern w:val="2"/>
                <w:sz w:val="21"/>
                <w:szCs w:val="21"/>
                <w:lang w:val="en-US" w:eastAsia="zh-CN" w:bidi="ar"/>
              </w:rPr>
              <w:t>3</w:t>
            </w:r>
            <w:r>
              <w:rPr>
                <w:rFonts w:hint="default" w:ascii="Times New Roman" w:hAnsi="Times New Roman" w:cs="Times New Roman"/>
                <w:b/>
                <w:bCs/>
                <w:color w:val="000000"/>
                <w:kern w:val="2"/>
                <w:sz w:val="21"/>
                <w:szCs w:val="21"/>
                <w:lang w:val="en-US" w:eastAsia="zh-CN" w:bidi="ar"/>
              </w:rPr>
              <w:t>-</w:t>
            </w:r>
            <w:r>
              <w:rPr>
                <w:rFonts w:hint="eastAsia" w:cs="Times New Roman"/>
                <w:b/>
                <w:bCs/>
                <w:color w:val="000000"/>
                <w:kern w:val="2"/>
                <w:sz w:val="21"/>
                <w:szCs w:val="21"/>
                <w:lang w:val="en-US" w:eastAsia="zh-CN" w:bidi="ar"/>
              </w:rPr>
              <w:t>7</w:t>
            </w:r>
            <w:r>
              <w:rPr>
                <w:rFonts w:hint="default" w:ascii="Times New Roman" w:hAnsi="Times New Roman" w:cs="Times New Roman"/>
                <w:b/>
                <w:bCs/>
                <w:color w:val="000000"/>
                <w:kern w:val="2"/>
                <w:sz w:val="21"/>
                <w:szCs w:val="21"/>
                <w:lang w:val="en-US" w:eastAsia="zh-CN" w:bidi="ar"/>
              </w:rPr>
              <w:t xml:space="preserve"> </w:t>
            </w:r>
            <w:r>
              <w:rPr>
                <w:rFonts w:hint="eastAsia" w:ascii="宋体" w:hAnsi="宋体" w:eastAsia="宋体" w:cs="宋体"/>
                <w:b/>
                <w:bCs/>
                <w:color w:val="000000"/>
                <w:kern w:val="2"/>
                <w:sz w:val="21"/>
                <w:szCs w:val="21"/>
                <w:lang w:val="en-US" w:eastAsia="zh-CN" w:bidi="ar"/>
              </w:rPr>
              <w:t>项目运营期废水排放考核量</w:t>
            </w:r>
            <w:r>
              <w:rPr>
                <w:rFonts w:hint="eastAsia" w:ascii="宋体" w:hAnsi="宋体" w:cs="宋体"/>
                <w:b/>
                <w:bCs/>
                <w:color w:val="000000"/>
                <w:kern w:val="2"/>
                <w:sz w:val="21"/>
                <w:szCs w:val="21"/>
                <w:lang w:val="en-US" w:eastAsia="zh-CN" w:bidi="ar"/>
              </w:rPr>
              <w:t>及控制量</w:t>
            </w:r>
            <w:r>
              <w:rPr>
                <w:rFonts w:hint="eastAsia" w:ascii="宋体" w:hAnsi="宋体" w:eastAsia="宋体" w:cs="宋体"/>
                <w:b/>
                <w:bCs/>
                <w:color w:val="000000"/>
                <w:kern w:val="2"/>
                <w:sz w:val="21"/>
                <w:szCs w:val="21"/>
                <w:lang w:val="en-US" w:eastAsia="zh-CN" w:bidi="ar"/>
              </w:rPr>
              <w:t>一览表</w:t>
            </w:r>
          </w:p>
          <w:tbl>
            <w:tblPr>
              <w:tblStyle w:val="4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1" w:type="dxa"/>
                <w:bottom w:w="0" w:type="dxa"/>
                <w:right w:w="11" w:type="dxa"/>
              </w:tblCellMar>
            </w:tblPr>
            <w:tblGrid>
              <w:gridCol w:w="2388"/>
              <w:gridCol w:w="1370"/>
              <w:gridCol w:w="346"/>
              <w:gridCol w:w="600"/>
              <w:gridCol w:w="619"/>
            </w:tblGrid>
            <w:tr w14:paraId="14BE04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trHeight w:val="90" w:hRule="atLeast"/>
                <w:jc w:val="center"/>
              </w:trPr>
              <w:tc>
                <w:tcPr>
                  <w:tcW w:w="3758" w:type="dxa"/>
                  <w:gridSpan w:val="2"/>
                  <w:tcBorders>
                    <w:tl2br w:val="nil"/>
                    <w:tr2bl w:val="nil"/>
                  </w:tcBorders>
                  <w:noWrap w:val="0"/>
                  <w:vAlign w:val="center"/>
                </w:tcPr>
                <w:p w14:paraId="6094CEE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FF0000"/>
                      <w:kern w:val="0"/>
                      <w:sz w:val="21"/>
                      <w:szCs w:val="21"/>
                      <w:u w:val="none"/>
                      <w:lang w:val="en-US" w:eastAsia="zh-CN" w:bidi="ar"/>
                    </w:rPr>
                  </w:pPr>
                  <w:r>
                    <w:rPr>
                      <w:rFonts w:hint="eastAsia" w:ascii="宋体" w:hAnsi="宋体" w:eastAsia="宋体" w:cs="宋体"/>
                      <w:b/>
                      <w:bCs/>
                      <w:i w:val="0"/>
                      <w:iCs w:val="0"/>
                      <w:color w:val="FF0000"/>
                      <w:kern w:val="0"/>
                      <w:sz w:val="21"/>
                      <w:szCs w:val="21"/>
                      <w:u w:val="none"/>
                      <w:lang w:val="en-US" w:eastAsia="zh-CN" w:bidi="ar"/>
                    </w:rPr>
                    <w:t>类别</w:t>
                  </w:r>
                </w:p>
              </w:tc>
              <w:tc>
                <w:tcPr>
                  <w:tcW w:w="346" w:type="dxa"/>
                  <w:tcBorders>
                    <w:tl2br w:val="nil"/>
                    <w:tr2bl w:val="nil"/>
                  </w:tcBorders>
                  <w:noWrap w:val="0"/>
                  <w:vAlign w:val="center"/>
                </w:tcPr>
                <w:p w14:paraId="55B29FA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val="0"/>
                      <w:color w:val="FF0000"/>
                      <w:kern w:val="2"/>
                      <w:sz w:val="21"/>
                      <w:szCs w:val="21"/>
                    </w:rPr>
                  </w:pPr>
                  <w:r>
                    <w:rPr>
                      <w:rFonts w:hint="default" w:ascii="Times New Roman" w:hAnsi="Times New Roman" w:eastAsia="宋体" w:cs="Times New Roman"/>
                      <w:i w:val="0"/>
                      <w:iCs w:val="0"/>
                      <w:color w:val="FF0000"/>
                      <w:kern w:val="0"/>
                      <w:sz w:val="21"/>
                      <w:szCs w:val="21"/>
                      <w:u w:val="none"/>
                      <w:lang w:val="en-US" w:eastAsia="zh-CN" w:bidi="ar"/>
                    </w:rPr>
                    <w:t>pH</w:t>
                  </w:r>
                </w:p>
              </w:tc>
              <w:tc>
                <w:tcPr>
                  <w:tcW w:w="600" w:type="dxa"/>
                  <w:tcBorders>
                    <w:tl2br w:val="nil"/>
                    <w:tr2bl w:val="nil"/>
                  </w:tcBorders>
                  <w:noWrap w:val="0"/>
                  <w:vAlign w:val="center"/>
                </w:tcPr>
                <w:p w14:paraId="4388DBC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val="0"/>
                      <w:color w:val="FF0000"/>
                      <w:kern w:val="2"/>
                      <w:sz w:val="21"/>
                      <w:szCs w:val="21"/>
                    </w:rPr>
                  </w:pPr>
                  <w:r>
                    <w:rPr>
                      <w:rFonts w:hint="default" w:ascii="Times New Roman" w:hAnsi="Times New Roman" w:eastAsia="宋体" w:cs="Times New Roman"/>
                      <w:i w:val="0"/>
                      <w:iCs w:val="0"/>
                      <w:color w:val="FF0000"/>
                      <w:kern w:val="0"/>
                      <w:sz w:val="21"/>
                      <w:szCs w:val="21"/>
                      <w:u w:val="none"/>
                      <w:lang w:val="en-US" w:eastAsia="zh-CN" w:bidi="ar"/>
                    </w:rPr>
                    <w:t>COD</w:t>
                  </w:r>
                </w:p>
              </w:tc>
              <w:tc>
                <w:tcPr>
                  <w:tcW w:w="615" w:type="dxa"/>
                  <w:tcBorders>
                    <w:tl2br w:val="nil"/>
                    <w:tr2bl w:val="nil"/>
                  </w:tcBorders>
                  <w:noWrap w:val="0"/>
                  <w:vAlign w:val="center"/>
                </w:tcPr>
                <w:p w14:paraId="28E4329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val="0"/>
                      <w:color w:val="FF0000"/>
                      <w:kern w:val="2"/>
                      <w:sz w:val="21"/>
                      <w:szCs w:val="21"/>
                    </w:rPr>
                  </w:pPr>
                  <w:r>
                    <w:rPr>
                      <w:rFonts w:hint="default" w:ascii="Times New Roman" w:hAnsi="Times New Roman" w:eastAsia="宋体" w:cs="Times New Roman"/>
                      <w:i w:val="0"/>
                      <w:iCs w:val="0"/>
                      <w:color w:val="FF0000"/>
                      <w:kern w:val="0"/>
                      <w:sz w:val="21"/>
                      <w:szCs w:val="21"/>
                      <w:u w:val="none"/>
                      <w:lang w:val="en-US" w:eastAsia="zh-CN" w:bidi="ar"/>
                    </w:rPr>
                    <w:t>NH</w:t>
                  </w:r>
                  <w:r>
                    <w:rPr>
                      <w:rFonts w:hint="default" w:ascii="Times New Roman" w:hAnsi="Times New Roman" w:eastAsia="宋体" w:cs="Times New Roman"/>
                      <w:i w:val="0"/>
                      <w:iCs w:val="0"/>
                      <w:color w:val="FF0000"/>
                      <w:kern w:val="0"/>
                      <w:sz w:val="21"/>
                      <w:szCs w:val="21"/>
                      <w:u w:val="none"/>
                      <w:vertAlign w:val="subscript"/>
                      <w:lang w:val="en-US" w:eastAsia="zh-CN" w:bidi="ar"/>
                    </w:rPr>
                    <w:t>3</w:t>
                  </w:r>
                  <w:r>
                    <w:rPr>
                      <w:rFonts w:hint="default" w:ascii="Times New Roman" w:hAnsi="Times New Roman" w:eastAsia="宋体" w:cs="Times New Roman"/>
                      <w:i w:val="0"/>
                      <w:iCs w:val="0"/>
                      <w:color w:val="FF0000"/>
                      <w:kern w:val="0"/>
                      <w:sz w:val="21"/>
                      <w:szCs w:val="21"/>
                      <w:u w:val="none"/>
                      <w:lang w:val="en-US" w:eastAsia="zh-CN" w:bidi="ar"/>
                    </w:rPr>
                    <w:t>-N</w:t>
                  </w:r>
                </w:p>
              </w:tc>
            </w:tr>
            <w:tr w14:paraId="4DA442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trHeight w:val="307" w:hRule="atLeast"/>
                <w:jc w:val="center"/>
              </w:trPr>
              <w:tc>
                <w:tcPr>
                  <w:tcW w:w="2388" w:type="dxa"/>
                  <w:vMerge w:val="restart"/>
                  <w:tcBorders>
                    <w:tl2br w:val="nil"/>
                    <w:tr2bl w:val="nil"/>
                  </w:tcBorders>
                  <w:noWrap w:val="0"/>
                  <w:vAlign w:val="center"/>
                </w:tcPr>
                <w:p w14:paraId="6BEDD2F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cs="Times New Roman"/>
                      <w:i w:val="0"/>
                      <w:iCs w:val="0"/>
                      <w:color w:val="FF0000"/>
                      <w:kern w:val="0"/>
                      <w:sz w:val="21"/>
                      <w:szCs w:val="21"/>
                      <w:u w:val="none"/>
                      <w:lang w:val="en-US" w:eastAsia="zh-CN" w:bidi="ar"/>
                    </w:rPr>
                    <w:t>厂区综合废水排放量（</w:t>
                  </w:r>
                  <w:r>
                    <w:rPr>
                      <w:rFonts w:hint="eastAsia" w:cs="Times New Roman"/>
                      <w:i w:val="0"/>
                      <w:iCs w:val="0"/>
                      <w:color w:val="FF0000"/>
                      <w:kern w:val="0"/>
                      <w:sz w:val="21"/>
                      <w:szCs w:val="21"/>
                      <w:u w:val="none"/>
                      <w:lang w:val="en-US" w:eastAsia="zh-CN" w:bidi="ar"/>
                    </w:rPr>
                    <w:t>230.4</w:t>
                  </w:r>
                  <w:r>
                    <w:rPr>
                      <w:rFonts w:hint="default" w:ascii="Times New Roman" w:hAnsi="Times New Roman" w:eastAsia="宋体" w:cs="Times New Roman"/>
                      <w:i w:val="0"/>
                      <w:iCs w:val="0"/>
                      <w:color w:val="FF0000"/>
                      <w:kern w:val="0"/>
                      <w:sz w:val="21"/>
                      <w:szCs w:val="21"/>
                      <w:u w:val="none"/>
                      <w:lang w:val="en-US" w:eastAsia="zh-CN" w:bidi="ar"/>
                    </w:rPr>
                    <w:t>m</w:t>
                  </w:r>
                  <w:r>
                    <w:rPr>
                      <w:rFonts w:hint="default" w:ascii="Times New Roman" w:hAnsi="Times New Roman" w:eastAsia="宋体" w:cs="Times New Roman"/>
                      <w:i w:val="0"/>
                      <w:iCs w:val="0"/>
                      <w:color w:val="FF0000"/>
                      <w:kern w:val="0"/>
                      <w:sz w:val="21"/>
                      <w:szCs w:val="21"/>
                      <w:u w:val="none"/>
                      <w:vertAlign w:val="superscript"/>
                      <w:lang w:val="en-US" w:eastAsia="zh-CN" w:bidi="ar"/>
                    </w:rPr>
                    <w:t>3</w:t>
                  </w:r>
                  <w:r>
                    <w:rPr>
                      <w:rFonts w:hint="default" w:ascii="Times New Roman" w:hAnsi="Times New Roman" w:eastAsia="宋体" w:cs="Times New Roman"/>
                      <w:i w:val="0"/>
                      <w:iCs w:val="0"/>
                      <w:color w:val="FF0000"/>
                      <w:kern w:val="0"/>
                      <w:sz w:val="21"/>
                      <w:szCs w:val="21"/>
                      <w:u w:val="none"/>
                      <w:lang w:val="en-US" w:eastAsia="zh-CN" w:bidi="ar"/>
                    </w:rPr>
                    <w:t>/a</w:t>
                  </w:r>
                  <w:r>
                    <w:rPr>
                      <w:rFonts w:hint="default" w:ascii="Times New Roman" w:hAnsi="Times New Roman" w:cs="Times New Roman"/>
                      <w:i w:val="0"/>
                      <w:iCs w:val="0"/>
                      <w:color w:val="FF0000"/>
                      <w:kern w:val="0"/>
                      <w:sz w:val="21"/>
                      <w:szCs w:val="21"/>
                      <w:u w:val="none"/>
                      <w:lang w:val="en-US" w:eastAsia="zh-CN" w:bidi="ar"/>
                    </w:rPr>
                    <w:t>）</w:t>
                  </w:r>
                </w:p>
              </w:tc>
              <w:tc>
                <w:tcPr>
                  <w:tcW w:w="1370" w:type="dxa"/>
                  <w:tcBorders>
                    <w:tl2br w:val="nil"/>
                    <w:tr2bl w:val="nil"/>
                  </w:tcBorders>
                  <w:noWrap w:val="0"/>
                  <w:vAlign w:val="center"/>
                </w:tcPr>
                <w:p w14:paraId="5B2BB3E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FF0000"/>
                      <w:kern w:val="0"/>
                      <w:sz w:val="21"/>
                      <w:szCs w:val="21"/>
                      <w:u w:val="none"/>
                      <w:lang w:val="en-US" w:eastAsia="zh-CN" w:bidi="ar"/>
                    </w:rPr>
                  </w:pPr>
                  <w:r>
                    <w:rPr>
                      <w:rFonts w:hint="eastAsia" w:ascii="宋体" w:hAnsi="宋体" w:eastAsia="宋体" w:cs="宋体"/>
                      <w:i w:val="0"/>
                      <w:iCs w:val="0"/>
                      <w:color w:val="FF0000"/>
                      <w:kern w:val="0"/>
                      <w:sz w:val="21"/>
                      <w:szCs w:val="21"/>
                      <w:u w:val="none"/>
                      <w:lang w:val="en-US" w:eastAsia="zh-CN" w:bidi="ar"/>
                    </w:rPr>
                    <w:t>排放浓度</w:t>
                  </w:r>
                  <w:r>
                    <w:rPr>
                      <w:rFonts w:hint="default" w:ascii="Times New Roman" w:hAnsi="Times New Roman" w:eastAsia="宋体" w:cs="Times New Roman"/>
                      <w:i w:val="0"/>
                      <w:iCs w:val="0"/>
                      <w:color w:val="FF0000"/>
                      <w:kern w:val="0"/>
                      <w:sz w:val="21"/>
                      <w:szCs w:val="21"/>
                      <w:u w:val="none"/>
                      <w:lang w:val="en-US" w:eastAsia="zh-CN" w:bidi="ar"/>
                    </w:rPr>
                    <w:t>mg/L</w:t>
                  </w:r>
                </w:p>
              </w:tc>
              <w:tc>
                <w:tcPr>
                  <w:tcW w:w="346" w:type="dxa"/>
                  <w:tcBorders>
                    <w:tl2br w:val="nil"/>
                    <w:tr2bl w:val="nil"/>
                  </w:tcBorders>
                  <w:noWrap w:val="0"/>
                  <w:vAlign w:val="center"/>
                </w:tcPr>
                <w:p w14:paraId="182C8C6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6-9</w:t>
                  </w:r>
                </w:p>
              </w:tc>
              <w:tc>
                <w:tcPr>
                  <w:tcW w:w="600" w:type="dxa"/>
                  <w:tcBorders>
                    <w:tl2br w:val="nil"/>
                    <w:tr2bl w:val="nil"/>
                  </w:tcBorders>
                  <w:noWrap w:val="0"/>
                  <w:vAlign w:val="center"/>
                </w:tcPr>
                <w:p w14:paraId="12632B8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198</w:t>
                  </w:r>
                </w:p>
              </w:tc>
              <w:tc>
                <w:tcPr>
                  <w:tcW w:w="615" w:type="dxa"/>
                  <w:tcBorders>
                    <w:tl2br w:val="nil"/>
                    <w:tr2bl w:val="nil"/>
                  </w:tcBorders>
                  <w:noWrap w:val="0"/>
                  <w:vAlign w:val="center"/>
                </w:tcPr>
                <w:p w14:paraId="2481A26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25</w:t>
                  </w:r>
                </w:p>
              </w:tc>
            </w:tr>
            <w:tr w14:paraId="5AEBA0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trHeight w:val="307" w:hRule="atLeast"/>
                <w:jc w:val="center"/>
              </w:trPr>
              <w:tc>
                <w:tcPr>
                  <w:tcW w:w="2388" w:type="dxa"/>
                  <w:vMerge w:val="continue"/>
                  <w:tcBorders>
                    <w:tl2br w:val="nil"/>
                    <w:tr2bl w:val="nil"/>
                  </w:tcBorders>
                  <w:noWrap w:val="0"/>
                  <w:vAlign w:val="center"/>
                </w:tcPr>
                <w:p w14:paraId="5AF40B7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1370" w:type="dxa"/>
                  <w:tcBorders>
                    <w:tl2br w:val="nil"/>
                    <w:tr2bl w:val="nil"/>
                  </w:tcBorders>
                  <w:noWrap w:val="0"/>
                  <w:vAlign w:val="center"/>
                </w:tcPr>
                <w:p w14:paraId="217725E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FF0000"/>
                      <w:kern w:val="0"/>
                      <w:sz w:val="21"/>
                      <w:szCs w:val="21"/>
                      <w:u w:val="none"/>
                      <w:lang w:val="en-US" w:eastAsia="zh-CN" w:bidi="ar"/>
                    </w:rPr>
                  </w:pPr>
                  <w:r>
                    <w:rPr>
                      <w:rFonts w:hint="eastAsia" w:ascii="宋体" w:hAnsi="宋体" w:eastAsia="宋体" w:cs="宋体"/>
                      <w:i w:val="0"/>
                      <w:iCs w:val="0"/>
                      <w:color w:val="FF0000"/>
                      <w:kern w:val="0"/>
                      <w:sz w:val="21"/>
                      <w:szCs w:val="21"/>
                      <w:u w:val="none"/>
                      <w:lang w:val="en-US" w:eastAsia="zh-CN" w:bidi="ar"/>
                    </w:rPr>
                    <w:t>排放量</w:t>
                  </w:r>
                  <w:r>
                    <w:rPr>
                      <w:rFonts w:hint="default" w:ascii="Times New Roman" w:hAnsi="Times New Roman" w:eastAsia="宋体" w:cs="Times New Roman"/>
                      <w:i w:val="0"/>
                      <w:iCs w:val="0"/>
                      <w:color w:val="FF0000"/>
                      <w:kern w:val="0"/>
                      <w:sz w:val="21"/>
                      <w:szCs w:val="21"/>
                      <w:u w:val="none"/>
                      <w:lang w:val="en-US" w:eastAsia="zh-CN" w:bidi="ar"/>
                    </w:rPr>
                    <w:t>t/a</w:t>
                  </w:r>
                </w:p>
              </w:tc>
              <w:tc>
                <w:tcPr>
                  <w:tcW w:w="346" w:type="dxa"/>
                  <w:tcBorders>
                    <w:tl2br w:val="nil"/>
                    <w:tr2bl w:val="nil"/>
                  </w:tcBorders>
                  <w:noWrap w:val="0"/>
                  <w:vAlign w:val="center"/>
                </w:tcPr>
                <w:p w14:paraId="22CE919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w:t>
                  </w:r>
                </w:p>
              </w:tc>
              <w:tc>
                <w:tcPr>
                  <w:tcW w:w="600" w:type="dxa"/>
                  <w:tcBorders>
                    <w:tl2br w:val="nil"/>
                    <w:tr2bl w:val="nil"/>
                  </w:tcBorders>
                  <w:noWrap w:val="0"/>
                  <w:vAlign w:val="center"/>
                </w:tcPr>
                <w:p w14:paraId="41831DD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0.0456</w:t>
                  </w:r>
                </w:p>
              </w:tc>
              <w:tc>
                <w:tcPr>
                  <w:tcW w:w="615" w:type="dxa"/>
                  <w:tcBorders>
                    <w:tl2br w:val="nil"/>
                    <w:tr2bl w:val="nil"/>
                  </w:tcBorders>
                  <w:noWrap w:val="0"/>
                  <w:vAlign w:val="center"/>
                </w:tcPr>
                <w:p w14:paraId="51EF416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0.0058</w:t>
                  </w:r>
                </w:p>
              </w:tc>
            </w:tr>
            <w:tr w14:paraId="3EC2BE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trHeight w:val="307" w:hRule="atLeast"/>
                <w:jc w:val="center"/>
              </w:trPr>
              <w:tc>
                <w:tcPr>
                  <w:tcW w:w="2388" w:type="dxa"/>
                  <w:vMerge w:val="restart"/>
                  <w:tcBorders>
                    <w:tl2br w:val="nil"/>
                    <w:tr2bl w:val="nil"/>
                  </w:tcBorders>
                  <w:noWrap w:val="0"/>
                  <w:vAlign w:val="center"/>
                </w:tcPr>
                <w:p w14:paraId="4769AAF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FF0000"/>
                      <w:kern w:val="2"/>
                      <w:sz w:val="21"/>
                      <w:szCs w:val="21"/>
                    </w:rPr>
                  </w:pPr>
                  <w:r>
                    <w:rPr>
                      <w:rFonts w:hint="default" w:ascii="Times New Roman" w:hAnsi="Times New Roman" w:eastAsia="宋体" w:cs="Times New Roman"/>
                      <w:i w:val="0"/>
                      <w:iCs w:val="0"/>
                      <w:color w:val="FF0000"/>
                      <w:kern w:val="0"/>
                      <w:sz w:val="21"/>
                      <w:szCs w:val="21"/>
                      <w:u w:val="none"/>
                      <w:lang w:val="en-US" w:eastAsia="zh-CN" w:bidi="ar"/>
                    </w:rPr>
                    <w:t>污水处理厂尾水（</w:t>
                  </w:r>
                  <w:r>
                    <w:rPr>
                      <w:rFonts w:hint="eastAsia" w:cs="Times New Roman"/>
                      <w:i w:val="0"/>
                      <w:iCs w:val="0"/>
                      <w:color w:val="FF0000"/>
                      <w:kern w:val="0"/>
                      <w:sz w:val="21"/>
                      <w:szCs w:val="21"/>
                      <w:u w:val="none"/>
                      <w:lang w:val="en-US" w:eastAsia="zh-CN" w:bidi="ar"/>
                    </w:rPr>
                    <w:t>230.4</w:t>
                  </w:r>
                  <w:r>
                    <w:rPr>
                      <w:rFonts w:hint="default" w:ascii="Times New Roman" w:hAnsi="Times New Roman" w:eastAsia="宋体" w:cs="Times New Roman"/>
                      <w:i w:val="0"/>
                      <w:iCs w:val="0"/>
                      <w:color w:val="FF0000"/>
                      <w:kern w:val="0"/>
                      <w:sz w:val="21"/>
                      <w:szCs w:val="21"/>
                      <w:u w:val="none"/>
                      <w:lang w:val="en-US" w:eastAsia="zh-CN" w:bidi="ar"/>
                    </w:rPr>
                    <w:t>m</w:t>
                  </w:r>
                  <w:r>
                    <w:rPr>
                      <w:rFonts w:hint="default" w:ascii="Times New Roman" w:hAnsi="Times New Roman" w:eastAsia="宋体" w:cs="Times New Roman"/>
                      <w:i w:val="0"/>
                      <w:iCs w:val="0"/>
                      <w:color w:val="FF0000"/>
                      <w:kern w:val="0"/>
                      <w:sz w:val="21"/>
                      <w:szCs w:val="21"/>
                      <w:u w:val="none"/>
                      <w:vertAlign w:val="superscript"/>
                      <w:lang w:val="en-US" w:eastAsia="zh-CN" w:bidi="ar"/>
                    </w:rPr>
                    <w:t>3</w:t>
                  </w:r>
                  <w:r>
                    <w:rPr>
                      <w:rFonts w:hint="default" w:ascii="Times New Roman" w:hAnsi="Times New Roman" w:eastAsia="宋体" w:cs="Times New Roman"/>
                      <w:i w:val="0"/>
                      <w:iCs w:val="0"/>
                      <w:color w:val="FF0000"/>
                      <w:kern w:val="0"/>
                      <w:sz w:val="21"/>
                      <w:szCs w:val="21"/>
                      <w:u w:val="none"/>
                      <w:lang w:val="en-US" w:eastAsia="zh-CN" w:bidi="ar"/>
                    </w:rPr>
                    <w:t>/a）</w:t>
                  </w:r>
                </w:p>
              </w:tc>
              <w:tc>
                <w:tcPr>
                  <w:tcW w:w="1370" w:type="dxa"/>
                  <w:tcBorders>
                    <w:tl2br w:val="nil"/>
                    <w:tr2bl w:val="nil"/>
                  </w:tcBorders>
                  <w:noWrap w:val="0"/>
                  <w:vAlign w:val="center"/>
                </w:tcPr>
                <w:p w14:paraId="5C094EB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FF0000"/>
                      <w:kern w:val="2"/>
                      <w:sz w:val="21"/>
                      <w:szCs w:val="21"/>
                    </w:rPr>
                  </w:pPr>
                  <w:r>
                    <w:rPr>
                      <w:rFonts w:hint="eastAsia" w:ascii="宋体" w:hAnsi="宋体" w:eastAsia="宋体" w:cs="宋体"/>
                      <w:i w:val="0"/>
                      <w:iCs w:val="0"/>
                      <w:color w:val="FF0000"/>
                      <w:kern w:val="0"/>
                      <w:sz w:val="21"/>
                      <w:szCs w:val="21"/>
                      <w:u w:val="none"/>
                      <w:lang w:val="en-US" w:eastAsia="zh-CN" w:bidi="ar"/>
                    </w:rPr>
                    <w:t>排放浓度</w:t>
                  </w:r>
                  <w:r>
                    <w:rPr>
                      <w:rFonts w:hint="default" w:ascii="Times New Roman" w:hAnsi="Times New Roman" w:eastAsia="宋体" w:cs="Times New Roman"/>
                      <w:i w:val="0"/>
                      <w:iCs w:val="0"/>
                      <w:color w:val="FF0000"/>
                      <w:kern w:val="0"/>
                      <w:sz w:val="21"/>
                      <w:szCs w:val="21"/>
                      <w:u w:val="none"/>
                      <w:lang w:val="en-US" w:eastAsia="zh-CN" w:bidi="ar"/>
                    </w:rPr>
                    <w:t>mg/L</w:t>
                  </w:r>
                </w:p>
              </w:tc>
              <w:tc>
                <w:tcPr>
                  <w:tcW w:w="346" w:type="dxa"/>
                  <w:tcBorders>
                    <w:tl2br w:val="nil"/>
                    <w:tr2bl w:val="nil"/>
                  </w:tcBorders>
                  <w:noWrap w:val="0"/>
                  <w:vAlign w:val="center"/>
                </w:tcPr>
                <w:p w14:paraId="1AD901B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6~9</w:t>
                  </w:r>
                </w:p>
              </w:tc>
              <w:tc>
                <w:tcPr>
                  <w:tcW w:w="600" w:type="dxa"/>
                  <w:tcBorders>
                    <w:tl2br w:val="nil"/>
                    <w:tr2bl w:val="nil"/>
                  </w:tcBorders>
                  <w:noWrap w:val="0"/>
                  <w:vAlign w:val="center"/>
                </w:tcPr>
                <w:p w14:paraId="38A56DE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color w:val="FF0000"/>
                      <w:sz w:val="21"/>
                      <w:szCs w:val="21"/>
                      <w:lang w:val="en-US"/>
                    </w:rPr>
                  </w:pPr>
                  <w:r>
                    <w:rPr>
                      <w:rFonts w:hint="eastAsia" w:cs="Times New Roman"/>
                      <w:i w:val="0"/>
                      <w:iCs w:val="0"/>
                      <w:color w:val="FF0000"/>
                      <w:kern w:val="0"/>
                      <w:sz w:val="21"/>
                      <w:szCs w:val="21"/>
                      <w:u w:val="none"/>
                      <w:lang w:val="en-US" w:eastAsia="zh-CN" w:bidi="ar"/>
                    </w:rPr>
                    <w:t>50</w:t>
                  </w:r>
                </w:p>
              </w:tc>
              <w:tc>
                <w:tcPr>
                  <w:tcW w:w="615" w:type="dxa"/>
                  <w:tcBorders>
                    <w:tl2br w:val="nil"/>
                    <w:tr2bl w:val="nil"/>
                  </w:tcBorders>
                  <w:noWrap w:val="0"/>
                  <w:vAlign w:val="center"/>
                </w:tcPr>
                <w:p w14:paraId="783ED91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color w:val="FF0000"/>
                      <w:sz w:val="21"/>
                      <w:szCs w:val="21"/>
                    </w:rPr>
                  </w:pPr>
                  <w:r>
                    <w:rPr>
                      <w:rFonts w:hint="eastAsia" w:cs="Times New Roman"/>
                      <w:i w:val="0"/>
                      <w:iCs w:val="0"/>
                      <w:color w:val="FF0000"/>
                      <w:kern w:val="0"/>
                      <w:sz w:val="21"/>
                      <w:szCs w:val="21"/>
                      <w:u w:val="none"/>
                      <w:lang w:val="en-US" w:eastAsia="zh-CN" w:bidi="ar"/>
                    </w:rPr>
                    <w:t>5</w:t>
                  </w:r>
                </w:p>
              </w:tc>
            </w:tr>
            <w:tr w14:paraId="74EA7F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trHeight w:val="356" w:hRule="atLeast"/>
                <w:jc w:val="center"/>
              </w:trPr>
              <w:tc>
                <w:tcPr>
                  <w:tcW w:w="2388" w:type="dxa"/>
                  <w:vMerge w:val="continue"/>
                  <w:tcBorders>
                    <w:tl2br w:val="nil"/>
                    <w:tr2bl w:val="nil"/>
                  </w:tcBorders>
                  <w:noWrap w:val="0"/>
                  <w:vAlign w:val="center"/>
                </w:tcPr>
                <w:p w14:paraId="45EBB8C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FF0000"/>
                      <w:sz w:val="21"/>
                      <w:szCs w:val="21"/>
                    </w:rPr>
                  </w:pPr>
                </w:p>
              </w:tc>
              <w:tc>
                <w:tcPr>
                  <w:tcW w:w="1370" w:type="dxa"/>
                  <w:tcBorders>
                    <w:tl2br w:val="nil"/>
                    <w:tr2bl w:val="nil"/>
                  </w:tcBorders>
                  <w:noWrap w:val="0"/>
                  <w:vAlign w:val="center"/>
                </w:tcPr>
                <w:p w14:paraId="579E10F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FF0000"/>
                      <w:kern w:val="2"/>
                      <w:sz w:val="21"/>
                      <w:szCs w:val="21"/>
                    </w:rPr>
                  </w:pPr>
                  <w:r>
                    <w:rPr>
                      <w:rFonts w:hint="eastAsia" w:ascii="宋体" w:hAnsi="宋体" w:eastAsia="宋体" w:cs="宋体"/>
                      <w:i w:val="0"/>
                      <w:iCs w:val="0"/>
                      <w:color w:val="FF0000"/>
                      <w:kern w:val="0"/>
                      <w:sz w:val="21"/>
                      <w:szCs w:val="21"/>
                      <w:u w:val="none"/>
                      <w:lang w:val="en-US" w:eastAsia="zh-CN" w:bidi="ar"/>
                    </w:rPr>
                    <w:t>排放量</w:t>
                  </w:r>
                  <w:r>
                    <w:rPr>
                      <w:rFonts w:hint="default" w:ascii="Times New Roman" w:hAnsi="Times New Roman" w:eastAsia="宋体" w:cs="Times New Roman"/>
                      <w:i w:val="0"/>
                      <w:iCs w:val="0"/>
                      <w:color w:val="FF0000"/>
                      <w:kern w:val="0"/>
                      <w:sz w:val="21"/>
                      <w:szCs w:val="21"/>
                      <w:u w:val="none"/>
                      <w:lang w:val="en-US" w:eastAsia="zh-CN" w:bidi="ar"/>
                    </w:rPr>
                    <w:t>t/a</w:t>
                  </w:r>
                </w:p>
              </w:tc>
              <w:tc>
                <w:tcPr>
                  <w:tcW w:w="346" w:type="dxa"/>
                  <w:tcBorders>
                    <w:tl2br w:val="nil"/>
                    <w:tr2bl w:val="nil"/>
                  </w:tcBorders>
                  <w:noWrap w:val="0"/>
                  <w:vAlign w:val="bottom"/>
                </w:tcPr>
                <w:p w14:paraId="27816DD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bottom"/>
                    <w:rPr>
                      <w:rFonts w:hint="eastAsia"/>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w:t>
                  </w:r>
                </w:p>
              </w:tc>
              <w:tc>
                <w:tcPr>
                  <w:tcW w:w="600" w:type="dxa"/>
                  <w:tcBorders>
                    <w:tl2br w:val="nil"/>
                    <w:tr2bl w:val="nil"/>
                  </w:tcBorders>
                  <w:noWrap w:val="0"/>
                  <w:vAlign w:val="center"/>
                </w:tcPr>
                <w:p w14:paraId="237B681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0.01</w:t>
                  </w:r>
                  <w:r>
                    <w:rPr>
                      <w:rFonts w:hint="eastAsia" w:cs="Times New Roman"/>
                      <w:i w:val="0"/>
                      <w:iCs w:val="0"/>
                      <w:color w:val="FF0000"/>
                      <w:kern w:val="0"/>
                      <w:sz w:val="21"/>
                      <w:szCs w:val="21"/>
                      <w:u w:val="none"/>
                      <w:lang w:val="en-US" w:eastAsia="zh-CN" w:bidi="ar"/>
                    </w:rPr>
                    <w:t>2</w:t>
                  </w:r>
                </w:p>
              </w:tc>
              <w:tc>
                <w:tcPr>
                  <w:tcW w:w="615" w:type="dxa"/>
                  <w:tcBorders>
                    <w:tl2br w:val="nil"/>
                    <w:tr2bl w:val="nil"/>
                  </w:tcBorders>
                  <w:noWrap w:val="0"/>
                  <w:vAlign w:val="center"/>
                </w:tcPr>
                <w:p w14:paraId="7DC2759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0.001</w:t>
                  </w:r>
                </w:p>
              </w:tc>
            </w:tr>
          </w:tbl>
          <w:p w14:paraId="2395A373">
            <w:pPr>
              <w:ind w:firstLine="480"/>
              <w:jc w:val="left"/>
              <w:rPr>
                <w:rFonts w:hint="default" w:ascii="Times New Roman" w:hAnsi="Times New Roman" w:eastAsia="宋体" w:cs="Times New Roman"/>
                <w:lang w:val="en-US" w:eastAsia="zh-CN"/>
              </w:rPr>
            </w:pPr>
            <w:r>
              <w:rPr>
                <w:rFonts w:hint="eastAsia" w:cs="Times New Roman"/>
                <w:lang w:val="en-US" w:eastAsia="zh-CN"/>
              </w:rPr>
              <w:t>由上表可知项目无需申请废水总量。</w:t>
            </w:r>
          </w:p>
          <w:p w14:paraId="1C8566B3">
            <w:pPr>
              <w:ind w:firstLine="480"/>
              <w:jc w:val="left"/>
              <w:rPr>
                <w:rFonts w:hint="eastAsia" w:cs="Times New Roman"/>
                <w:lang w:val="en-US" w:eastAsia="zh-CN"/>
              </w:rPr>
            </w:pPr>
            <w:r>
              <w:rPr>
                <w:rFonts w:hint="eastAsia" w:ascii="Times New Roman" w:hAnsi="Times New Roman" w:eastAsia="宋体" w:cs="Times New Roman"/>
                <w:lang w:val="en-US" w:eastAsia="zh-CN"/>
              </w:rPr>
              <w:t>根据</w:t>
            </w:r>
            <w:r>
              <w:rPr>
                <w:rFonts w:hint="default" w:ascii="Times New Roman" w:hAnsi="Times New Roman" w:eastAsia="宋体" w:cs="Times New Roman"/>
                <w:lang w:val="en-US" w:eastAsia="zh-CN"/>
              </w:rPr>
              <w:t>关于印发《生态环境部门进一步促进民营经济发展的若干措施》的通知 环综合〔2024〕62号</w:t>
            </w:r>
            <w:r>
              <w:rPr>
                <w:rFonts w:hint="eastAsia" w:ascii="Times New Roman" w:hAnsi="Times New Roman" w:eastAsia="宋体" w:cs="Times New Roman"/>
                <w:lang w:val="en-US" w:eastAsia="zh-CN"/>
              </w:rPr>
              <w:t>，</w:t>
            </w:r>
            <w:r>
              <w:rPr>
                <w:rFonts w:hint="default" w:ascii="Times New Roman" w:hAnsi="Times New Roman" w:eastAsia="宋体" w:cs="Times New Roman"/>
                <w:lang w:val="en-US" w:eastAsia="zh-CN"/>
              </w:rPr>
              <w:t>在严格实施各项污染防治措施基础上，对氮氧化物、化学需氧量、挥发性有机污染物的单项新增年排放量小于0.1吨，氨氮小于0.01吨的建设项目，免予提交总量指标来源说明，由地方生态环境部门统筹总量指标替代来源，并纳入台账管理</w:t>
            </w:r>
            <w:r>
              <w:rPr>
                <w:rFonts w:hint="eastAsia" w:cs="Times New Roman"/>
                <w:lang w:val="en-US" w:eastAsia="zh-CN"/>
              </w:rPr>
              <w:t>。</w:t>
            </w:r>
          </w:p>
          <w:p w14:paraId="4B85C0FB">
            <w:pPr>
              <w:ind w:left="0" w:leftChars="0" w:firstLine="480" w:firstLineChars="200"/>
              <w:jc w:val="left"/>
              <w:rPr>
                <w:rFonts w:hint="eastAsia"/>
                <w:highlight w:val="none"/>
              </w:rPr>
            </w:pPr>
            <w:r>
              <w:rPr>
                <w:rFonts w:hint="eastAsia" w:cs="Times New Roman"/>
                <w:lang w:val="en-US" w:eastAsia="zh-CN"/>
              </w:rPr>
              <w:t>综上，项目无需申请总量。</w:t>
            </w:r>
          </w:p>
        </w:tc>
      </w:tr>
    </w:tbl>
    <w:p w14:paraId="5A2CA21E">
      <w:pPr>
        <w:pStyle w:val="38"/>
        <w:jc w:val="center"/>
        <w:outlineLvl w:val="0"/>
        <w:rPr>
          <w:rFonts w:ascii="黑体" w:hAnsi="黑体" w:eastAsia="黑体"/>
          <w:snapToGrid w:val="0"/>
          <w:sz w:val="36"/>
          <w:szCs w:val="36"/>
        </w:rPr>
        <w:sectPr>
          <w:pgSz w:w="11907" w:h="16840"/>
          <w:pgMar w:top="1531" w:right="1531" w:bottom="1531" w:left="1531" w:header="851" w:footer="851" w:gutter="0"/>
          <w:pgBorders>
            <w:top w:val="none" w:sz="0" w:space="0"/>
            <w:left w:val="none" w:sz="0" w:space="0"/>
            <w:bottom w:val="none" w:sz="0" w:space="0"/>
            <w:right w:val="none" w:sz="0" w:space="0"/>
          </w:pgBorders>
          <w:cols w:space="720" w:num="1"/>
          <w:docGrid w:linePitch="312" w:charSpace="0"/>
        </w:sectPr>
      </w:pPr>
    </w:p>
    <w:p w14:paraId="217E871E">
      <w:pPr>
        <w:pStyle w:val="38"/>
        <w:ind w:firstLine="600"/>
        <w:jc w:val="center"/>
        <w:outlineLvl w:val="0"/>
        <w:rPr>
          <w:rFonts w:ascii="黑体" w:hAnsi="黑体" w:eastAsia="黑体"/>
          <w:snapToGrid w:val="0"/>
          <w:sz w:val="30"/>
          <w:szCs w:val="30"/>
        </w:rPr>
      </w:pPr>
      <w:bookmarkStart w:id="11" w:name="_Toc12369"/>
      <w:r>
        <w:rPr>
          <w:rFonts w:hint="eastAsia" w:ascii="黑体" w:hAnsi="黑体" w:eastAsia="黑体"/>
          <w:snapToGrid w:val="0"/>
          <w:sz w:val="30"/>
          <w:szCs w:val="30"/>
        </w:rPr>
        <w:t>四、主要环境影响和保护措施</w:t>
      </w:r>
      <w:bookmarkEnd w:id="11"/>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5"/>
        <w:gridCol w:w="8506"/>
      </w:tblGrid>
      <w:tr w14:paraId="2F988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9" w:hRule="atLeast"/>
        </w:trPr>
        <w:tc>
          <w:tcPr>
            <w:tcW w:w="555" w:type="dxa"/>
            <w:vAlign w:val="center"/>
          </w:tcPr>
          <w:p w14:paraId="37E0392C">
            <w:pPr>
              <w:pStyle w:val="38"/>
              <w:spacing w:before="0" w:beforeAutospacing="0" w:after="0" w:afterAutospacing="0"/>
              <w:ind w:firstLine="0" w:firstLineChars="0"/>
              <w:jc w:val="center"/>
              <w:rPr>
                <w:rFonts w:ascii="Times New Roman" w:hAnsi="Times New Roman"/>
                <w:kern w:val="2"/>
                <w:szCs w:val="24"/>
              </w:rPr>
            </w:pPr>
            <w:r>
              <w:rPr>
                <w:rFonts w:ascii="Times New Roman" w:hAnsi="Times New Roman"/>
                <w:kern w:val="2"/>
                <w:szCs w:val="24"/>
              </w:rPr>
              <w:t>施</w:t>
            </w:r>
          </w:p>
          <w:p w14:paraId="60AE83F9">
            <w:pPr>
              <w:pStyle w:val="38"/>
              <w:spacing w:before="0" w:beforeAutospacing="0" w:after="0" w:afterAutospacing="0"/>
              <w:ind w:firstLine="0" w:firstLineChars="0"/>
              <w:jc w:val="center"/>
              <w:rPr>
                <w:rFonts w:ascii="Times New Roman" w:hAnsi="Times New Roman"/>
                <w:kern w:val="2"/>
                <w:szCs w:val="24"/>
              </w:rPr>
            </w:pPr>
            <w:r>
              <w:rPr>
                <w:rFonts w:ascii="Times New Roman" w:hAnsi="Times New Roman"/>
                <w:kern w:val="2"/>
                <w:szCs w:val="24"/>
              </w:rPr>
              <w:t>工</w:t>
            </w:r>
          </w:p>
          <w:p w14:paraId="71DE52B8">
            <w:pPr>
              <w:pStyle w:val="38"/>
              <w:spacing w:before="0" w:beforeAutospacing="0" w:after="0" w:afterAutospacing="0"/>
              <w:ind w:firstLine="0" w:firstLineChars="0"/>
              <w:jc w:val="center"/>
              <w:rPr>
                <w:rFonts w:ascii="Times New Roman" w:hAnsi="Times New Roman"/>
                <w:kern w:val="2"/>
                <w:szCs w:val="24"/>
              </w:rPr>
            </w:pPr>
            <w:r>
              <w:rPr>
                <w:rFonts w:ascii="Times New Roman" w:hAnsi="Times New Roman"/>
                <w:kern w:val="2"/>
                <w:szCs w:val="24"/>
              </w:rPr>
              <w:t>期</w:t>
            </w:r>
          </w:p>
          <w:p w14:paraId="7E1531BB">
            <w:pPr>
              <w:pStyle w:val="38"/>
              <w:spacing w:before="0" w:beforeAutospacing="0" w:after="0" w:afterAutospacing="0"/>
              <w:ind w:firstLine="0" w:firstLineChars="0"/>
              <w:jc w:val="center"/>
              <w:rPr>
                <w:rFonts w:ascii="Times New Roman" w:hAnsi="Times New Roman"/>
                <w:kern w:val="2"/>
                <w:szCs w:val="24"/>
              </w:rPr>
            </w:pPr>
            <w:r>
              <w:rPr>
                <w:rFonts w:ascii="Times New Roman" w:hAnsi="Times New Roman"/>
                <w:kern w:val="2"/>
                <w:szCs w:val="24"/>
              </w:rPr>
              <w:t>环</w:t>
            </w:r>
          </w:p>
          <w:p w14:paraId="7DBFCD30">
            <w:pPr>
              <w:pStyle w:val="38"/>
              <w:spacing w:before="0" w:beforeAutospacing="0" w:after="0" w:afterAutospacing="0"/>
              <w:ind w:firstLine="0" w:firstLineChars="0"/>
              <w:jc w:val="center"/>
              <w:rPr>
                <w:rFonts w:ascii="Times New Roman" w:hAnsi="Times New Roman"/>
                <w:kern w:val="2"/>
                <w:szCs w:val="24"/>
              </w:rPr>
            </w:pPr>
            <w:r>
              <w:rPr>
                <w:rFonts w:ascii="Times New Roman" w:hAnsi="Times New Roman"/>
                <w:kern w:val="2"/>
                <w:szCs w:val="24"/>
              </w:rPr>
              <w:t>境</w:t>
            </w:r>
          </w:p>
          <w:p w14:paraId="77DD0890">
            <w:pPr>
              <w:pStyle w:val="38"/>
              <w:spacing w:before="0" w:beforeAutospacing="0" w:after="0" w:afterAutospacing="0"/>
              <w:ind w:firstLine="0" w:firstLineChars="0"/>
              <w:jc w:val="center"/>
              <w:rPr>
                <w:rFonts w:ascii="Times New Roman" w:hAnsi="Times New Roman"/>
                <w:kern w:val="2"/>
                <w:szCs w:val="24"/>
              </w:rPr>
            </w:pPr>
            <w:r>
              <w:rPr>
                <w:rFonts w:ascii="Times New Roman" w:hAnsi="Times New Roman"/>
                <w:kern w:val="2"/>
                <w:szCs w:val="24"/>
              </w:rPr>
              <w:t>保</w:t>
            </w:r>
          </w:p>
          <w:p w14:paraId="31357E31">
            <w:pPr>
              <w:pStyle w:val="38"/>
              <w:spacing w:before="0" w:beforeAutospacing="0" w:after="0" w:afterAutospacing="0"/>
              <w:ind w:firstLine="0" w:firstLineChars="0"/>
              <w:jc w:val="center"/>
              <w:rPr>
                <w:rFonts w:ascii="Times New Roman" w:hAnsi="Times New Roman"/>
                <w:kern w:val="2"/>
                <w:szCs w:val="24"/>
              </w:rPr>
            </w:pPr>
            <w:r>
              <w:rPr>
                <w:rFonts w:ascii="Times New Roman" w:hAnsi="Times New Roman"/>
                <w:kern w:val="2"/>
                <w:szCs w:val="24"/>
              </w:rPr>
              <w:t>护</w:t>
            </w:r>
          </w:p>
          <w:p w14:paraId="40ABC71A">
            <w:pPr>
              <w:pStyle w:val="38"/>
              <w:spacing w:before="0" w:beforeAutospacing="0" w:after="0" w:afterAutospacing="0"/>
              <w:ind w:firstLine="0" w:firstLineChars="0"/>
              <w:jc w:val="center"/>
              <w:rPr>
                <w:rFonts w:ascii="Times New Roman" w:hAnsi="Times New Roman"/>
                <w:kern w:val="2"/>
                <w:szCs w:val="24"/>
              </w:rPr>
            </w:pPr>
            <w:r>
              <w:rPr>
                <w:rFonts w:ascii="Times New Roman" w:hAnsi="Times New Roman"/>
                <w:kern w:val="2"/>
                <w:szCs w:val="24"/>
              </w:rPr>
              <w:t>措</w:t>
            </w:r>
          </w:p>
          <w:p w14:paraId="739848E7">
            <w:pPr>
              <w:pStyle w:val="38"/>
              <w:spacing w:before="0" w:beforeAutospacing="0" w:after="0" w:afterAutospacing="0"/>
              <w:ind w:firstLine="0" w:firstLineChars="0"/>
              <w:jc w:val="center"/>
            </w:pPr>
            <w:r>
              <w:rPr>
                <w:rFonts w:ascii="Times New Roman" w:hAnsi="Times New Roman"/>
                <w:kern w:val="2"/>
                <w:szCs w:val="24"/>
              </w:rPr>
              <w:t>施</w:t>
            </w:r>
          </w:p>
        </w:tc>
        <w:tc>
          <w:tcPr>
            <w:tcW w:w="8506" w:type="dxa"/>
          </w:tcPr>
          <w:p w14:paraId="19281A6A">
            <w:pPr>
              <w:bidi w:val="0"/>
              <w:rPr>
                <w:rFonts w:hint="eastAsia"/>
                <w:sz w:val="24"/>
                <w:szCs w:val="32"/>
                <w:lang w:val="en-US" w:eastAsia="zh-CN"/>
              </w:rPr>
            </w:pPr>
            <w:r>
              <w:rPr>
                <w:rFonts w:hint="eastAsia"/>
                <w:sz w:val="24"/>
                <w:szCs w:val="32"/>
                <w:lang w:val="en-US" w:eastAsia="zh-CN"/>
              </w:rPr>
              <w:t>本项目施工期主要环境保护措施见表</w:t>
            </w:r>
            <w:r>
              <w:rPr>
                <w:rFonts w:hint="default"/>
                <w:sz w:val="24"/>
                <w:szCs w:val="32"/>
                <w:lang w:val="en-US" w:eastAsia="zh-CN"/>
              </w:rPr>
              <w:t>4-1</w:t>
            </w:r>
            <w:r>
              <w:rPr>
                <w:rFonts w:hint="eastAsia"/>
                <w:sz w:val="24"/>
                <w:szCs w:val="32"/>
                <w:lang w:val="en-US" w:eastAsia="zh-CN"/>
              </w:rPr>
              <w:t>。</w:t>
            </w:r>
          </w:p>
          <w:p w14:paraId="339D50E6">
            <w:pPr>
              <w:keepNext w:val="0"/>
              <w:keepLines w:val="0"/>
              <w:pageBreakBefore w:val="0"/>
              <w:widowControl/>
              <w:numPr>
                <w:ilvl w:val="0"/>
                <w:numId w:val="6"/>
              </w:numPr>
              <w:suppressLineNumbers w:val="0"/>
              <w:kinsoku/>
              <w:wordWrap/>
              <w:overflowPunct/>
              <w:topLinePunct w:val="0"/>
              <w:autoSpaceDE/>
              <w:autoSpaceDN/>
              <w:bidi w:val="0"/>
              <w:adjustRightInd w:val="0"/>
              <w:snapToGrid w:val="0"/>
              <w:spacing w:line="440" w:lineRule="exact"/>
              <w:ind w:left="425" w:leftChars="0" w:hanging="425" w:firstLineChars="0"/>
              <w:jc w:val="center"/>
              <w:textAlignment w:val="auto"/>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项目施工期污染防治措施汇总</w:t>
            </w:r>
          </w:p>
          <w:tbl>
            <w:tblPr>
              <w:tblStyle w:val="4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5"/>
              <w:gridCol w:w="942"/>
              <w:gridCol w:w="6670"/>
            </w:tblGrid>
            <w:tr w14:paraId="53326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2" w:type="pct"/>
                  <w:noWrap w:val="0"/>
                  <w:vAlign w:val="center"/>
                </w:tcPr>
                <w:p w14:paraId="145E3E94">
                  <w:pPr>
                    <w:pStyle w:val="56"/>
                    <w:bidi w:val="0"/>
                    <w:rPr>
                      <w:rFonts w:hint="default"/>
                      <w:szCs w:val="21"/>
                      <w:lang w:val="en-US" w:eastAsia="zh-CN"/>
                    </w:rPr>
                  </w:pPr>
                  <w:r>
                    <w:rPr>
                      <w:rFonts w:hint="default"/>
                      <w:lang w:val="en-US" w:eastAsia="zh-CN"/>
                    </w:rPr>
                    <w:t>项目</w:t>
                  </w:r>
                </w:p>
              </w:tc>
              <w:tc>
                <w:tcPr>
                  <w:tcW w:w="569" w:type="pct"/>
                  <w:noWrap w:val="0"/>
                  <w:vAlign w:val="center"/>
                </w:tcPr>
                <w:p w14:paraId="237371B0">
                  <w:pPr>
                    <w:pStyle w:val="56"/>
                    <w:bidi w:val="0"/>
                    <w:rPr>
                      <w:rFonts w:hint="default"/>
                      <w:szCs w:val="21"/>
                      <w:lang w:val="en-US" w:eastAsia="zh-CN"/>
                    </w:rPr>
                  </w:pPr>
                  <w:r>
                    <w:rPr>
                      <w:rFonts w:hint="default"/>
                      <w:lang w:val="en-US" w:eastAsia="zh-CN"/>
                    </w:rPr>
                    <w:t>污染源</w:t>
                  </w:r>
                </w:p>
              </w:tc>
              <w:tc>
                <w:tcPr>
                  <w:tcW w:w="4028" w:type="pct"/>
                  <w:noWrap w:val="0"/>
                  <w:vAlign w:val="top"/>
                </w:tcPr>
                <w:p w14:paraId="1EAB2E79">
                  <w:pPr>
                    <w:pStyle w:val="56"/>
                    <w:bidi w:val="0"/>
                    <w:rPr>
                      <w:rFonts w:hint="default"/>
                      <w:szCs w:val="21"/>
                      <w:lang w:val="en-US" w:eastAsia="zh-CN"/>
                    </w:rPr>
                  </w:pPr>
                  <w:r>
                    <w:rPr>
                      <w:rFonts w:hint="default"/>
                      <w:lang w:val="en-US" w:eastAsia="zh-CN"/>
                    </w:rPr>
                    <w:t>防治措施</w:t>
                  </w:r>
                </w:p>
              </w:tc>
            </w:tr>
            <w:tr w14:paraId="1CF80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restart"/>
                  <w:noWrap w:val="0"/>
                  <w:vAlign w:val="center"/>
                </w:tcPr>
                <w:p w14:paraId="6F0C60E0">
                  <w:pPr>
                    <w:pStyle w:val="56"/>
                    <w:bidi w:val="0"/>
                    <w:rPr>
                      <w:rFonts w:hint="default"/>
                      <w:sz w:val="21"/>
                      <w:szCs w:val="21"/>
                      <w:lang w:val="en-US" w:eastAsia="zh-CN"/>
                    </w:rPr>
                  </w:pPr>
                </w:p>
              </w:tc>
              <w:tc>
                <w:tcPr>
                  <w:tcW w:w="569" w:type="pct"/>
                  <w:noWrap w:val="0"/>
                  <w:vAlign w:val="center"/>
                </w:tcPr>
                <w:p w14:paraId="2AC6D0A5">
                  <w:pPr>
                    <w:pStyle w:val="56"/>
                    <w:bidi w:val="0"/>
                    <w:rPr>
                      <w:rFonts w:hint="default"/>
                      <w:szCs w:val="21"/>
                      <w:lang w:val="en-US" w:eastAsia="zh-CN"/>
                    </w:rPr>
                  </w:pPr>
                  <w:r>
                    <w:rPr>
                      <w:rFonts w:hint="default"/>
                      <w:lang w:val="en-US" w:eastAsia="zh-CN"/>
                    </w:rPr>
                    <w:t>扬尘</w:t>
                  </w:r>
                </w:p>
              </w:tc>
              <w:tc>
                <w:tcPr>
                  <w:tcW w:w="4028" w:type="pct"/>
                  <w:noWrap w:val="0"/>
                  <w:vAlign w:val="top"/>
                </w:tcPr>
                <w:p w14:paraId="374A30C9">
                  <w:pPr>
                    <w:pStyle w:val="56"/>
                    <w:bidi w:val="0"/>
                    <w:jc w:val="left"/>
                    <w:rPr>
                      <w:rFonts w:hint="default"/>
                    </w:rPr>
                  </w:pPr>
                  <w:r>
                    <w:rPr>
                      <w:rFonts w:hint="eastAsia"/>
                      <w:lang w:val="en-US" w:eastAsia="zh-CN"/>
                    </w:rPr>
                    <w:t>1.</w:t>
                  </w:r>
                  <w:r>
                    <w:rPr>
                      <w:rFonts w:hint="default"/>
                      <w:lang w:val="en-US" w:eastAsia="zh-CN"/>
                    </w:rPr>
                    <w:t>场地清理、</w:t>
                  </w:r>
                  <w:r>
                    <w:rPr>
                      <w:rFonts w:hint="eastAsia"/>
                      <w:lang w:val="en-US" w:eastAsia="zh-CN"/>
                    </w:rPr>
                    <w:t>基坑开挖</w:t>
                  </w:r>
                  <w:r>
                    <w:rPr>
                      <w:rFonts w:hint="default"/>
                      <w:lang w:val="en-US" w:eastAsia="zh-CN"/>
                    </w:rPr>
                    <w:t>扬尘控制：在施工场地干燥区域定时洒水，多风季节可增加洒水次数（一般天气状况应不少于3次/日，大风日应加大洒水频率），减少起尘量，同时作业处覆盖防尘网。</w:t>
                  </w:r>
                </w:p>
                <w:p w14:paraId="1E4C14D6">
                  <w:pPr>
                    <w:pStyle w:val="56"/>
                    <w:bidi w:val="0"/>
                    <w:jc w:val="left"/>
                    <w:rPr>
                      <w:rFonts w:hint="default"/>
                    </w:rPr>
                  </w:pPr>
                  <w:r>
                    <w:rPr>
                      <w:rFonts w:hint="eastAsia"/>
                      <w:lang w:val="en-US" w:eastAsia="zh-CN"/>
                    </w:rPr>
                    <w:t>2.</w:t>
                  </w:r>
                  <w:r>
                    <w:rPr>
                      <w:rFonts w:hint="default"/>
                      <w:lang w:val="en-US" w:eastAsia="zh-CN"/>
                    </w:rPr>
                    <w:t>材料运输扬尘控制：运输通过土路时，实施车辆速度限制，防止车速过快产生大量扬尘污染环境。施工阶段对汽车行驶路面勤洒水，每天3～4次，在干燥大风天气情况洒水频率加密。凡运送土石方等材料的车辆，都应用</w:t>
                  </w:r>
                  <w:r>
                    <w:rPr>
                      <w:rFonts w:hint="eastAsia"/>
                      <w:lang w:val="en-US" w:eastAsia="zh-CN"/>
                    </w:rPr>
                    <w:t>篷布</w:t>
                  </w:r>
                  <w:r>
                    <w:rPr>
                      <w:rFonts w:hint="default"/>
                      <w:lang w:val="en-US" w:eastAsia="zh-CN"/>
                    </w:rPr>
                    <w:t>覆盖，避免扬尘。对进入施工区域内的车流量进行合理规划，防止施工现场车流量过大。在施工场地设置洗车平台，完善排水设施，防止泥土粘带，车辆轮胎进出场都要进行清洗。</w:t>
                  </w:r>
                </w:p>
                <w:p w14:paraId="5EA36AF9">
                  <w:pPr>
                    <w:pStyle w:val="56"/>
                    <w:bidi w:val="0"/>
                    <w:jc w:val="left"/>
                    <w:rPr>
                      <w:rFonts w:hint="default"/>
                      <w:szCs w:val="21"/>
                      <w:lang w:val="en-US" w:eastAsia="zh-CN"/>
                    </w:rPr>
                  </w:pPr>
                  <w:r>
                    <w:rPr>
                      <w:rFonts w:hint="eastAsia"/>
                      <w:lang w:val="en-US" w:eastAsia="zh-CN"/>
                    </w:rPr>
                    <w:t>3.</w:t>
                  </w:r>
                  <w:r>
                    <w:rPr>
                      <w:rFonts w:hint="default"/>
                      <w:lang w:val="en-US" w:eastAsia="zh-CN"/>
                    </w:rPr>
                    <w:t>场地风蚀扬尘控制：对于施工时的土方暂存场，在大风天气极易产生扬尘，要求对土方暂存场进行洒水抑尘，同时对物料进行覆盖，采取防尘布苫盖。</w:t>
                  </w:r>
                </w:p>
              </w:tc>
            </w:tr>
            <w:tr w14:paraId="7FDF0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noWrap w:val="0"/>
                  <w:vAlign w:val="center"/>
                </w:tcPr>
                <w:p w14:paraId="2900E999">
                  <w:pPr>
                    <w:pStyle w:val="56"/>
                    <w:bidi w:val="0"/>
                    <w:rPr>
                      <w:rFonts w:hint="default"/>
                      <w:sz w:val="21"/>
                      <w:szCs w:val="21"/>
                      <w:lang w:val="en-US" w:eastAsia="zh-CN"/>
                    </w:rPr>
                  </w:pPr>
                </w:p>
              </w:tc>
              <w:tc>
                <w:tcPr>
                  <w:tcW w:w="569" w:type="pct"/>
                  <w:noWrap w:val="0"/>
                  <w:vAlign w:val="center"/>
                </w:tcPr>
                <w:p w14:paraId="2ABB62C0">
                  <w:pPr>
                    <w:pStyle w:val="56"/>
                    <w:bidi w:val="0"/>
                    <w:rPr>
                      <w:rFonts w:hint="default"/>
                      <w:szCs w:val="21"/>
                      <w:lang w:val="en-US" w:eastAsia="zh-CN"/>
                    </w:rPr>
                  </w:pPr>
                  <w:r>
                    <w:rPr>
                      <w:rFonts w:hint="default"/>
                      <w:lang w:val="en-US" w:eastAsia="zh-CN"/>
                    </w:rPr>
                    <w:t>运输车辆尾气</w:t>
                  </w:r>
                </w:p>
              </w:tc>
              <w:tc>
                <w:tcPr>
                  <w:tcW w:w="4028" w:type="pct"/>
                  <w:noWrap w:val="0"/>
                  <w:vAlign w:val="top"/>
                </w:tcPr>
                <w:p w14:paraId="412ECE00">
                  <w:pPr>
                    <w:pStyle w:val="56"/>
                    <w:bidi w:val="0"/>
                    <w:jc w:val="left"/>
                    <w:rPr>
                      <w:rFonts w:hint="default"/>
                      <w:szCs w:val="21"/>
                      <w:lang w:val="en-US" w:eastAsia="zh-CN"/>
                    </w:rPr>
                  </w:pPr>
                  <w:r>
                    <w:rPr>
                      <w:rFonts w:hint="default"/>
                      <w:lang w:val="en-US" w:eastAsia="zh-CN"/>
                    </w:rPr>
                    <w:t>要求施工现场的机械及运输车辆使用国家规定的标准燃油，尤其是大型运输车辆尾气应达标排放。要求施工单位对施工车辆加强检修和维护，严禁使用超期服役和尾气超标的车辆，对于发动机耗油多、效率低、排放尾气超标的老、旧车辆，及时更新。机械及运输车辆要定时保养，调整到最佳状态运行。</w:t>
                  </w:r>
                </w:p>
              </w:tc>
            </w:tr>
            <w:tr w14:paraId="0F055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noWrap w:val="0"/>
                  <w:vAlign w:val="center"/>
                </w:tcPr>
                <w:p w14:paraId="3B6D669C">
                  <w:pPr>
                    <w:pStyle w:val="56"/>
                    <w:bidi w:val="0"/>
                    <w:rPr>
                      <w:rFonts w:hint="default"/>
                      <w:sz w:val="21"/>
                      <w:szCs w:val="21"/>
                      <w:lang w:val="en-US" w:eastAsia="zh-CN"/>
                    </w:rPr>
                  </w:pPr>
                </w:p>
              </w:tc>
              <w:tc>
                <w:tcPr>
                  <w:tcW w:w="569" w:type="pct"/>
                  <w:noWrap w:val="0"/>
                  <w:vAlign w:val="center"/>
                </w:tcPr>
                <w:p w14:paraId="1E1A3B3B">
                  <w:pPr>
                    <w:pStyle w:val="56"/>
                    <w:bidi w:val="0"/>
                    <w:rPr>
                      <w:rFonts w:hint="default"/>
                      <w:szCs w:val="21"/>
                      <w:lang w:val="en-US" w:eastAsia="zh-CN"/>
                    </w:rPr>
                  </w:pPr>
                  <w:r>
                    <w:rPr>
                      <w:rFonts w:hint="default"/>
                      <w:lang w:val="en-US" w:eastAsia="zh-CN"/>
                    </w:rPr>
                    <w:t>装修废气</w:t>
                  </w:r>
                </w:p>
              </w:tc>
              <w:tc>
                <w:tcPr>
                  <w:tcW w:w="4028" w:type="pct"/>
                  <w:noWrap w:val="0"/>
                  <w:vAlign w:val="top"/>
                </w:tcPr>
                <w:p w14:paraId="01D96733">
                  <w:pPr>
                    <w:pStyle w:val="56"/>
                    <w:bidi w:val="0"/>
                    <w:jc w:val="left"/>
                    <w:rPr>
                      <w:rFonts w:hint="default"/>
                      <w:szCs w:val="21"/>
                      <w:lang w:val="en-US" w:eastAsia="zh-CN"/>
                    </w:rPr>
                  </w:pPr>
                  <w:r>
                    <w:rPr>
                      <w:rFonts w:hint="default"/>
                      <w:lang w:val="en-US" w:eastAsia="zh-CN"/>
                    </w:rPr>
                    <w:t>监督项目建筑方采用符合国家标准的A级产品，减少建材对室内空气的污染；设计良好的通风设备。</w:t>
                  </w:r>
                </w:p>
              </w:tc>
            </w:tr>
            <w:tr w14:paraId="7723E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restart"/>
                  <w:noWrap w:val="0"/>
                  <w:vAlign w:val="center"/>
                </w:tcPr>
                <w:p w14:paraId="6CA1057B">
                  <w:pPr>
                    <w:pStyle w:val="56"/>
                    <w:bidi w:val="0"/>
                    <w:rPr>
                      <w:rFonts w:hint="default"/>
                      <w:szCs w:val="21"/>
                      <w:lang w:val="en-US" w:eastAsia="zh-CN"/>
                    </w:rPr>
                  </w:pPr>
                  <w:r>
                    <w:rPr>
                      <w:rFonts w:hint="default"/>
                      <w:lang w:val="en-US" w:eastAsia="zh-CN"/>
                    </w:rPr>
                    <w:t>废水</w:t>
                  </w:r>
                </w:p>
              </w:tc>
              <w:tc>
                <w:tcPr>
                  <w:tcW w:w="569" w:type="pct"/>
                  <w:noWrap w:val="0"/>
                  <w:vAlign w:val="center"/>
                </w:tcPr>
                <w:p w14:paraId="14B9B081">
                  <w:pPr>
                    <w:pStyle w:val="56"/>
                    <w:bidi w:val="0"/>
                    <w:rPr>
                      <w:rFonts w:hint="default"/>
                      <w:szCs w:val="21"/>
                      <w:lang w:val="en-US" w:eastAsia="zh-CN"/>
                    </w:rPr>
                  </w:pPr>
                  <w:r>
                    <w:rPr>
                      <w:rFonts w:hint="default"/>
                      <w:lang w:val="en-US" w:eastAsia="zh-CN"/>
                    </w:rPr>
                    <w:t>施工废水</w:t>
                  </w:r>
                </w:p>
              </w:tc>
              <w:tc>
                <w:tcPr>
                  <w:tcW w:w="4028" w:type="pct"/>
                  <w:noWrap w:val="0"/>
                  <w:vAlign w:val="top"/>
                </w:tcPr>
                <w:p w14:paraId="4C54BE57">
                  <w:pPr>
                    <w:pStyle w:val="56"/>
                    <w:bidi w:val="0"/>
                    <w:jc w:val="left"/>
                    <w:rPr>
                      <w:rFonts w:hint="default"/>
                    </w:rPr>
                  </w:pPr>
                  <w:r>
                    <w:rPr>
                      <w:rFonts w:hint="eastAsia"/>
                      <w:lang w:val="en-US" w:eastAsia="zh-CN"/>
                    </w:rPr>
                    <w:t>1.</w:t>
                  </w:r>
                  <w:r>
                    <w:rPr>
                      <w:rFonts w:hint="default"/>
                      <w:lang w:val="en-US" w:eastAsia="zh-CN"/>
                    </w:rPr>
                    <w:t>设置沉淀池，石料搅拌废水、机械和车辆冲洗废水经沉淀后用于施工物料拌合用水或地面洒水，禁止废水乱排。</w:t>
                  </w:r>
                </w:p>
                <w:p w14:paraId="078D6A33">
                  <w:pPr>
                    <w:pStyle w:val="56"/>
                    <w:bidi w:val="0"/>
                    <w:jc w:val="left"/>
                    <w:rPr>
                      <w:rFonts w:hint="default"/>
                      <w:szCs w:val="21"/>
                      <w:lang w:val="en-US" w:eastAsia="zh-CN"/>
                    </w:rPr>
                  </w:pPr>
                  <w:r>
                    <w:rPr>
                      <w:rFonts w:hint="eastAsia"/>
                      <w:lang w:val="en-US" w:eastAsia="zh-CN"/>
                    </w:rPr>
                    <w:t>2.</w:t>
                  </w:r>
                  <w:r>
                    <w:rPr>
                      <w:rFonts w:hint="default"/>
                      <w:lang w:val="en-US" w:eastAsia="zh-CN"/>
                    </w:rPr>
                    <w:t>施工区内增设必要的排水沟道，有利于雨水排放。</w:t>
                  </w:r>
                </w:p>
              </w:tc>
            </w:tr>
            <w:tr w14:paraId="42164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noWrap w:val="0"/>
                  <w:vAlign w:val="center"/>
                </w:tcPr>
                <w:p w14:paraId="6FA5957A">
                  <w:pPr>
                    <w:pStyle w:val="56"/>
                    <w:bidi w:val="0"/>
                    <w:rPr>
                      <w:rFonts w:hint="default"/>
                      <w:sz w:val="21"/>
                      <w:szCs w:val="21"/>
                      <w:lang w:val="en-US" w:eastAsia="zh-CN"/>
                    </w:rPr>
                  </w:pPr>
                </w:p>
              </w:tc>
              <w:tc>
                <w:tcPr>
                  <w:tcW w:w="569" w:type="pct"/>
                  <w:noWrap w:val="0"/>
                  <w:vAlign w:val="center"/>
                </w:tcPr>
                <w:p w14:paraId="389224B0">
                  <w:pPr>
                    <w:pStyle w:val="56"/>
                    <w:bidi w:val="0"/>
                    <w:rPr>
                      <w:rFonts w:hint="default" w:ascii="Times New Roman" w:hAnsi="Times New Roman" w:eastAsia="宋体" w:cs="Times New Roman"/>
                      <w:b w:val="0"/>
                      <w:bCs w:val="0"/>
                      <w:color w:val="FF0000"/>
                      <w:szCs w:val="21"/>
                      <w:lang w:val="en-US" w:eastAsia="zh-CN"/>
                    </w:rPr>
                  </w:pPr>
                  <w:r>
                    <w:rPr>
                      <w:rFonts w:hint="default"/>
                      <w:color w:val="FF0000"/>
                      <w:lang w:val="en-US" w:eastAsia="zh-CN"/>
                    </w:rPr>
                    <w:t>施工生活污水</w:t>
                  </w:r>
                </w:p>
              </w:tc>
              <w:tc>
                <w:tcPr>
                  <w:tcW w:w="4028" w:type="pct"/>
                  <w:noWrap w:val="0"/>
                  <w:vAlign w:val="top"/>
                </w:tcPr>
                <w:p w14:paraId="23BE7EE6">
                  <w:pPr>
                    <w:pStyle w:val="56"/>
                    <w:bidi w:val="0"/>
                    <w:jc w:val="left"/>
                    <w:rPr>
                      <w:rFonts w:hint="default"/>
                      <w:color w:val="FF0000"/>
                      <w:szCs w:val="21"/>
                      <w:lang w:val="en-US" w:eastAsia="zh-CN"/>
                    </w:rPr>
                  </w:pPr>
                  <w:r>
                    <w:rPr>
                      <w:rFonts w:hint="default"/>
                      <w:color w:val="FF0000"/>
                      <w:lang w:val="en-US" w:eastAsia="zh-CN"/>
                    </w:rPr>
                    <w:t>施工单位应设临时</w:t>
                  </w:r>
                  <w:r>
                    <w:rPr>
                      <w:rFonts w:hint="eastAsia"/>
                      <w:color w:val="FF0000"/>
                      <w:lang w:val="en-US" w:eastAsia="zh-CN"/>
                    </w:rPr>
                    <w:t>化粪池，废水经临时化粪池处理后排入园区管网</w:t>
                  </w:r>
                </w:p>
              </w:tc>
            </w:tr>
            <w:tr w14:paraId="0A45D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noWrap w:val="0"/>
                  <w:vAlign w:val="center"/>
                </w:tcPr>
                <w:p w14:paraId="228ECB48">
                  <w:pPr>
                    <w:pStyle w:val="56"/>
                    <w:bidi w:val="0"/>
                    <w:rPr>
                      <w:rFonts w:hint="default"/>
                      <w:szCs w:val="21"/>
                      <w:lang w:val="en-US" w:eastAsia="zh-CN"/>
                    </w:rPr>
                  </w:pPr>
                  <w:r>
                    <w:rPr>
                      <w:rFonts w:hint="default"/>
                      <w:lang w:val="en-US" w:eastAsia="zh-CN"/>
                    </w:rPr>
                    <w:t>噪声</w:t>
                  </w:r>
                </w:p>
              </w:tc>
              <w:tc>
                <w:tcPr>
                  <w:tcW w:w="569" w:type="pct"/>
                  <w:noWrap w:val="0"/>
                  <w:vAlign w:val="center"/>
                </w:tcPr>
                <w:p w14:paraId="3BCC5C51">
                  <w:pPr>
                    <w:pStyle w:val="56"/>
                    <w:bidi w:val="0"/>
                    <w:rPr>
                      <w:rFonts w:hint="default" w:ascii="Times New Roman" w:hAnsi="Times New Roman" w:eastAsia="宋体" w:cs="Times New Roman"/>
                      <w:b w:val="0"/>
                      <w:bCs w:val="0"/>
                      <w:szCs w:val="21"/>
                      <w:lang w:val="en-US" w:eastAsia="zh-CN"/>
                    </w:rPr>
                  </w:pPr>
                  <w:r>
                    <w:rPr>
                      <w:rFonts w:hint="default"/>
                      <w:lang w:val="en-US" w:eastAsia="zh-CN"/>
                    </w:rPr>
                    <w:t>施工场地噪声</w:t>
                  </w:r>
                </w:p>
              </w:tc>
              <w:tc>
                <w:tcPr>
                  <w:tcW w:w="4028" w:type="pct"/>
                  <w:noWrap w:val="0"/>
                  <w:vAlign w:val="top"/>
                </w:tcPr>
                <w:p w14:paraId="6680E09C">
                  <w:pPr>
                    <w:pStyle w:val="56"/>
                    <w:bidi w:val="0"/>
                    <w:jc w:val="left"/>
                    <w:rPr>
                      <w:rFonts w:hint="default"/>
                    </w:rPr>
                  </w:pPr>
                  <w:r>
                    <w:rPr>
                      <w:rFonts w:hint="eastAsia"/>
                      <w:lang w:val="en-US" w:eastAsia="zh-CN"/>
                    </w:rPr>
                    <w:t>1.</w:t>
                  </w:r>
                  <w:r>
                    <w:rPr>
                      <w:rFonts w:hint="default"/>
                      <w:lang w:val="en-US" w:eastAsia="zh-CN"/>
                    </w:rPr>
                    <w:t>合理安排施工时间与布局：应尽可能避免大量高噪声设备同时施工，高噪声施工时间尽量安排在日间，减少夜间施工量，打桩机等禁止在夜间施工。</w:t>
                  </w:r>
                </w:p>
                <w:p w14:paraId="21D59F35">
                  <w:pPr>
                    <w:pStyle w:val="56"/>
                    <w:bidi w:val="0"/>
                    <w:jc w:val="left"/>
                    <w:rPr>
                      <w:rFonts w:hint="default"/>
                    </w:rPr>
                  </w:pPr>
                  <w:r>
                    <w:rPr>
                      <w:rFonts w:hint="eastAsia"/>
                      <w:lang w:val="en-US" w:eastAsia="zh-CN"/>
                    </w:rPr>
                    <w:t>2.</w:t>
                  </w:r>
                  <w:r>
                    <w:rPr>
                      <w:rFonts w:hint="default"/>
                      <w:lang w:val="en-US" w:eastAsia="zh-CN"/>
                    </w:rPr>
                    <w:t>降低设备声级：尽量采用低噪声设备，如以液压机械代替燃油机械，振捣器采用高频振捣器等；固定机械设备与挖土、运土机械，如挖土机、推土机等，可通过排气管消音器和隔离发动机振动部件的方法降低噪声；对动力机械设备进行定期的维修、养护、维修不良的设备常因构动部件的振动或消声器的损坏而增加其工作时声级；闲置不用的设备应立即关闭，运输车辆进入现场应减速，并禁止鸣笛。</w:t>
                  </w:r>
                </w:p>
                <w:p w14:paraId="1DF07F03">
                  <w:pPr>
                    <w:pStyle w:val="56"/>
                    <w:bidi w:val="0"/>
                    <w:jc w:val="left"/>
                    <w:rPr>
                      <w:rFonts w:hint="default"/>
                    </w:rPr>
                  </w:pPr>
                  <w:r>
                    <w:rPr>
                      <w:rFonts w:hint="eastAsia"/>
                      <w:lang w:val="en-US" w:eastAsia="zh-CN"/>
                    </w:rPr>
                    <w:t>3.</w:t>
                  </w:r>
                  <w:r>
                    <w:rPr>
                      <w:rFonts w:hint="default"/>
                      <w:lang w:val="en-US" w:eastAsia="zh-CN"/>
                    </w:rPr>
                    <w:t>降低人为噪音：按规定操作机械设备，遵守作业规定，减少碰撞噪声；尽量少用哨子、钟、笛等指挥作业。</w:t>
                  </w:r>
                </w:p>
                <w:p w14:paraId="11AF4DF0">
                  <w:pPr>
                    <w:pStyle w:val="56"/>
                    <w:bidi w:val="0"/>
                    <w:jc w:val="left"/>
                    <w:rPr>
                      <w:rFonts w:hint="default"/>
                    </w:rPr>
                  </w:pPr>
                  <w:r>
                    <w:rPr>
                      <w:rFonts w:hint="eastAsia"/>
                      <w:lang w:val="en-US" w:eastAsia="zh-CN"/>
                    </w:rPr>
                    <w:t>4.</w:t>
                  </w:r>
                  <w:r>
                    <w:rPr>
                      <w:rFonts w:hint="default"/>
                      <w:lang w:val="en-US" w:eastAsia="zh-CN"/>
                    </w:rPr>
                    <w:t>建立施工挡墙：高噪声设备置于施工棚内，将施工作业区置于室内，既可防尘又可降噪。</w:t>
                  </w:r>
                </w:p>
                <w:p w14:paraId="35A4605A">
                  <w:pPr>
                    <w:pStyle w:val="56"/>
                    <w:bidi w:val="0"/>
                    <w:jc w:val="left"/>
                    <w:rPr>
                      <w:rFonts w:hint="default"/>
                      <w:szCs w:val="21"/>
                      <w:lang w:val="en-US" w:eastAsia="zh-CN"/>
                    </w:rPr>
                  </w:pPr>
                  <w:r>
                    <w:rPr>
                      <w:rFonts w:hint="eastAsia"/>
                      <w:lang w:val="en-US" w:eastAsia="zh-CN"/>
                    </w:rPr>
                    <w:t>5.</w:t>
                  </w:r>
                  <w:r>
                    <w:rPr>
                      <w:rFonts w:hint="default"/>
                      <w:lang w:val="en-US" w:eastAsia="zh-CN"/>
                    </w:rPr>
                    <w:t>应与周围单位、居民建立联系，对受施工干扰的单位和居民应在作业前予以通知，求得大家的共同理解；施工期间应设热线投诉电话，接受噪音扰民投诉，并对投诉情况进行积极治理或严格地限制作业时间。</w:t>
                  </w:r>
                </w:p>
              </w:tc>
            </w:tr>
            <w:tr w14:paraId="6C808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restart"/>
                  <w:noWrap w:val="0"/>
                  <w:vAlign w:val="center"/>
                </w:tcPr>
                <w:p w14:paraId="1E4E148F">
                  <w:pPr>
                    <w:pStyle w:val="56"/>
                    <w:bidi w:val="0"/>
                    <w:rPr>
                      <w:rFonts w:hint="default"/>
                      <w:szCs w:val="21"/>
                      <w:lang w:val="en-US" w:eastAsia="zh-CN"/>
                    </w:rPr>
                  </w:pPr>
                  <w:r>
                    <w:rPr>
                      <w:rFonts w:hint="default"/>
                      <w:lang w:val="en-US" w:eastAsia="zh-CN"/>
                    </w:rPr>
                    <w:t>固废</w:t>
                  </w:r>
                </w:p>
              </w:tc>
              <w:tc>
                <w:tcPr>
                  <w:tcW w:w="569" w:type="pct"/>
                  <w:noWrap w:val="0"/>
                  <w:vAlign w:val="center"/>
                </w:tcPr>
                <w:p w14:paraId="23CCE698">
                  <w:pPr>
                    <w:pStyle w:val="56"/>
                    <w:bidi w:val="0"/>
                    <w:rPr>
                      <w:rFonts w:hint="default"/>
                      <w:lang w:val="en-US" w:eastAsia="zh-CN"/>
                    </w:rPr>
                  </w:pPr>
                  <w:r>
                    <w:rPr>
                      <w:rFonts w:hint="default"/>
                      <w:lang w:val="en-US" w:eastAsia="zh-CN"/>
                    </w:rPr>
                    <w:t>建筑</w:t>
                  </w:r>
                </w:p>
                <w:p w14:paraId="24BF19E3">
                  <w:pPr>
                    <w:pStyle w:val="56"/>
                    <w:bidi w:val="0"/>
                    <w:rPr>
                      <w:rFonts w:hint="default"/>
                      <w:szCs w:val="21"/>
                      <w:lang w:val="en-US" w:eastAsia="zh-CN"/>
                    </w:rPr>
                  </w:pPr>
                  <w:r>
                    <w:rPr>
                      <w:rFonts w:hint="default"/>
                      <w:lang w:val="en-US" w:eastAsia="zh-CN"/>
                    </w:rPr>
                    <w:t>垃圾</w:t>
                  </w:r>
                </w:p>
              </w:tc>
              <w:tc>
                <w:tcPr>
                  <w:tcW w:w="4028" w:type="pct"/>
                  <w:noWrap w:val="0"/>
                  <w:vAlign w:val="top"/>
                </w:tcPr>
                <w:p w14:paraId="7207EAD6">
                  <w:pPr>
                    <w:pStyle w:val="56"/>
                    <w:bidi w:val="0"/>
                    <w:jc w:val="left"/>
                    <w:rPr>
                      <w:rFonts w:hint="default"/>
                      <w:szCs w:val="21"/>
                      <w:lang w:val="en-US" w:eastAsia="zh-CN"/>
                    </w:rPr>
                  </w:pPr>
                  <w:r>
                    <w:rPr>
                      <w:rFonts w:hint="default"/>
                      <w:lang w:val="en-US" w:eastAsia="zh-CN"/>
                    </w:rPr>
                    <w:t>首先应考虑废料的回收利用。对钢筋、钢板、木材等</w:t>
                  </w:r>
                  <w:r>
                    <w:rPr>
                      <w:rFonts w:hint="eastAsia"/>
                      <w:lang w:val="en-US" w:eastAsia="zh-CN"/>
                    </w:rPr>
                    <w:t>下脚料</w:t>
                  </w:r>
                  <w:r>
                    <w:rPr>
                      <w:rFonts w:hint="default"/>
                      <w:lang w:val="en-US" w:eastAsia="zh-CN"/>
                    </w:rPr>
                    <w:t>可分类回收利用；</w:t>
                  </w:r>
                  <w:r>
                    <w:rPr>
                      <w:rFonts w:hint="eastAsia"/>
                      <w:lang w:val="en-US" w:eastAsia="zh-CN"/>
                    </w:rPr>
                    <w:t>对</w:t>
                  </w:r>
                  <w:r>
                    <w:rPr>
                      <w:rFonts w:hint="default"/>
                      <w:lang w:val="en-US" w:eastAsia="zh-CN"/>
                    </w:rPr>
                    <w:t>混凝土废料、含砖、石、砂的杂土等建筑垃圾，及时清运到环卫部门指定的建筑垃圾填埋场。</w:t>
                  </w:r>
                </w:p>
              </w:tc>
            </w:tr>
            <w:tr w14:paraId="577E1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noWrap w:val="0"/>
                  <w:vAlign w:val="center"/>
                </w:tcPr>
                <w:p w14:paraId="0CD95254">
                  <w:pPr>
                    <w:pStyle w:val="56"/>
                    <w:bidi w:val="0"/>
                    <w:rPr>
                      <w:rFonts w:hint="default"/>
                      <w:sz w:val="21"/>
                      <w:szCs w:val="21"/>
                      <w:lang w:val="en-US" w:eastAsia="zh-CN"/>
                    </w:rPr>
                  </w:pPr>
                </w:p>
              </w:tc>
              <w:tc>
                <w:tcPr>
                  <w:tcW w:w="569" w:type="pct"/>
                  <w:noWrap w:val="0"/>
                  <w:vAlign w:val="center"/>
                </w:tcPr>
                <w:p w14:paraId="383BC7B7">
                  <w:pPr>
                    <w:pStyle w:val="56"/>
                    <w:bidi w:val="0"/>
                    <w:rPr>
                      <w:rFonts w:hint="default"/>
                      <w:szCs w:val="21"/>
                      <w:lang w:val="en-US" w:eastAsia="zh-CN"/>
                    </w:rPr>
                  </w:pPr>
                  <w:r>
                    <w:rPr>
                      <w:rFonts w:hint="default"/>
                      <w:lang w:val="en-US" w:eastAsia="zh-CN"/>
                    </w:rPr>
                    <w:t>生活垃圾</w:t>
                  </w:r>
                </w:p>
              </w:tc>
              <w:tc>
                <w:tcPr>
                  <w:tcW w:w="4028" w:type="pct"/>
                  <w:noWrap w:val="0"/>
                  <w:vAlign w:val="center"/>
                </w:tcPr>
                <w:p w14:paraId="1BA1752F">
                  <w:pPr>
                    <w:pStyle w:val="56"/>
                    <w:bidi w:val="0"/>
                    <w:jc w:val="left"/>
                    <w:rPr>
                      <w:rFonts w:hint="default"/>
                      <w:szCs w:val="21"/>
                      <w:lang w:val="en-US" w:eastAsia="zh-CN"/>
                    </w:rPr>
                  </w:pPr>
                  <w:r>
                    <w:rPr>
                      <w:rFonts w:hint="default"/>
                      <w:lang w:val="en-US" w:eastAsia="zh-CN"/>
                    </w:rPr>
                    <w:t>设置垃圾桶，定期送环卫部门指定地点。</w:t>
                  </w:r>
                </w:p>
              </w:tc>
            </w:tr>
            <w:tr w14:paraId="67D92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7" w:hRule="atLeast"/>
              </w:trPr>
              <w:tc>
                <w:tcPr>
                  <w:tcW w:w="402" w:type="pct"/>
                  <w:noWrap w:val="0"/>
                  <w:vAlign w:val="center"/>
                </w:tcPr>
                <w:p w14:paraId="3861883B">
                  <w:pPr>
                    <w:pStyle w:val="56"/>
                    <w:bidi w:val="0"/>
                    <w:rPr>
                      <w:rFonts w:hint="default"/>
                      <w:szCs w:val="21"/>
                      <w:lang w:val="en-US" w:eastAsia="zh-CN"/>
                    </w:rPr>
                  </w:pPr>
                  <w:r>
                    <w:rPr>
                      <w:rFonts w:hint="default"/>
                      <w:lang w:val="en-US" w:eastAsia="zh-CN"/>
                    </w:rPr>
                    <w:t>生态环境</w:t>
                  </w:r>
                </w:p>
              </w:tc>
              <w:tc>
                <w:tcPr>
                  <w:tcW w:w="569" w:type="pct"/>
                  <w:noWrap w:val="0"/>
                  <w:vAlign w:val="center"/>
                </w:tcPr>
                <w:p w14:paraId="0FE329E7">
                  <w:pPr>
                    <w:pStyle w:val="56"/>
                    <w:bidi w:val="0"/>
                    <w:rPr>
                      <w:rFonts w:hint="default"/>
                      <w:szCs w:val="21"/>
                      <w:lang w:val="en-US" w:eastAsia="zh-CN"/>
                    </w:rPr>
                  </w:pPr>
                  <w:r>
                    <w:rPr>
                      <w:rFonts w:hint="default"/>
                      <w:lang w:val="en-US" w:eastAsia="zh-CN"/>
                    </w:rPr>
                    <w:t>/</w:t>
                  </w:r>
                </w:p>
              </w:tc>
              <w:tc>
                <w:tcPr>
                  <w:tcW w:w="4028" w:type="pct"/>
                  <w:noWrap w:val="0"/>
                  <w:vAlign w:val="top"/>
                </w:tcPr>
                <w:p w14:paraId="6072A048">
                  <w:pPr>
                    <w:pStyle w:val="56"/>
                    <w:bidi w:val="0"/>
                    <w:jc w:val="left"/>
                    <w:rPr>
                      <w:rFonts w:hint="default"/>
                    </w:rPr>
                  </w:pPr>
                  <w:r>
                    <w:rPr>
                      <w:rFonts w:hint="eastAsia"/>
                      <w:lang w:val="en-US" w:eastAsia="zh-CN"/>
                    </w:rPr>
                    <w:t>1.</w:t>
                  </w:r>
                  <w:r>
                    <w:rPr>
                      <w:rFonts w:hint="default"/>
                      <w:lang w:val="en-US" w:eastAsia="zh-CN"/>
                    </w:rPr>
                    <w:t>严格控制施工范围，按照划定的施工区域进行；工程实施建设中做到绿化工程与主体工程同步实施，同步完成。</w:t>
                  </w:r>
                </w:p>
                <w:p w14:paraId="76224B10">
                  <w:pPr>
                    <w:pStyle w:val="56"/>
                    <w:bidi w:val="0"/>
                    <w:jc w:val="left"/>
                    <w:rPr>
                      <w:rFonts w:hint="default"/>
                    </w:rPr>
                  </w:pPr>
                  <w:r>
                    <w:rPr>
                      <w:rFonts w:hint="eastAsia"/>
                      <w:lang w:val="en-US" w:eastAsia="zh-CN"/>
                    </w:rPr>
                    <w:t>2.</w:t>
                  </w:r>
                  <w:r>
                    <w:rPr>
                      <w:rFonts w:hint="default"/>
                      <w:lang w:val="en-US" w:eastAsia="zh-CN"/>
                    </w:rPr>
                    <w:t>加强对施工人员的生态保护教育，尽量不扰动施工区域外的动物栖息环境。</w:t>
                  </w:r>
                </w:p>
                <w:p w14:paraId="457D0DE1">
                  <w:pPr>
                    <w:pStyle w:val="56"/>
                    <w:bidi w:val="0"/>
                    <w:jc w:val="left"/>
                    <w:rPr>
                      <w:rFonts w:hint="default"/>
                    </w:rPr>
                  </w:pPr>
                  <w:r>
                    <w:rPr>
                      <w:rFonts w:hint="eastAsia"/>
                      <w:lang w:val="en-US" w:eastAsia="zh-CN"/>
                    </w:rPr>
                    <w:t>3.</w:t>
                  </w:r>
                  <w:r>
                    <w:rPr>
                      <w:rFonts w:hint="default"/>
                      <w:lang w:val="en-US" w:eastAsia="zh-CN"/>
                    </w:rPr>
                    <w:t>合理选择施工时间和方式，避免雨天施工，减少水土流失。</w:t>
                  </w:r>
                </w:p>
                <w:p w14:paraId="37EA5515">
                  <w:pPr>
                    <w:pStyle w:val="56"/>
                    <w:bidi w:val="0"/>
                    <w:jc w:val="left"/>
                    <w:rPr>
                      <w:rFonts w:hint="default"/>
                    </w:rPr>
                  </w:pPr>
                  <w:r>
                    <w:rPr>
                      <w:rFonts w:hint="eastAsia"/>
                      <w:lang w:val="en-US" w:eastAsia="zh-CN"/>
                    </w:rPr>
                    <w:t>4.</w:t>
                  </w:r>
                  <w:r>
                    <w:rPr>
                      <w:rFonts w:hint="default"/>
                      <w:lang w:val="en-US" w:eastAsia="zh-CN"/>
                    </w:rPr>
                    <w:t>严格限定施工区域，禁止超范围施工。</w:t>
                  </w:r>
                </w:p>
                <w:p w14:paraId="64695F4F">
                  <w:pPr>
                    <w:pStyle w:val="56"/>
                    <w:bidi w:val="0"/>
                    <w:jc w:val="left"/>
                    <w:rPr>
                      <w:rFonts w:hint="default"/>
                      <w:szCs w:val="21"/>
                      <w:lang w:val="en-US" w:eastAsia="zh-CN"/>
                    </w:rPr>
                  </w:pPr>
                  <w:r>
                    <w:rPr>
                      <w:rFonts w:hint="eastAsia"/>
                      <w:lang w:val="en-US" w:eastAsia="zh-CN"/>
                    </w:rPr>
                    <w:t>5.</w:t>
                  </w:r>
                  <w:r>
                    <w:rPr>
                      <w:rFonts w:hint="default"/>
                      <w:lang w:val="en-US" w:eastAsia="zh-CN"/>
                    </w:rPr>
                    <w:t>表土单独堆放，用于绿化，多余表土运至其他需要</w:t>
                  </w:r>
                  <w:r>
                    <w:rPr>
                      <w:rFonts w:hint="eastAsia"/>
                      <w:lang w:val="en-US" w:eastAsia="zh-CN"/>
                    </w:rPr>
                    <w:t>绿化场地</w:t>
                  </w:r>
                  <w:r>
                    <w:rPr>
                      <w:rFonts w:hint="default"/>
                      <w:lang w:val="en-US" w:eastAsia="zh-CN"/>
                    </w:rPr>
                    <w:t>。</w:t>
                  </w:r>
                </w:p>
              </w:tc>
            </w:tr>
            <w:tr w14:paraId="5B3F9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7" w:hRule="atLeast"/>
              </w:trPr>
              <w:tc>
                <w:tcPr>
                  <w:tcW w:w="402" w:type="pct"/>
                  <w:noWrap w:val="0"/>
                  <w:vAlign w:val="center"/>
                </w:tcPr>
                <w:p w14:paraId="7B543C59">
                  <w:pPr>
                    <w:pStyle w:val="56"/>
                    <w:bidi w:val="0"/>
                    <w:rPr>
                      <w:rFonts w:hint="default"/>
                      <w:color w:val="FF0000"/>
                      <w:lang w:val="en-US" w:eastAsia="zh-CN"/>
                    </w:rPr>
                  </w:pPr>
                  <w:r>
                    <w:rPr>
                      <w:rFonts w:hint="eastAsia"/>
                      <w:color w:val="FF0000"/>
                      <w:lang w:val="en-US" w:eastAsia="zh-CN"/>
                    </w:rPr>
                    <w:t>水土保持</w:t>
                  </w:r>
                </w:p>
              </w:tc>
              <w:tc>
                <w:tcPr>
                  <w:tcW w:w="569" w:type="pct"/>
                  <w:noWrap w:val="0"/>
                  <w:vAlign w:val="center"/>
                </w:tcPr>
                <w:p w14:paraId="25ABA598">
                  <w:pPr>
                    <w:pStyle w:val="56"/>
                    <w:bidi w:val="0"/>
                    <w:rPr>
                      <w:rFonts w:hint="default"/>
                      <w:color w:val="FF0000"/>
                      <w:lang w:val="en-US" w:eastAsia="zh-CN"/>
                    </w:rPr>
                  </w:pPr>
                  <w:r>
                    <w:rPr>
                      <w:rFonts w:hint="default"/>
                      <w:color w:val="FF0000"/>
                      <w:lang w:val="en-US" w:eastAsia="zh-CN"/>
                    </w:rPr>
                    <w:t>/</w:t>
                  </w:r>
                </w:p>
              </w:tc>
              <w:tc>
                <w:tcPr>
                  <w:tcW w:w="4028" w:type="pct"/>
                  <w:noWrap w:val="0"/>
                  <w:vAlign w:val="top"/>
                </w:tcPr>
                <w:p w14:paraId="5337DF65">
                  <w:pPr>
                    <w:pStyle w:val="56"/>
                    <w:bidi w:val="0"/>
                    <w:jc w:val="left"/>
                    <w:rPr>
                      <w:rFonts w:hint="default"/>
                      <w:color w:val="FF0000"/>
                      <w:lang w:val="en-US" w:eastAsia="zh-CN"/>
                    </w:rPr>
                  </w:pPr>
                  <w:r>
                    <w:rPr>
                      <w:rFonts w:hint="eastAsia"/>
                      <w:color w:val="FF0000"/>
                      <w:lang w:val="en-US" w:eastAsia="zh-CN"/>
                    </w:rPr>
                    <w:t>(一)土石方明挖自上至下分层分段依次进行，严禁自而上或采取倒悬的开挖方法，开挖坡度控制在稳定坡度范围内，对开挖软弱面及时进行工程防护。</w:t>
                  </w:r>
                </w:p>
                <w:p w14:paraId="68B64188">
                  <w:pPr>
                    <w:pStyle w:val="56"/>
                    <w:bidi w:val="0"/>
                    <w:jc w:val="left"/>
                    <w:rPr>
                      <w:rFonts w:hint="eastAsia"/>
                      <w:color w:val="FF0000"/>
                      <w:lang w:val="en-US" w:eastAsia="zh-CN"/>
                    </w:rPr>
                  </w:pPr>
                  <w:r>
                    <w:rPr>
                      <w:rFonts w:hint="eastAsia"/>
                      <w:color w:val="FF0000"/>
                      <w:lang w:val="en-US" w:eastAsia="zh-CN"/>
                    </w:rPr>
                    <w:t>(二)对于施工道路修建、场地平整、岸坡开挖等土石方工程在施工过程中坚持“先拦后挖”的原则，有效控制这些施工过程中的水土流失，减少渣土进入河中;边坡的护面和加固，为防止修整后的开挖边坡遭受雨水冲刷，边坡的护面和加固工作在雨季前按施工图纸要求完成。</w:t>
                  </w:r>
                </w:p>
                <w:p w14:paraId="43CEF50C">
                  <w:pPr>
                    <w:pStyle w:val="56"/>
                    <w:bidi w:val="0"/>
                    <w:jc w:val="left"/>
                    <w:rPr>
                      <w:rFonts w:hint="eastAsia"/>
                      <w:color w:val="FF0000"/>
                      <w:lang w:val="en-US" w:eastAsia="zh-CN"/>
                    </w:rPr>
                  </w:pPr>
                  <w:r>
                    <w:rPr>
                      <w:rFonts w:hint="eastAsia"/>
                      <w:color w:val="FF0000"/>
                      <w:lang w:val="en-US" w:eastAsia="zh-CN"/>
                    </w:rPr>
                    <w:t>(三)在每项开挖工程开始前，结合永久性排水设施的布置，规划好开挖区域内外的临时性排水措施，并在向监理人报送的施工措施计划中详细说明临时性排水措施的内容提交相应的图纸和资料。</w:t>
                  </w:r>
                </w:p>
                <w:p w14:paraId="4539C04F">
                  <w:pPr>
                    <w:pStyle w:val="56"/>
                    <w:bidi w:val="0"/>
                    <w:jc w:val="left"/>
                    <w:rPr>
                      <w:rFonts w:hint="eastAsia"/>
                      <w:color w:val="FF0000"/>
                      <w:lang w:val="en-US" w:eastAsia="zh-CN"/>
                    </w:rPr>
                  </w:pPr>
                  <w:r>
                    <w:rPr>
                      <w:rFonts w:hint="eastAsia"/>
                      <w:color w:val="FF0000"/>
                      <w:lang w:val="en-US" w:eastAsia="zh-CN"/>
                    </w:rPr>
                    <w:t>(四)在开挖边坡两侧设置临时排水沟，将施工期间的降水排至下游，防止边坡坍塌，引起水土流失。</w:t>
                  </w:r>
                </w:p>
                <w:p w14:paraId="63167D22">
                  <w:pPr>
                    <w:pStyle w:val="56"/>
                    <w:bidi w:val="0"/>
                    <w:jc w:val="left"/>
                    <w:rPr>
                      <w:rFonts w:hint="eastAsia"/>
                      <w:color w:val="FF0000"/>
                      <w:lang w:val="en-US" w:eastAsia="zh-CN"/>
                    </w:rPr>
                  </w:pPr>
                  <w:r>
                    <w:rPr>
                      <w:rFonts w:hint="eastAsia"/>
                      <w:color w:val="FF0000"/>
                      <w:lang w:val="en-US" w:eastAsia="zh-CN"/>
                    </w:rPr>
                    <w:t>(五)为防止施工期降水及地面径流给工程建设带来影响，设置排水沟拦截并排走施工生产区场内及周边降水和地表径流，在排水沟出口处设置蓄水兼沉沙的沉沙池淤积施工区产生的泥沙，并及时对其进行清淤。</w:t>
                  </w:r>
                </w:p>
                <w:p w14:paraId="508ACAA1">
                  <w:pPr>
                    <w:pStyle w:val="56"/>
                    <w:bidi w:val="0"/>
                    <w:jc w:val="left"/>
                    <w:rPr>
                      <w:rFonts w:hint="default"/>
                      <w:color w:val="FF0000"/>
                      <w:lang w:val="en-US" w:eastAsia="zh-CN"/>
                    </w:rPr>
                  </w:pPr>
                  <w:r>
                    <w:rPr>
                      <w:rFonts w:hint="eastAsia"/>
                      <w:color w:val="FF0000"/>
                      <w:lang w:val="en-US" w:eastAsia="zh-CN"/>
                    </w:rPr>
                    <w:t>(六)在雨季施工前，提前做好排水设施，在雨季施工中，采取临时排水措施，保护附近其他建筑物及其基础免受冲刷和侵蚀破坏。在开挖边坡遇有地下水渗流或涌水时，采取有效的引、排、截、堵措施。</w:t>
                  </w:r>
                </w:p>
              </w:tc>
            </w:tr>
          </w:tbl>
          <w:p w14:paraId="60A159D1">
            <w:pPr>
              <w:ind w:firstLine="480"/>
            </w:pPr>
          </w:p>
        </w:tc>
      </w:tr>
    </w:tbl>
    <w:p w14:paraId="579B114F">
      <w:pPr>
        <w:pStyle w:val="22"/>
        <w:ind w:firstLine="420"/>
        <w:jc w:val="cente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42"/>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15156"/>
      </w:tblGrid>
      <w:tr w14:paraId="2C2E6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7" w:hRule="atLeast"/>
        </w:trPr>
        <w:tc>
          <w:tcPr>
            <w:tcW w:w="138" w:type="pct"/>
            <w:vAlign w:val="center"/>
          </w:tcPr>
          <w:p w14:paraId="28A5F765">
            <w:pPr>
              <w:ind w:firstLine="0" w:firstLineChars="0"/>
              <w:jc w:val="center"/>
              <w:rPr>
                <w:rFonts w:ascii="宋体" w:hAnsi="宋体" w:cs="宋体"/>
                <w:b/>
              </w:rPr>
            </w:pPr>
            <w:r>
              <w:rPr>
                <w:rFonts w:hint="eastAsia" w:ascii="宋体" w:hAnsi="宋体" w:cs="宋体"/>
                <w:b/>
              </w:rPr>
              <w:t>运</w:t>
            </w:r>
          </w:p>
          <w:p w14:paraId="0BB348D9">
            <w:pPr>
              <w:ind w:firstLine="0" w:firstLineChars="0"/>
              <w:jc w:val="center"/>
              <w:rPr>
                <w:rFonts w:ascii="宋体" w:hAnsi="宋体" w:cs="宋体"/>
                <w:b/>
              </w:rPr>
            </w:pPr>
            <w:r>
              <w:rPr>
                <w:rFonts w:hint="eastAsia" w:ascii="宋体" w:hAnsi="宋体" w:cs="宋体"/>
                <w:b/>
              </w:rPr>
              <w:t>营</w:t>
            </w:r>
          </w:p>
          <w:p w14:paraId="7825DC1B">
            <w:pPr>
              <w:ind w:firstLine="0" w:firstLineChars="0"/>
              <w:jc w:val="center"/>
              <w:rPr>
                <w:rFonts w:ascii="宋体" w:hAnsi="宋体" w:cs="宋体"/>
                <w:b/>
              </w:rPr>
            </w:pPr>
            <w:r>
              <w:rPr>
                <w:rFonts w:hint="eastAsia" w:ascii="宋体" w:hAnsi="宋体" w:cs="宋体"/>
                <w:b/>
              </w:rPr>
              <w:t>期</w:t>
            </w:r>
          </w:p>
          <w:p w14:paraId="1C5E9FDC">
            <w:pPr>
              <w:ind w:firstLine="0" w:firstLineChars="0"/>
              <w:jc w:val="center"/>
              <w:rPr>
                <w:rFonts w:ascii="宋体" w:hAnsi="宋体" w:cs="宋体"/>
                <w:b/>
              </w:rPr>
            </w:pPr>
            <w:r>
              <w:rPr>
                <w:rFonts w:hint="eastAsia" w:ascii="宋体" w:hAnsi="宋体" w:cs="宋体"/>
                <w:b/>
              </w:rPr>
              <w:t>环</w:t>
            </w:r>
          </w:p>
          <w:p w14:paraId="542A695D">
            <w:pPr>
              <w:ind w:firstLine="0" w:firstLineChars="0"/>
              <w:jc w:val="center"/>
              <w:rPr>
                <w:rFonts w:ascii="宋体" w:hAnsi="宋体" w:cs="宋体"/>
                <w:b/>
              </w:rPr>
            </w:pPr>
            <w:r>
              <w:rPr>
                <w:rFonts w:hint="eastAsia" w:ascii="宋体" w:hAnsi="宋体" w:cs="宋体"/>
                <w:b/>
              </w:rPr>
              <w:t>境</w:t>
            </w:r>
          </w:p>
          <w:p w14:paraId="62AA5988">
            <w:pPr>
              <w:ind w:firstLine="0" w:firstLineChars="0"/>
              <w:jc w:val="center"/>
              <w:rPr>
                <w:rFonts w:ascii="宋体" w:hAnsi="宋体" w:cs="宋体"/>
                <w:b/>
              </w:rPr>
            </w:pPr>
            <w:r>
              <w:rPr>
                <w:rFonts w:hint="eastAsia" w:ascii="宋体" w:hAnsi="宋体" w:cs="宋体"/>
                <w:b/>
              </w:rPr>
              <w:t>影</w:t>
            </w:r>
          </w:p>
          <w:p w14:paraId="6D1D3761">
            <w:pPr>
              <w:ind w:firstLine="0" w:firstLineChars="0"/>
              <w:jc w:val="center"/>
              <w:rPr>
                <w:rFonts w:ascii="宋体" w:hAnsi="宋体" w:cs="宋体"/>
                <w:b/>
              </w:rPr>
            </w:pPr>
            <w:r>
              <w:rPr>
                <w:rFonts w:hint="eastAsia" w:ascii="宋体" w:hAnsi="宋体" w:cs="宋体"/>
                <w:b/>
              </w:rPr>
              <w:t>响</w:t>
            </w:r>
          </w:p>
          <w:p w14:paraId="15ECB6C9">
            <w:pPr>
              <w:ind w:firstLine="0" w:firstLineChars="0"/>
              <w:jc w:val="center"/>
              <w:rPr>
                <w:rFonts w:ascii="宋体" w:hAnsi="宋体" w:cs="宋体"/>
                <w:b/>
              </w:rPr>
            </w:pPr>
            <w:r>
              <w:rPr>
                <w:rFonts w:hint="eastAsia" w:ascii="宋体" w:hAnsi="宋体" w:cs="宋体"/>
                <w:b/>
              </w:rPr>
              <w:t>和</w:t>
            </w:r>
          </w:p>
          <w:p w14:paraId="49173514">
            <w:pPr>
              <w:ind w:firstLine="0" w:firstLineChars="0"/>
              <w:jc w:val="center"/>
              <w:rPr>
                <w:rFonts w:ascii="宋体" w:hAnsi="宋体" w:cs="宋体"/>
                <w:b/>
              </w:rPr>
            </w:pPr>
            <w:r>
              <w:rPr>
                <w:rFonts w:hint="eastAsia" w:ascii="宋体" w:hAnsi="宋体" w:cs="宋体"/>
                <w:b/>
              </w:rPr>
              <w:t>保</w:t>
            </w:r>
          </w:p>
          <w:p w14:paraId="2E0F0117">
            <w:pPr>
              <w:ind w:firstLine="0" w:firstLineChars="0"/>
              <w:jc w:val="center"/>
              <w:rPr>
                <w:rFonts w:ascii="宋体" w:hAnsi="宋体" w:cs="宋体"/>
                <w:b/>
              </w:rPr>
            </w:pPr>
            <w:r>
              <w:rPr>
                <w:rFonts w:hint="eastAsia" w:ascii="宋体" w:hAnsi="宋体" w:cs="宋体"/>
                <w:b/>
              </w:rPr>
              <w:t>护</w:t>
            </w:r>
          </w:p>
          <w:p w14:paraId="5C70812D">
            <w:pPr>
              <w:pStyle w:val="7"/>
              <w:ind w:firstLine="0" w:firstLineChars="0"/>
              <w:jc w:val="center"/>
              <w:rPr>
                <w:rFonts w:ascii="宋体" w:hAnsi="宋体" w:cs="宋体"/>
                <w:b/>
                <w:sz w:val="24"/>
              </w:rPr>
            </w:pPr>
            <w:r>
              <w:rPr>
                <w:rFonts w:hint="eastAsia" w:ascii="宋体" w:hAnsi="宋体" w:cs="宋体"/>
                <w:b/>
                <w:sz w:val="24"/>
              </w:rPr>
              <w:t>措</w:t>
            </w:r>
          </w:p>
          <w:p w14:paraId="366B4433">
            <w:pPr>
              <w:pStyle w:val="7"/>
              <w:ind w:firstLine="0" w:firstLineChars="0"/>
              <w:jc w:val="center"/>
            </w:pPr>
            <w:r>
              <w:rPr>
                <w:rFonts w:hint="eastAsia" w:ascii="宋体" w:hAnsi="宋体" w:cs="宋体"/>
                <w:b/>
                <w:sz w:val="24"/>
              </w:rPr>
              <w:t>施</w:t>
            </w:r>
          </w:p>
        </w:tc>
        <w:tc>
          <w:tcPr>
            <w:tcW w:w="4861" w:type="pct"/>
          </w:tcPr>
          <w:p w14:paraId="0D21E615">
            <w:pPr>
              <w:ind w:firstLine="480"/>
              <w:rPr>
                <w:b/>
                <w:bCs/>
              </w:rPr>
            </w:pPr>
            <w:r>
              <w:rPr>
                <w:rFonts w:hint="eastAsia"/>
                <w:b/>
                <w:bCs/>
              </w:rPr>
              <w:t>一、废气</w:t>
            </w:r>
          </w:p>
          <w:p w14:paraId="0C21407F">
            <w:pPr>
              <w:ind w:firstLine="480"/>
            </w:pPr>
            <w:r>
              <w:rPr>
                <w:rFonts w:hint="eastAsia"/>
              </w:rPr>
              <w:t>1、生产废气产排情况、治理措施、排放标准、排放口基本情况</w:t>
            </w:r>
          </w:p>
          <w:p w14:paraId="3B777662">
            <w:pPr>
              <w:pStyle w:val="59"/>
              <w:numPr>
                <w:ilvl w:val="0"/>
                <w:numId w:val="0"/>
              </w:numPr>
              <w:tabs>
                <w:tab w:val="left" w:pos="0"/>
              </w:tabs>
              <w:ind w:left="0" w:leftChars="0" w:firstLine="0" w:firstLineChars="0"/>
              <w:rPr>
                <w:b/>
                <w:bCs/>
                <w:sz w:val="21"/>
                <w:szCs w:val="21"/>
              </w:rPr>
            </w:pPr>
            <w:r>
              <w:rPr>
                <w:rFonts w:hint="default" w:ascii="Times New Roman" w:hAnsi="Times New Roman" w:eastAsia="宋体" w:cs="Times New Roman"/>
                <w:b/>
                <w:bCs/>
                <w:kern w:val="2"/>
                <w:sz w:val="21"/>
                <w:szCs w:val="21"/>
                <w:lang w:val="en-US" w:eastAsia="zh-CN" w:bidi="ar-SA"/>
              </w:rPr>
              <w:t>表4-</w:t>
            </w:r>
            <w:r>
              <w:rPr>
                <w:rFonts w:hint="eastAsia" w:cs="Times New Roman"/>
                <w:b/>
                <w:bCs/>
                <w:kern w:val="2"/>
                <w:sz w:val="21"/>
                <w:szCs w:val="21"/>
                <w:lang w:val="en-US" w:eastAsia="zh-CN" w:bidi="ar-SA"/>
              </w:rPr>
              <w:t>2</w:t>
            </w:r>
            <w:r>
              <w:rPr>
                <w:rFonts w:hint="default" w:ascii="Times New Roman" w:hAnsi="Times New Roman" w:eastAsia="宋体" w:cs="Times New Roman"/>
                <w:b/>
                <w:bCs/>
                <w:kern w:val="2"/>
                <w:sz w:val="21"/>
                <w:szCs w:val="21"/>
                <w:lang w:val="en-US" w:eastAsia="zh-CN" w:bidi="ar-SA"/>
              </w:rPr>
              <w:t xml:space="preserve">  </w:t>
            </w:r>
            <w:r>
              <w:rPr>
                <w:rFonts w:hint="eastAsia"/>
                <w:b/>
                <w:bCs/>
                <w:sz w:val="21"/>
                <w:szCs w:val="21"/>
              </w:rPr>
              <w:t>废气污染源产生、正常排放汇总</w:t>
            </w:r>
          </w:p>
          <w:tbl>
            <w:tblPr>
              <w:tblStyle w:val="4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041"/>
              <w:gridCol w:w="789"/>
              <w:gridCol w:w="853"/>
              <w:gridCol w:w="947"/>
              <w:gridCol w:w="689"/>
              <w:gridCol w:w="689"/>
              <w:gridCol w:w="636"/>
              <w:gridCol w:w="800"/>
              <w:gridCol w:w="3268"/>
              <w:gridCol w:w="742"/>
              <w:gridCol w:w="951"/>
              <w:gridCol w:w="916"/>
              <w:gridCol w:w="794"/>
              <w:gridCol w:w="795"/>
            </w:tblGrid>
            <w:tr w14:paraId="69D77A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jc w:val="center"/>
              </w:trPr>
              <w:tc>
                <w:tcPr>
                  <w:tcW w:w="0" w:type="auto"/>
                  <w:vMerge w:val="restart"/>
                  <w:tcBorders>
                    <w:tl2br w:val="nil"/>
                    <w:tr2bl w:val="nil"/>
                  </w:tcBorders>
                  <w:noWrap w:val="0"/>
                  <w:vAlign w:val="center"/>
                </w:tcPr>
                <w:p w14:paraId="091D8C51">
                  <w:pPr>
                    <w:pStyle w:val="56"/>
                    <w:bidi w:val="0"/>
                    <w:rPr>
                      <w:szCs w:val="21"/>
                    </w:rPr>
                  </w:pPr>
                  <w:r>
                    <w:rPr>
                      <w:rFonts w:hint="eastAsia"/>
                      <w:lang w:val="en-US" w:eastAsia="zh-CN"/>
                    </w:rPr>
                    <w:t>产排污环节</w:t>
                  </w:r>
                </w:p>
              </w:tc>
              <w:tc>
                <w:tcPr>
                  <w:tcW w:w="789" w:type="dxa"/>
                  <w:vMerge w:val="restart"/>
                  <w:tcBorders>
                    <w:tl2br w:val="nil"/>
                    <w:tr2bl w:val="nil"/>
                  </w:tcBorders>
                  <w:noWrap w:val="0"/>
                  <w:vAlign w:val="center"/>
                </w:tcPr>
                <w:p w14:paraId="06EFE203">
                  <w:pPr>
                    <w:pStyle w:val="56"/>
                    <w:bidi w:val="0"/>
                    <w:rPr>
                      <w:szCs w:val="21"/>
                    </w:rPr>
                  </w:pPr>
                  <w:r>
                    <w:rPr>
                      <w:rFonts w:hint="eastAsia"/>
                      <w:lang w:val="en-US" w:eastAsia="zh-CN"/>
                    </w:rPr>
                    <w:t>排放形式</w:t>
                  </w:r>
                </w:p>
              </w:tc>
              <w:tc>
                <w:tcPr>
                  <w:tcW w:w="853" w:type="dxa"/>
                  <w:vMerge w:val="restart"/>
                  <w:tcBorders>
                    <w:tl2br w:val="nil"/>
                    <w:tr2bl w:val="nil"/>
                  </w:tcBorders>
                  <w:noWrap w:val="0"/>
                  <w:vAlign w:val="center"/>
                </w:tcPr>
                <w:p w14:paraId="52387458">
                  <w:pPr>
                    <w:pStyle w:val="56"/>
                    <w:bidi w:val="0"/>
                    <w:rPr>
                      <w:szCs w:val="21"/>
                    </w:rPr>
                  </w:pPr>
                  <w:r>
                    <w:rPr>
                      <w:rFonts w:hint="eastAsia"/>
                      <w:lang w:val="en-US" w:eastAsia="zh-CN"/>
                    </w:rPr>
                    <w:t>污染物种类</w:t>
                  </w:r>
                </w:p>
              </w:tc>
              <w:tc>
                <w:tcPr>
                  <w:tcW w:w="0" w:type="auto"/>
                  <w:gridSpan w:val="3"/>
                  <w:tcBorders>
                    <w:tl2br w:val="nil"/>
                    <w:tr2bl w:val="nil"/>
                  </w:tcBorders>
                  <w:noWrap w:val="0"/>
                  <w:vAlign w:val="center"/>
                </w:tcPr>
                <w:p w14:paraId="7A10C29D">
                  <w:pPr>
                    <w:pStyle w:val="56"/>
                    <w:bidi w:val="0"/>
                    <w:rPr>
                      <w:szCs w:val="21"/>
                    </w:rPr>
                  </w:pPr>
                  <w:r>
                    <w:rPr>
                      <w:rFonts w:hint="eastAsia"/>
                      <w:lang w:val="en-US" w:eastAsia="zh-CN"/>
                    </w:rPr>
                    <w:t>污染物产生量和浓度</w:t>
                  </w:r>
                </w:p>
              </w:tc>
              <w:tc>
                <w:tcPr>
                  <w:tcW w:w="0" w:type="auto"/>
                  <w:gridSpan w:val="5"/>
                  <w:tcBorders>
                    <w:tl2br w:val="nil"/>
                    <w:tr2bl w:val="nil"/>
                  </w:tcBorders>
                  <w:noWrap w:val="0"/>
                  <w:vAlign w:val="center"/>
                </w:tcPr>
                <w:p w14:paraId="555CC0EC">
                  <w:pPr>
                    <w:pStyle w:val="56"/>
                    <w:bidi w:val="0"/>
                    <w:rPr>
                      <w:szCs w:val="21"/>
                    </w:rPr>
                  </w:pPr>
                  <w:r>
                    <w:rPr>
                      <w:rFonts w:hint="eastAsia"/>
                      <w:lang w:val="en-US" w:eastAsia="zh-CN"/>
                    </w:rPr>
                    <w:t>污染治理设施</w:t>
                  </w:r>
                </w:p>
              </w:tc>
              <w:tc>
                <w:tcPr>
                  <w:tcW w:w="0" w:type="auto"/>
                  <w:gridSpan w:val="3"/>
                  <w:tcBorders>
                    <w:tl2br w:val="nil"/>
                    <w:tr2bl w:val="nil"/>
                  </w:tcBorders>
                  <w:noWrap w:val="0"/>
                  <w:vAlign w:val="center"/>
                </w:tcPr>
                <w:p w14:paraId="60C8EE29">
                  <w:pPr>
                    <w:pStyle w:val="56"/>
                    <w:bidi w:val="0"/>
                    <w:rPr>
                      <w:szCs w:val="21"/>
                    </w:rPr>
                  </w:pPr>
                  <w:r>
                    <w:rPr>
                      <w:rFonts w:hint="eastAsia"/>
                      <w:lang w:val="en-US" w:eastAsia="zh-CN"/>
                    </w:rPr>
                    <w:t>污染物排放量和浓度</w:t>
                  </w:r>
                </w:p>
              </w:tc>
            </w:tr>
            <w:tr w14:paraId="5EF48E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0" w:type="auto"/>
                  <w:vMerge w:val="continue"/>
                  <w:tcBorders>
                    <w:tl2br w:val="nil"/>
                    <w:tr2bl w:val="nil"/>
                  </w:tcBorders>
                  <w:noWrap w:val="0"/>
                  <w:vAlign w:val="center"/>
                </w:tcPr>
                <w:p w14:paraId="79BEAE8E">
                  <w:pPr>
                    <w:pStyle w:val="56"/>
                    <w:bidi w:val="0"/>
                    <w:rPr>
                      <w:sz w:val="21"/>
                      <w:szCs w:val="21"/>
                    </w:rPr>
                  </w:pPr>
                </w:p>
              </w:tc>
              <w:tc>
                <w:tcPr>
                  <w:tcW w:w="789" w:type="dxa"/>
                  <w:vMerge w:val="continue"/>
                  <w:tcBorders>
                    <w:tl2br w:val="nil"/>
                    <w:tr2bl w:val="nil"/>
                  </w:tcBorders>
                  <w:noWrap w:val="0"/>
                  <w:vAlign w:val="center"/>
                </w:tcPr>
                <w:p w14:paraId="026A4566">
                  <w:pPr>
                    <w:pStyle w:val="56"/>
                    <w:bidi w:val="0"/>
                    <w:rPr>
                      <w:sz w:val="21"/>
                      <w:szCs w:val="21"/>
                    </w:rPr>
                  </w:pPr>
                </w:p>
              </w:tc>
              <w:tc>
                <w:tcPr>
                  <w:tcW w:w="853" w:type="dxa"/>
                  <w:vMerge w:val="continue"/>
                  <w:tcBorders>
                    <w:tl2br w:val="nil"/>
                    <w:tr2bl w:val="nil"/>
                  </w:tcBorders>
                  <w:noWrap w:val="0"/>
                  <w:vAlign w:val="center"/>
                </w:tcPr>
                <w:p w14:paraId="2CE8D249">
                  <w:pPr>
                    <w:pStyle w:val="56"/>
                    <w:bidi w:val="0"/>
                    <w:rPr>
                      <w:szCs w:val="21"/>
                    </w:rPr>
                  </w:pPr>
                </w:p>
              </w:tc>
              <w:tc>
                <w:tcPr>
                  <w:tcW w:w="0" w:type="auto"/>
                  <w:tcBorders>
                    <w:tl2br w:val="nil"/>
                    <w:tr2bl w:val="nil"/>
                  </w:tcBorders>
                  <w:noWrap w:val="0"/>
                  <w:vAlign w:val="center"/>
                </w:tcPr>
                <w:p w14:paraId="3FC038BF">
                  <w:pPr>
                    <w:pStyle w:val="56"/>
                    <w:bidi w:val="0"/>
                    <w:rPr>
                      <w:szCs w:val="21"/>
                    </w:rPr>
                  </w:pPr>
                  <w:r>
                    <w:rPr>
                      <w:rFonts w:hint="eastAsia"/>
                      <w:lang w:val="en-US" w:eastAsia="zh-CN"/>
                    </w:rPr>
                    <w:t>产生浓度</w:t>
                  </w:r>
                </w:p>
              </w:tc>
              <w:tc>
                <w:tcPr>
                  <w:tcW w:w="0" w:type="auto"/>
                  <w:gridSpan w:val="2"/>
                  <w:tcBorders>
                    <w:tl2br w:val="nil"/>
                    <w:tr2bl w:val="nil"/>
                  </w:tcBorders>
                  <w:noWrap w:val="0"/>
                  <w:vAlign w:val="center"/>
                </w:tcPr>
                <w:p w14:paraId="3E750155">
                  <w:pPr>
                    <w:pStyle w:val="56"/>
                    <w:bidi w:val="0"/>
                    <w:rPr>
                      <w:szCs w:val="21"/>
                    </w:rPr>
                  </w:pPr>
                  <w:r>
                    <w:rPr>
                      <w:rFonts w:hint="eastAsia"/>
                      <w:lang w:val="en-US" w:eastAsia="zh-CN"/>
                    </w:rPr>
                    <w:t>产生量</w:t>
                  </w:r>
                </w:p>
              </w:tc>
              <w:tc>
                <w:tcPr>
                  <w:tcW w:w="0" w:type="auto"/>
                  <w:tcBorders>
                    <w:tl2br w:val="nil"/>
                    <w:tr2bl w:val="nil"/>
                  </w:tcBorders>
                  <w:noWrap w:val="0"/>
                  <w:vAlign w:val="center"/>
                </w:tcPr>
                <w:p w14:paraId="21ADA9D2">
                  <w:pPr>
                    <w:pStyle w:val="56"/>
                    <w:bidi w:val="0"/>
                    <w:rPr>
                      <w:rFonts w:hint="eastAsia"/>
                      <w:szCs w:val="21"/>
                    </w:rPr>
                  </w:pPr>
                  <w:r>
                    <w:rPr>
                      <w:rFonts w:hint="eastAsia"/>
                      <w:lang w:val="en-US" w:eastAsia="zh-CN"/>
                    </w:rPr>
                    <w:t>风量</w:t>
                  </w:r>
                </w:p>
              </w:tc>
              <w:tc>
                <w:tcPr>
                  <w:tcW w:w="0" w:type="auto"/>
                  <w:tcBorders>
                    <w:tl2br w:val="nil"/>
                    <w:tr2bl w:val="nil"/>
                  </w:tcBorders>
                  <w:noWrap w:val="0"/>
                  <w:vAlign w:val="center"/>
                </w:tcPr>
                <w:p w14:paraId="726BAFB8">
                  <w:pPr>
                    <w:pStyle w:val="56"/>
                    <w:bidi w:val="0"/>
                    <w:rPr>
                      <w:szCs w:val="21"/>
                    </w:rPr>
                  </w:pPr>
                  <w:r>
                    <w:rPr>
                      <w:rFonts w:hint="eastAsia"/>
                      <w:lang w:val="en-US" w:eastAsia="zh-CN"/>
                    </w:rPr>
                    <w:t>收集效率</w:t>
                  </w:r>
                </w:p>
              </w:tc>
              <w:tc>
                <w:tcPr>
                  <w:tcW w:w="0" w:type="auto"/>
                  <w:vMerge w:val="restart"/>
                  <w:tcBorders>
                    <w:tl2br w:val="nil"/>
                    <w:tr2bl w:val="nil"/>
                  </w:tcBorders>
                  <w:noWrap w:val="0"/>
                  <w:vAlign w:val="center"/>
                </w:tcPr>
                <w:p w14:paraId="018371C7">
                  <w:pPr>
                    <w:pStyle w:val="56"/>
                    <w:bidi w:val="0"/>
                    <w:rPr>
                      <w:rFonts w:hint="eastAsia"/>
                      <w:szCs w:val="21"/>
                      <w:lang w:val="en-US" w:eastAsia="zh-CN"/>
                    </w:rPr>
                  </w:pPr>
                  <w:r>
                    <w:rPr>
                      <w:rFonts w:hint="eastAsia"/>
                      <w:lang w:val="en-US" w:eastAsia="zh-CN"/>
                    </w:rPr>
                    <w:t>处理工艺</w:t>
                  </w:r>
                </w:p>
              </w:tc>
              <w:tc>
                <w:tcPr>
                  <w:tcW w:w="0" w:type="auto"/>
                  <w:tcBorders>
                    <w:tl2br w:val="nil"/>
                    <w:tr2bl w:val="nil"/>
                  </w:tcBorders>
                  <w:noWrap w:val="0"/>
                  <w:vAlign w:val="center"/>
                </w:tcPr>
                <w:p w14:paraId="2870EBC8">
                  <w:pPr>
                    <w:pStyle w:val="56"/>
                    <w:bidi w:val="0"/>
                    <w:rPr>
                      <w:szCs w:val="21"/>
                    </w:rPr>
                  </w:pPr>
                  <w:r>
                    <w:rPr>
                      <w:rFonts w:hint="eastAsia"/>
                      <w:lang w:val="en-US" w:eastAsia="zh-CN"/>
                    </w:rPr>
                    <w:t>去除效率</w:t>
                  </w:r>
                </w:p>
              </w:tc>
              <w:tc>
                <w:tcPr>
                  <w:tcW w:w="0" w:type="auto"/>
                  <w:vMerge w:val="restart"/>
                  <w:tcBorders>
                    <w:tl2br w:val="nil"/>
                    <w:tr2bl w:val="nil"/>
                  </w:tcBorders>
                  <w:noWrap w:val="0"/>
                  <w:vAlign w:val="center"/>
                </w:tcPr>
                <w:p w14:paraId="74ABDF23">
                  <w:pPr>
                    <w:pStyle w:val="56"/>
                    <w:bidi w:val="0"/>
                    <w:rPr>
                      <w:szCs w:val="21"/>
                    </w:rPr>
                  </w:pPr>
                  <w:r>
                    <w:rPr>
                      <w:rFonts w:hint="eastAsia"/>
                      <w:lang w:val="en-US" w:eastAsia="zh-CN"/>
                    </w:rPr>
                    <w:t>是否可行技术</w:t>
                  </w:r>
                </w:p>
              </w:tc>
              <w:tc>
                <w:tcPr>
                  <w:tcW w:w="0" w:type="auto"/>
                  <w:tcBorders>
                    <w:tl2br w:val="nil"/>
                    <w:tr2bl w:val="nil"/>
                  </w:tcBorders>
                  <w:noWrap w:val="0"/>
                  <w:vAlign w:val="center"/>
                </w:tcPr>
                <w:p w14:paraId="3A002F02">
                  <w:pPr>
                    <w:pStyle w:val="56"/>
                    <w:bidi w:val="0"/>
                    <w:rPr>
                      <w:szCs w:val="21"/>
                    </w:rPr>
                  </w:pPr>
                  <w:r>
                    <w:rPr>
                      <w:rFonts w:hint="eastAsia"/>
                      <w:lang w:val="en-US" w:eastAsia="zh-CN"/>
                    </w:rPr>
                    <w:t>排放浓度</w:t>
                  </w:r>
                </w:p>
              </w:tc>
              <w:tc>
                <w:tcPr>
                  <w:tcW w:w="0" w:type="auto"/>
                  <w:gridSpan w:val="2"/>
                  <w:tcBorders>
                    <w:tl2br w:val="nil"/>
                    <w:tr2bl w:val="nil"/>
                  </w:tcBorders>
                  <w:noWrap w:val="0"/>
                  <w:vAlign w:val="center"/>
                </w:tcPr>
                <w:p w14:paraId="5219EB51">
                  <w:pPr>
                    <w:pStyle w:val="56"/>
                    <w:bidi w:val="0"/>
                    <w:rPr>
                      <w:szCs w:val="21"/>
                    </w:rPr>
                  </w:pPr>
                  <w:r>
                    <w:rPr>
                      <w:rFonts w:hint="eastAsia"/>
                      <w:lang w:val="en-US" w:eastAsia="zh-CN"/>
                    </w:rPr>
                    <w:t>排放量</w:t>
                  </w:r>
                </w:p>
              </w:tc>
            </w:tr>
            <w:tr w14:paraId="0ACB76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0" w:type="auto"/>
                  <w:vMerge w:val="continue"/>
                  <w:tcBorders>
                    <w:tl2br w:val="nil"/>
                    <w:tr2bl w:val="nil"/>
                  </w:tcBorders>
                  <w:noWrap w:val="0"/>
                  <w:vAlign w:val="center"/>
                </w:tcPr>
                <w:p w14:paraId="6BD57FE4">
                  <w:pPr>
                    <w:pStyle w:val="56"/>
                    <w:bidi w:val="0"/>
                    <w:rPr>
                      <w:sz w:val="21"/>
                      <w:szCs w:val="21"/>
                    </w:rPr>
                  </w:pPr>
                </w:p>
              </w:tc>
              <w:tc>
                <w:tcPr>
                  <w:tcW w:w="789" w:type="dxa"/>
                  <w:vMerge w:val="continue"/>
                  <w:tcBorders>
                    <w:tl2br w:val="nil"/>
                    <w:tr2bl w:val="nil"/>
                  </w:tcBorders>
                  <w:noWrap w:val="0"/>
                  <w:vAlign w:val="center"/>
                </w:tcPr>
                <w:p w14:paraId="35442FC1">
                  <w:pPr>
                    <w:pStyle w:val="56"/>
                    <w:bidi w:val="0"/>
                    <w:rPr>
                      <w:sz w:val="21"/>
                      <w:szCs w:val="21"/>
                    </w:rPr>
                  </w:pPr>
                </w:p>
              </w:tc>
              <w:tc>
                <w:tcPr>
                  <w:tcW w:w="853" w:type="dxa"/>
                  <w:vMerge w:val="continue"/>
                  <w:tcBorders>
                    <w:tl2br w:val="nil"/>
                    <w:tr2bl w:val="nil"/>
                  </w:tcBorders>
                  <w:noWrap w:val="0"/>
                  <w:vAlign w:val="center"/>
                </w:tcPr>
                <w:p w14:paraId="51F45E50">
                  <w:pPr>
                    <w:pStyle w:val="56"/>
                    <w:bidi w:val="0"/>
                    <w:rPr>
                      <w:sz w:val="21"/>
                      <w:szCs w:val="21"/>
                    </w:rPr>
                  </w:pPr>
                </w:p>
              </w:tc>
              <w:tc>
                <w:tcPr>
                  <w:tcW w:w="0" w:type="auto"/>
                  <w:tcBorders>
                    <w:tl2br w:val="nil"/>
                    <w:tr2bl w:val="nil"/>
                  </w:tcBorders>
                  <w:noWrap w:val="0"/>
                  <w:vAlign w:val="center"/>
                </w:tcPr>
                <w:p w14:paraId="1F34C0D1">
                  <w:pPr>
                    <w:pStyle w:val="56"/>
                    <w:bidi w:val="0"/>
                    <w:rPr>
                      <w:szCs w:val="21"/>
                    </w:rPr>
                  </w:pPr>
                  <w:r>
                    <w:rPr>
                      <w:rFonts w:hint="default"/>
                      <w:lang w:val="en-US" w:eastAsia="zh-CN"/>
                    </w:rPr>
                    <w:t>mg/m</w:t>
                  </w:r>
                  <w:r>
                    <w:rPr>
                      <w:rFonts w:hint="default"/>
                      <w:vertAlign w:val="superscript"/>
                      <w:lang w:val="en-US" w:eastAsia="zh-CN"/>
                    </w:rPr>
                    <w:t>3</w:t>
                  </w:r>
                </w:p>
              </w:tc>
              <w:tc>
                <w:tcPr>
                  <w:tcW w:w="0" w:type="auto"/>
                  <w:tcBorders>
                    <w:tl2br w:val="nil"/>
                    <w:tr2bl w:val="nil"/>
                  </w:tcBorders>
                  <w:noWrap w:val="0"/>
                  <w:vAlign w:val="center"/>
                </w:tcPr>
                <w:p w14:paraId="21765013">
                  <w:pPr>
                    <w:pStyle w:val="56"/>
                    <w:bidi w:val="0"/>
                    <w:rPr>
                      <w:szCs w:val="21"/>
                    </w:rPr>
                  </w:pPr>
                  <w:r>
                    <w:rPr>
                      <w:rFonts w:hint="default"/>
                      <w:lang w:val="en-US" w:eastAsia="zh-CN"/>
                    </w:rPr>
                    <w:t>kg/h</w:t>
                  </w:r>
                </w:p>
              </w:tc>
              <w:tc>
                <w:tcPr>
                  <w:tcW w:w="0" w:type="auto"/>
                  <w:tcBorders>
                    <w:tl2br w:val="nil"/>
                    <w:tr2bl w:val="nil"/>
                  </w:tcBorders>
                  <w:noWrap w:val="0"/>
                  <w:vAlign w:val="center"/>
                </w:tcPr>
                <w:p w14:paraId="40569995">
                  <w:pPr>
                    <w:pStyle w:val="56"/>
                    <w:bidi w:val="0"/>
                    <w:rPr>
                      <w:szCs w:val="21"/>
                    </w:rPr>
                  </w:pPr>
                  <w:r>
                    <w:rPr>
                      <w:rFonts w:hint="default"/>
                      <w:lang w:val="en-US" w:eastAsia="zh-CN"/>
                    </w:rPr>
                    <w:t>t/a</w:t>
                  </w:r>
                </w:p>
              </w:tc>
              <w:tc>
                <w:tcPr>
                  <w:tcW w:w="0" w:type="auto"/>
                  <w:tcBorders>
                    <w:tl2br w:val="nil"/>
                    <w:tr2bl w:val="nil"/>
                  </w:tcBorders>
                  <w:noWrap w:val="0"/>
                  <w:vAlign w:val="center"/>
                </w:tcPr>
                <w:p w14:paraId="2FEBC072">
                  <w:pPr>
                    <w:pStyle w:val="56"/>
                    <w:bidi w:val="0"/>
                    <w:rPr>
                      <w:szCs w:val="21"/>
                    </w:rPr>
                  </w:pPr>
                  <w:r>
                    <w:rPr>
                      <w:rFonts w:hint="default"/>
                      <w:lang w:val="en-US" w:eastAsia="zh-CN"/>
                    </w:rPr>
                    <w:t>m</w:t>
                  </w:r>
                  <w:r>
                    <w:rPr>
                      <w:rFonts w:hint="default"/>
                      <w:vertAlign w:val="superscript"/>
                      <w:lang w:val="en-US" w:eastAsia="zh-CN"/>
                    </w:rPr>
                    <w:t>3</w:t>
                  </w:r>
                  <w:r>
                    <w:rPr>
                      <w:rFonts w:hint="default"/>
                      <w:lang w:val="en-US" w:eastAsia="zh-CN"/>
                    </w:rPr>
                    <w:t>/h</w:t>
                  </w:r>
                </w:p>
              </w:tc>
              <w:tc>
                <w:tcPr>
                  <w:tcW w:w="0" w:type="auto"/>
                  <w:tcBorders>
                    <w:tl2br w:val="nil"/>
                    <w:tr2bl w:val="nil"/>
                  </w:tcBorders>
                  <w:noWrap w:val="0"/>
                  <w:vAlign w:val="center"/>
                </w:tcPr>
                <w:p w14:paraId="24619638">
                  <w:pPr>
                    <w:pStyle w:val="56"/>
                    <w:bidi w:val="0"/>
                    <w:rPr>
                      <w:szCs w:val="21"/>
                    </w:rPr>
                  </w:pPr>
                  <w:r>
                    <w:rPr>
                      <w:rFonts w:hint="default"/>
                      <w:lang w:val="en-US" w:eastAsia="zh-CN"/>
                    </w:rPr>
                    <w:t>%</w:t>
                  </w:r>
                </w:p>
              </w:tc>
              <w:tc>
                <w:tcPr>
                  <w:tcW w:w="0" w:type="auto"/>
                  <w:vMerge w:val="continue"/>
                  <w:tcBorders>
                    <w:tl2br w:val="nil"/>
                    <w:tr2bl w:val="nil"/>
                  </w:tcBorders>
                  <w:noWrap w:val="0"/>
                  <w:vAlign w:val="center"/>
                </w:tcPr>
                <w:p w14:paraId="6EB1DD57">
                  <w:pPr>
                    <w:pStyle w:val="56"/>
                    <w:bidi w:val="0"/>
                    <w:rPr>
                      <w:sz w:val="21"/>
                      <w:szCs w:val="21"/>
                    </w:rPr>
                  </w:pPr>
                </w:p>
              </w:tc>
              <w:tc>
                <w:tcPr>
                  <w:tcW w:w="0" w:type="auto"/>
                  <w:tcBorders>
                    <w:tl2br w:val="nil"/>
                    <w:tr2bl w:val="nil"/>
                  </w:tcBorders>
                  <w:noWrap w:val="0"/>
                  <w:vAlign w:val="center"/>
                </w:tcPr>
                <w:p w14:paraId="7FBF77BD">
                  <w:pPr>
                    <w:pStyle w:val="56"/>
                    <w:bidi w:val="0"/>
                    <w:rPr>
                      <w:szCs w:val="21"/>
                    </w:rPr>
                  </w:pPr>
                  <w:r>
                    <w:rPr>
                      <w:rFonts w:hint="default"/>
                      <w:lang w:val="en-US" w:eastAsia="zh-CN"/>
                    </w:rPr>
                    <w:t>%</w:t>
                  </w:r>
                </w:p>
              </w:tc>
              <w:tc>
                <w:tcPr>
                  <w:tcW w:w="0" w:type="auto"/>
                  <w:vMerge w:val="continue"/>
                  <w:tcBorders>
                    <w:tl2br w:val="nil"/>
                    <w:tr2bl w:val="nil"/>
                  </w:tcBorders>
                  <w:noWrap w:val="0"/>
                  <w:vAlign w:val="center"/>
                </w:tcPr>
                <w:p w14:paraId="2C1E5D93">
                  <w:pPr>
                    <w:pStyle w:val="56"/>
                    <w:bidi w:val="0"/>
                    <w:rPr>
                      <w:sz w:val="21"/>
                      <w:szCs w:val="21"/>
                    </w:rPr>
                  </w:pPr>
                </w:p>
              </w:tc>
              <w:tc>
                <w:tcPr>
                  <w:tcW w:w="0" w:type="auto"/>
                  <w:tcBorders>
                    <w:tl2br w:val="nil"/>
                    <w:tr2bl w:val="nil"/>
                  </w:tcBorders>
                  <w:noWrap w:val="0"/>
                  <w:vAlign w:val="center"/>
                </w:tcPr>
                <w:p w14:paraId="588E49EB">
                  <w:pPr>
                    <w:pStyle w:val="56"/>
                    <w:bidi w:val="0"/>
                    <w:rPr>
                      <w:szCs w:val="21"/>
                    </w:rPr>
                  </w:pPr>
                  <w:r>
                    <w:rPr>
                      <w:rFonts w:hint="default"/>
                      <w:lang w:val="en-US" w:eastAsia="zh-CN"/>
                    </w:rPr>
                    <w:t>mg/m</w:t>
                  </w:r>
                  <w:r>
                    <w:rPr>
                      <w:rFonts w:hint="default"/>
                      <w:vertAlign w:val="superscript"/>
                      <w:lang w:val="en-US" w:eastAsia="zh-CN"/>
                    </w:rPr>
                    <w:t>3</w:t>
                  </w:r>
                </w:p>
              </w:tc>
              <w:tc>
                <w:tcPr>
                  <w:tcW w:w="0" w:type="auto"/>
                  <w:tcBorders>
                    <w:tl2br w:val="nil"/>
                    <w:tr2bl w:val="nil"/>
                  </w:tcBorders>
                  <w:noWrap w:val="0"/>
                  <w:vAlign w:val="center"/>
                </w:tcPr>
                <w:p w14:paraId="2E03B7F7">
                  <w:pPr>
                    <w:pStyle w:val="56"/>
                    <w:bidi w:val="0"/>
                    <w:rPr>
                      <w:szCs w:val="21"/>
                    </w:rPr>
                  </w:pPr>
                  <w:r>
                    <w:rPr>
                      <w:rFonts w:hint="default"/>
                      <w:lang w:val="en-US" w:eastAsia="zh-CN"/>
                    </w:rPr>
                    <w:t>kg/h</w:t>
                  </w:r>
                </w:p>
              </w:tc>
              <w:tc>
                <w:tcPr>
                  <w:tcW w:w="0" w:type="auto"/>
                  <w:tcBorders>
                    <w:tl2br w:val="nil"/>
                    <w:tr2bl w:val="nil"/>
                  </w:tcBorders>
                  <w:noWrap w:val="0"/>
                  <w:vAlign w:val="center"/>
                </w:tcPr>
                <w:p w14:paraId="2A5D2711">
                  <w:pPr>
                    <w:pStyle w:val="56"/>
                    <w:bidi w:val="0"/>
                    <w:rPr>
                      <w:szCs w:val="21"/>
                    </w:rPr>
                  </w:pPr>
                  <w:r>
                    <w:rPr>
                      <w:rFonts w:hint="default"/>
                      <w:lang w:val="en-US" w:eastAsia="zh-CN"/>
                    </w:rPr>
                    <w:t>t/a</w:t>
                  </w:r>
                </w:p>
              </w:tc>
            </w:tr>
            <w:tr w14:paraId="388A4C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0" w:type="auto"/>
                  <w:tcBorders>
                    <w:tl2br w:val="nil"/>
                    <w:tr2bl w:val="nil"/>
                  </w:tcBorders>
                  <w:noWrap w:val="0"/>
                  <w:vAlign w:val="center"/>
                </w:tcPr>
                <w:p w14:paraId="241A24D1">
                  <w:pPr>
                    <w:pStyle w:val="56"/>
                    <w:bidi w:val="0"/>
                    <w:rPr>
                      <w:rFonts w:hint="default"/>
                      <w:szCs w:val="21"/>
                      <w:lang w:val="en-US" w:eastAsia="zh-CN"/>
                    </w:rPr>
                  </w:pPr>
                  <w:r>
                    <w:rPr>
                      <w:rFonts w:hint="eastAsia"/>
                      <w:lang w:val="en-US" w:eastAsia="zh-CN"/>
                    </w:rPr>
                    <w:t>卸料</w:t>
                  </w:r>
                </w:p>
              </w:tc>
              <w:tc>
                <w:tcPr>
                  <w:tcW w:w="789" w:type="dxa"/>
                  <w:tcBorders>
                    <w:tl2br w:val="nil"/>
                    <w:tr2bl w:val="nil"/>
                  </w:tcBorders>
                  <w:noWrap w:val="0"/>
                  <w:vAlign w:val="center"/>
                </w:tcPr>
                <w:p w14:paraId="082F1A7D">
                  <w:pPr>
                    <w:pStyle w:val="56"/>
                    <w:bidi w:val="0"/>
                    <w:rPr>
                      <w:rFonts w:hint="eastAsia"/>
                      <w:szCs w:val="21"/>
                    </w:rPr>
                  </w:pPr>
                  <w:r>
                    <w:rPr>
                      <w:rFonts w:hint="eastAsia"/>
                      <w:lang w:val="en-US" w:eastAsia="zh-CN"/>
                    </w:rPr>
                    <w:t>无组织</w:t>
                  </w:r>
                </w:p>
              </w:tc>
              <w:tc>
                <w:tcPr>
                  <w:tcW w:w="853" w:type="dxa"/>
                  <w:tcBorders>
                    <w:tl2br w:val="nil"/>
                    <w:tr2bl w:val="nil"/>
                  </w:tcBorders>
                  <w:noWrap w:val="0"/>
                  <w:vAlign w:val="center"/>
                </w:tcPr>
                <w:p w14:paraId="33A14788">
                  <w:pPr>
                    <w:pStyle w:val="56"/>
                    <w:bidi w:val="0"/>
                    <w:rPr>
                      <w:rFonts w:hint="eastAsia"/>
                      <w:szCs w:val="21"/>
                    </w:rPr>
                  </w:pPr>
                  <w:r>
                    <w:rPr>
                      <w:rFonts w:hint="eastAsia"/>
                      <w:lang w:val="en-US" w:eastAsia="zh-CN"/>
                    </w:rPr>
                    <w:t>颗粒物</w:t>
                  </w:r>
                </w:p>
              </w:tc>
              <w:tc>
                <w:tcPr>
                  <w:tcW w:w="0" w:type="auto"/>
                  <w:tcBorders>
                    <w:tl2br w:val="nil"/>
                    <w:tr2bl w:val="nil"/>
                  </w:tcBorders>
                  <w:noWrap w:val="0"/>
                  <w:vAlign w:val="center"/>
                </w:tcPr>
                <w:p w14:paraId="46DC02B3">
                  <w:pPr>
                    <w:pStyle w:val="56"/>
                    <w:bidi w:val="0"/>
                    <w:rPr>
                      <w:szCs w:val="21"/>
                    </w:rPr>
                  </w:pPr>
                  <w:r>
                    <w:rPr>
                      <w:rFonts w:hint="default"/>
                      <w:lang w:val="en-US" w:eastAsia="zh-CN"/>
                    </w:rPr>
                    <w:t>/</w:t>
                  </w:r>
                </w:p>
              </w:tc>
              <w:tc>
                <w:tcPr>
                  <w:tcW w:w="0" w:type="auto"/>
                  <w:tcBorders>
                    <w:tl2br w:val="nil"/>
                    <w:tr2bl w:val="nil"/>
                  </w:tcBorders>
                  <w:noWrap w:val="0"/>
                  <w:vAlign w:val="center"/>
                </w:tcPr>
                <w:p w14:paraId="3EC7A93A">
                  <w:pPr>
                    <w:pStyle w:val="56"/>
                    <w:bidi w:val="0"/>
                    <w:rPr>
                      <w:rFonts w:hint="default"/>
                      <w:szCs w:val="21"/>
                      <w:lang w:val="en-US" w:eastAsia="zh-CN"/>
                    </w:rPr>
                  </w:pPr>
                  <w:r>
                    <w:rPr>
                      <w:rFonts w:hint="default"/>
                      <w:lang w:val="en-US" w:eastAsia="zh-CN"/>
                    </w:rPr>
                    <w:t>0.888</w:t>
                  </w:r>
                </w:p>
              </w:tc>
              <w:tc>
                <w:tcPr>
                  <w:tcW w:w="0" w:type="auto"/>
                  <w:tcBorders>
                    <w:tl2br w:val="nil"/>
                    <w:tr2bl w:val="nil"/>
                  </w:tcBorders>
                  <w:noWrap w:val="0"/>
                  <w:vAlign w:val="center"/>
                </w:tcPr>
                <w:p w14:paraId="46DF7E23">
                  <w:pPr>
                    <w:pStyle w:val="56"/>
                    <w:bidi w:val="0"/>
                    <w:rPr>
                      <w:rFonts w:hint="default"/>
                      <w:szCs w:val="21"/>
                      <w:lang w:val="en-US" w:eastAsia="zh-CN"/>
                    </w:rPr>
                  </w:pPr>
                  <w:r>
                    <w:rPr>
                      <w:rFonts w:hint="default"/>
                      <w:lang w:val="en-US" w:eastAsia="zh-CN"/>
                    </w:rPr>
                    <w:t>2.132</w:t>
                  </w:r>
                </w:p>
              </w:tc>
              <w:tc>
                <w:tcPr>
                  <w:tcW w:w="0" w:type="auto"/>
                  <w:tcBorders>
                    <w:tl2br w:val="nil"/>
                    <w:tr2bl w:val="nil"/>
                  </w:tcBorders>
                  <w:noWrap w:val="0"/>
                  <w:vAlign w:val="center"/>
                </w:tcPr>
                <w:p w14:paraId="73A963C6">
                  <w:pPr>
                    <w:pStyle w:val="56"/>
                    <w:bidi w:val="0"/>
                    <w:rPr>
                      <w:szCs w:val="21"/>
                    </w:rPr>
                  </w:pPr>
                  <w:r>
                    <w:rPr>
                      <w:rFonts w:hint="default"/>
                      <w:lang w:val="en-US" w:eastAsia="zh-CN"/>
                    </w:rPr>
                    <w:t>/</w:t>
                  </w:r>
                </w:p>
              </w:tc>
              <w:tc>
                <w:tcPr>
                  <w:tcW w:w="0" w:type="auto"/>
                  <w:tcBorders>
                    <w:tl2br w:val="nil"/>
                    <w:tr2bl w:val="nil"/>
                  </w:tcBorders>
                  <w:noWrap w:val="0"/>
                  <w:vAlign w:val="center"/>
                </w:tcPr>
                <w:p w14:paraId="0A17A2B1">
                  <w:pPr>
                    <w:pStyle w:val="56"/>
                    <w:bidi w:val="0"/>
                    <w:rPr>
                      <w:rFonts w:hint="default"/>
                      <w:szCs w:val="21"/>
                      <w:lang w:val="en-US" w:eastAsia="zh-CN"/>
                    </w:rPr>
                  </w:pPr>
                  <w:r>
                    <w:rPr>
                      <w:rFonts w:hint="default"/>
                      <w:lang w:val="en-US" w:eastAsia="zh-CN"/>
                    </w:rPr>
                    <w:t>99</w:t>
                  </w:r>
                </w:p>
              </w:tc>
              <w:tc>
                <w:tcPr>
                  <w:tcW w:w="0" w:type="auto"/>
                  <w:tcBorders>
                    <w:tl2br w:val="nil"/>
                    <w:tr2bl w:val="nil"/>
                  </w:tcBorders>
                  <w:noWrap w:val="0"/>
                  <w:vAlign w:val="center"/>
                </w:tcPr>
                <w:p w14:paraId="3670DE31">
                  <w:pPr>
                    <w:pStyle w:val="56"/>
                    <w:bidi w:val="0"/>
                    <w:rPr>
                      <w:rFonts w:hint="eastAsia"/>
                      <w:szCs w:val="21"/>
                      <w:lang w:val="en-US" w:eastAsia="zh-CN"/>
                    </w:rPr>
                  </w:pPr>
                  <w:r>
                    <w:rPr>
                      <w:rFonts w:hint="eastAsia"/>
                      <w:lang w:val="en-US" w:eastAsia="zh-CN"/>
                    </w:rPr>
                    <w:t>车间密闭+洒水降尘</w:t>
                  </w:r>
                </w:p>
              </w:tc>
              <w:tc>
                <w:tcPr>
                  <w:tcW w:w="0" w:type="auto"/>
                  <w:tcBorders>
                    <w:tl2br w:val="nil"/>
                    <w:tr2bl w:val="nil"/>
                  </w:tcBorders>
                  <w:noWrap w:val="0"/>
                  <w:vAlign w:val="center"/>
                </w:tcPr>
                <w:p w14:paraId="32943EF9">
                  <w:pPr>
                    <w:pStyle w:val="56"/>
                    <w:bidi w:val="0"/>
                    <w:rPr>
                      <w:rFonts w:hint="default"/>
                      <w:szCs w:val="21"/>
                      <w:lang w:val="en-US"/>
                    </w:rPr>
                  </w:pPr>
                  <w:r>
                    <w:rPr>
                      <w:rFonts w:hint="default"/>
                      <w:lang w:val="en-US" w:eastAsia="zh-CN"/>
                    </w:rPr>
                    <w:t>74</w:t>
                  </w:r>
                </w:p>
              </w:tc>
              <w:tc>
                <w:tcPr>
                  <w:tcW w:w="0" w:type="auto"/>
                  <w:tcBorders>
                    <w:tl2br w:val="nil"/>
                    <w:tr2bl w:val="nil"/>
                  </w:tcBorders>
                  <w:noWrap w:val="0"/>
                  <w:vAlign w:val="center"/>
                </w:tcPr>
                <w:p w14:paraId="46657B66">
                  <w:pPr>
                    <w:pStyle w:val="56"/>
                    <w:bidi w:val="0"/>
                    <w:rPr>
                      <w:rFonts w:hint="eastAsia"/>
                      <w:szCs w:val="21"/>
                      <w:lang w:eastAsia="zh-CN"/>
                    </w:rPr>
                  </w:pPr>
                  <w:r>
                    <w:rPr>
                      <w:rFonts w:hint="eastAsia"/>
                      <w:lang w:val="en-US" w:eastAsia="zh-CN"/>
                    </w:rPr>
                    <w:t>是</w:t>
                  </w:r>
                </w:p>
              </w:tc>
              <w:tc>
                <w:tcPr>
                  <w:tcW w:w="0" w:type="auto"/>
                  <w:tcBorders>
                    <w:tl2br w:val="nil"/>
                    <w:tr2bl w:val="nil"/>
                  </w:tcBorders>
                  <w:noWrap w:val="0"/>
                  <w:vAlign w:val="center"/>
                </w:tcPr>
                <w:p w14:paraId="7F82FD99">
                  <w:pPr>
                    <w:pStyle w:val="56"/>
                    <w:bidi w:val="0"/>
                    <w:rPr>
                      <w:szCs w:val="21"/>
                    </w:rPr>
                  </w:pPr>
                  <w:r>
                    <w:rPr>
                      <w:rFonts w:hint="default"/>
                      <w:lang w:val="en-US" w:eastAsia="zh-CN"/>
                    </w:rPr>
                    <w:t>/</w:t>
                  </w:r>
                </w:p>
              </w:tc>
              <w:tc>
                <w:tcPr>
                  <w:tcW w:w="0" w:type="auto"/>
                  <w:tcBorders>
                    <w:tl2br w:val="nil"/>
                    <w:tr2bl w:val="nil"/>
                  </w:tcBorders>
                  <w:noWrap w:val="0"/>
                  <w:vAlign w:val="center"/>
                </w:tcPr>
                <w:p w14:paraId="0C42641B">
                  <w:pPr>
                    <w:pStyle w:val="56"/>
                    <w:bidi w:val="0"/>
                    <w:rPr>
                      <w:rFonts w:hint="default"/>
                      <w:szCs w:val="21"/>
                      <w:lang w:val="en-US"/>
                    </w:rPr>
                  </w:pPr>
                  <w:r>
                    <w:rPr>
                      <w:rFonts w:hint="default"/>
                      <w:lang w:val="en-US" w:eastAsia="zh-CN"/>
                    </w:rPr>
                    <w:t>0.002</w:t>
                  </w:r>
                </w:p>
              </w:tc>
              <w:tc>
                <w:tcPr>
                  <w:tcW w:w="0" w:type="auto"/>
                  <w:tcBorders>
                    <w:tl2br w:val="nil"/>
                    <w:tr2bl w:val="nil"/>
                  </w:tcBorders>
                  <w:noWrap w:val="0"/>
                  <w:vAlign w:val="center"/>
                </w:tcPr>
                <w:p w14:paraId="093A3883">
                  <w:pPr>
                    <w:pStyle w:val="56"/>
                    <w:bidi w:val="0"/>
                    <w:rPr>
                      <w:rFonts w:hint="default"/>
                      <w:szCs w:val="21"/>
                      <w:lang w:val="en-US"/>
                    </w:rPr>
                  </w:pPr>
                  <w:r>
                    <w:rPr>
                      <w:rFonts w:hint="default"/>
                      <w:lang w:val="en-US" w:eastAsia="zh-CN"/>
                    </w:rPr>
                    <w:t>0.006</w:t>
                  </w:r>
                </w:p>
              </w:tc>
            </w:tr>
            <w:tr w14:paraId="3FE5DA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0" w:type="auto"/>
                  <w:tcBorders>
                    <w:tl2br w:val="nil"/>
                    <w:tr2bl w:val="nil"/>
                  </w:tcBorders>
                  <w:noWrap w:val="0"/>
                  <w:vAlign w:val="center"/>
                </w:tcPr>
                <w:p w14:paraId="77D67178">
                  <w:pPr>
                    <w:pStyle w:val="56"/>
                    <w:bidi w:val="0"/>
                    <w:rPr>
                      <w:rFonts w:hint="eastAsia"/>
                      <w:szCs w:val="21"/>
                      <w:lang w:val="en-US" w:eastAsia="zh-CN"/>
                    </w:rPr>
                  </w:pPr>
                  <w:r>
                    <w:rPr>
                      <w:rFonts w:hint="eastAsia"/>
                      <w:lang w:val="en-US" w:eastAsia="zh-CN"/>
                    </w:rPr>
                    <w:t>风蚀</w:t>
                  </w:r>
                </w:p>
              </w:tc>
              <w:tc>
                <w:tcPr>
                  <w:tcW w:w="789" w:type="dxa"/>
                  <w:tcBorders>
                    <w:tl2br w:val="nil"/>
                    <w:tr2bl w:val="nil"/>
                  </w:tcBorders>
                  <w:noWrap w:val="0"/>
                  <w:vAlign w:val="center"/>
                </w:tcPr>
                <w:p w14:paraId="10BC7DE2">
                  <w:pPr>
                    <w:pStyle w:val="56"/>
                    <w:bidi w:val="0"/>
                    <w:rPr>
                      <w:rFonts w:hint="eastAsia"/>
                      <w:szCs w:val="21"/>
                    </w:rPr>
                  </w:pPr>
                  <w:r>
                    <w:rPr>
                      <w:rFonts w:hint="eastAsia"/>
                      <w:lang w:val="en-US" w:eastAsia="zh-CN"/>
                    </w:rPr>
                    <w:t>无组织</w:t>
                  </w:r>
                </w:p>
              </w:tc>
              <w:tc>
                <w:tcPr>
                  <w:tcW w:w="853" w:type="dxa"/>
                  <w:tcBorders>
                    <w:tl2br w:val="nil"/>
                    <w:tr2bl w:val="nil"/>
                  </w:tcBorders>
                  <w:noWrap w:val="0"/>
                  <w:vAlign w:val="center"/>
                </w:tcPr>
                <w:p w14:paraId="3A4C7162">
                  <w:pPr>
                    <w:pStyle w:val="56"/>
                    <w:bidi w:val="0"/>
                    <w:rPr>
                      <w:rFonts w:hint="eastAsia"/>
                      <w:szCs w:val="21"/>
                    </w:rPr>
                  </w:pPr>
                  <w:r>
                    <w:rPr>
                      <w:rFonts w:hint="eastAsia"/>
                      <w:lang w:val="en-US" w:eastAsia="zh-CN"/>
                    </w:rPr>
                    <w:t>颗粒物</w:t>
                  </w:r>
                </w:p>
              </w:tc>
              <w:tc>
                <w:tcPr>
                  <w:tcW w:w="0" w:type="auto"/>
                  <w:tcBorders>
                    <w:tl2br w:val="nil"/>
                    <w:tr2bl w:val="nil"/>
                  </w:tcBorders>
                  <w:noWrap w:val="0"/>
                  <w:vAlign w:val="center"/>
                </w:tcPr>
                <w:p w14:paraId="2EE3A4E3">
                  <w:pPr>
                    <w:pStyle w:val="56"/>
                    <w:bidi w:val="0"/>
                    <w:rPr>
                      <w:rFonts w:hint="default"/>
                      <w:szCs w:val="21"/>
                      <w:lang w:val="en-US" w:eastAsia="zh-CN"/>
                    </w:rPr>
                  </w:pPr>
                  <w:r>
                    <w:rPr>
                      <w:rFonts w:hint="default"/>
                      <w:lang w:val="en-US" w:eastAsia="zh-CN"/>
                    </w:rPr>
                    <w:t>/</w:t>
                  </w:r>
                </w:p>
              </w:tc>
              <w:tc>
                <w:tcPr>
                  <w:tcW w:w="0" w:type="auto"/>
                  <w:tcBorders>
                    <w:tl2br w:val="nil"/>
                    <w:tr2bl w:val="nil"/>
                  </w:tcBorders>
                  <w:noWrap w:val="0"/>
                  <w:vAlign w:val="center"/>
                </w:tcPr>
                <w:p w14:paraId="7F5A25EA">
                  <w:pPr>
                    <w:pStyle w:val="56"/>
                    <w:bidi w:val="0"/>
                    <w:rPr>
                      <w:rFonts w:hint="default"/>
                      <w:szCs w:val="21"/>
                      <w:lang w:val="en-US" w:eastAsia="zh-CN"/>
                    </w:rPr>
                  </w:pPr>
                  <w:r>
                    <w:rPr>
                      <w:rFonts w:hint="default"/>
                      <w:lang w:val="en-US" w:eastAsia="zh-CN"/>
                    </w:rPr>
                    <w:t>0.111</w:t>
                  </w:r>
                </w:p>
              </w:tc>
              <w:tc>
                <w:tcPr>
                  <w:tcW w:w="0" w:type="auto"/>
                  <w:tcBorders>
                    <w:tl2br w:val="nil"/>
                    <w:tr2bl w:val="nil"/>
                  </w:tcBorders>
                  <w:noWrap w:val="0"/>
                  <w:vAlign w:val="center"/>
                </w:tcPr>
                <w:p w14:paraId="1256DB46">
                  <w:pPr>
                    <w:pStyle w:val="56"/>
                    <w:bidi w:val="0"/>
                    <w:rPr>
                      <w:rFonts w:hint="eastAsia"/>
                      <w:szCs w:val="21"/>
                      <w:lang w:val="en-US" w:eastAsia="zh-CN"/>
                    </w:rPr>
                  </w:pPr>
                  <w:r>
                    <w:rPr>
                      <w:rFonts w:hint="default"/>
                      <w:lang w:val="en-US" w:eastAsia="zh-CN"/>
                    </w:rPr>
                    <w:t>0.267</w:t>
                  </w:r>
                </w:p>
              </w:tc>
              <w:tc>
                <w:tcPr>
                  <w:tcW w:w="0" w:type="auto"/>
                  <w:tcBorders>
                    <w:tl2br w:val="nil"/>
                    <w:tr2bl w:val="nil"/>
                  </w:tcBorders>
                  <w:noWrap w:val="0"/>
                  <w:vAlign w:val="center"/>
                </w:tcPr>
                <w:p w14:paraId="4D1B0869">
                  <w:pPr>
                    <w:pStyle w:val="56"/>
                    <w:bidi w:val="0"/>
                    <w:rPr>
                      <w:rFonts w:hint="eastAsia"/>
                      <w:szCs w:val="21"/>
                      <w:lang w:val="en-US" w:eastAsia="zh-CN"/>
                    </w:rPr>
                  </w:pPr>
                  <w:r>
                    <w:rPr>
                      <w:rFonts w:hint="default"/>
                      <w:lang w:val="en-US" w:eastAsia="zh-CN"/>
                    </w:rPr>
                    <w:t>/</w:t>
                  </w:r>
                </w:p>
              </w:tc>
              <w:tc>
                <w:tcPr>
                  <w:tcW w:w="0" w:type="auto"/>
                  <w:tcBorders>
                    <w:tl2br w:val="nil"/>
                    <w:tr2bl w:val="nil"/>
                  </w:tcBorders>
                  <w:noWrap w:val="0"/>
                  <w:vAlign w:val="center"/>
                </w:tcPr>
                <w:p w14:paraId="6566C0F2">
                  <w:pPr>
                    <w:pStyle w:val="56"/>
                    <w:bidi w:val="0"/>
                    <w:rPr>
                      <w:rFonts w:hint="default"/>
                      <w:szCs w:val="21"/>
                      <w:lang w:val="en-US" w:eastAsia="zh-CN"/>
                    </w:rPr>
                  </w:pPr>
                  <w:r>
                    <w:rPr>
                      <w:rFonts w:hint="default"/>
                      <w:lang w:val="en-US" w:eastAsia="zh-CN"/>
                    </w:rPr>
                    <w:t>99</w:t>
                  </w:r>
                </w:p>
              </w:tc>
              <w:tc>
                <w:tcPr>
                  <w:tcW w:w="0" w:type="auto"/>
                  <w:tcBorders>
                    <w:tl2br w:val="nil"/>
                    <w:tr2bl w:val="nil"/>
                  </w:tcBorders>
                  <w:noWrap w:val="0"/>
                  <w:vAlign w:val="center"/>
                </w:tcPr>
                <w:p w14:paraId="0F26A062">
                  <w:pPr>
                    <w:pStyle w:val="56"/>
                    <w:bidi w:val="0"/>
                    <w:rPr>
                      <w:rFonts w:hint="eastAsia"/>
                      <w:szCs w:val="21"/>
                      <w:lang w:val="en-US" w:eastAsia="zh-CN"/>
                    </w:rPr>
                  </w:pPr>
                  <w:r>
                    <w:rPr>
                      <w:rFonts w:hint="eastAsia"/>
                      <w:lang w:val="en-US" w:eastAsia="zh-CN"/>
                    </w:rPr>
                    <w:t>车间密闭+洒水降尘</w:t>
                  </w:r>
                </w:p>
              </w:tc>
              <w:tc>
                <w:tcPr>
                  <w:tcW w:w="0" w:type="auto"/>
                  <w:tcBorders>
                    <w:tl2br w:val="nil"/>
                    <w:tr2bl w:val="nil"/>
                  </w:tcBorders>
                  <w:noWrap w:val="0"/>
                  <w:vAlign w:val="center"/>
                </w:tcPr>
                <w:p w14:paraId="12EA101F">
                  <w:pPr>
                    <w:pStyle w:val="56"/>
                    <w:bidi w:val="0"/>
                    <w:rPr>
                      <w:rFonts w:hint="default"/>
                      <w:szCs w:val="21"/>
                      <w:lang w:val="en-US" w:eastAsia="zh-CN"/>
                    </w:rPr>
                  </w:pPr>
                  <w:r>
                    <w:rPr>
                      <w:rFonts w:hint="default"/>
                      <w:lang w:val="en-US" w:eastAsia="zh-CN"/>
                    </w:rPr>
                    <w:t>74</w:t>
                  </w:r>
                </w:p>
              </w:tc>
              <w:tc>
                <w:tcPr>
                  <w:tcW w:w="0" w:type="auto"/>
                  <w:tcBorders>
                    <w:tl2br w:val="nil"/>
                    <w:tr2bl w:val="nil"/>
                  </w:tcBorders>
                  <w:noWrap w:val="0"/>
                  <w:vAlign w:val="center"/>
                </w:tcPr>
                <w:p w14:paraId="510FF7B7">
                  <w:pPr>
                    <w:pStyle w:val="56"/>
                    <w:bidi w:val="0"/>
                    <w:rPr>
                      <w:rFonts w:hint="eastAsia"/>
                      <w:szCs w:val="21"/>
                      <w:lang w:eastAsia="zh-CN"/>
                    </w:rPr>
                  </w:pPr>
                  <w:r>
                    <w:rPr>
                      <w:rFonts w:hint="eastAsia"/>
                      <w:lang w:val="en-US" w:eastAsia="zh-CN"/>
                    </w:rPr>
                    <w:t>是</w:t>
                  </w:r>
                </w:p>
              </w:tc>
              <w:tc>
                <w:tcPr>
                  <w:tcW w:w="0" w:type="auto"/>
                  <w:tcBorders>
                    <w:tl2br w:val="nil"/>
                    <w:tr2bl w:val="nil"/>
                  </w:tcBorders>
                  <w:noWrap w:val="0"/>
                  <w:vAlign w:val="center"/>
                </w:tcPr>
                <w:p w14:paraId="6B2D0267">
                  <w:pPr>
                    <w:pStyle w:val="56"/>
                    <w:bidi w:val="0"/>
                    <w:rPr>
                      <w:rFonts w:hint="eastAsia"/>
                      <w:sz w:val="21"/>
                      <w:szCs w:val="21"/>
                    </w:rPr>
                  </w:pPr>
                  <w:r>
                    <w:rPr>
                      <w:rFonts w:hint="default"/>
                      <w:lang w:val="en-US" w:eastAsia="zh-CN"/>
                    </w:rPr>
                    <w:t>/</w:t>
                  </w:r>
                </w:p>
              </w:tc>
              <w:tc>
                <w:tcPr>
                  <w:tcW w:w="0" w:type="auto"/>
                  <w:tcBorders>
                    <w:tl2br w:val="nil"/>
                    <w:tr2bl w:val="nil"/>
                  </w:tcBorders>
                  <w:noWrap w:val="0"/>
                  <w:vAlign w:val="center"/>
                </w:tcPr>
                <w:p w14:paraId="4CA0DDC6">
                  <w:pPr>
                    <w:pStyle w:val="56"/>
                    <w:bidi w:val="0"/>
                    <w:rPr>
                      <w:rFonts w:hint="default"/>
                      <w:szCs w:val="21"/>
                      <w:lang w:val="en-US" w:eastAsia="zh-CN"/>
                    </w:rPr>
                  </w:pPr>
                  <w:r>
                    <w:rPr>
                      <w:rFonts w:hint="default"/>
                      <w:lang w:val="en-US" w:eastAsia="zh-CN"/>
                    </w:rPr>
                    <w:t>0.0003</w:t>
                  </w:r>
                </w:p>
              </w:tc>
              <w:tc>
                <w:tcPr>
                  <w:tcW w:w="0" w:type="auto"/>
                  <w:tcBorders>
                    <w:tl2br w:val="nil"/>
                    <w:tr2bl w:val="nil"/>
                  </w:tcBorders>
                  <w:noWrap w:val="0"/>
                  <w:vAlign w:val="center"/>
                </w:tcPr>
                <w:p w14:paraId="619A266A">
                  <w:pPr>
                    <w:pStyle w:val="56"/>
                    <w:bidi w:val="0"/>
                    <w:rPr>
                      <w:rFonts w:hint="default"/>
                      <w:szCs w:val="21"/>
                      <w:lang w:val="en-US" w:eastAsia="zh-CN"/>
                    </w:rPr>
                  </w:pPr>
                  <w:r>
                    <w:rPr>
                      <w:rFonts w:hint="default"/>
                      <w:lang w:val="en-US" w:eastAsia="zh-CN"/>
                    </w:rPr>
                    <w:t>0.0007</w:t>
                  </w:r>
                </w:p>
              </w:tc>
            </w:tr>
            <w:tr w14:paraId="7A4E60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7" w:hRule="atLeast"/>
                <w:jc w:val="center"/>
              </w:trPr>
              <w:tc>
                <w:tcPr>
                  <w:tcW w:w="2043" w:type="dxa"/>
                  <w:tcBorders>
                    <w:tl2br w:val="nil"/>
                    <w:tr2bl w:val="nil"/>
                  </w:tcBorders>
                  <w:noWrap w:val="0"/>
                  <w:vAlign w:val="center"/>
                </w:tcPr>
                <w:p w14:paraId="5EF7724C">
                  <w:pPr>
                    <w:pStyle w:val="56"/>
                    <w:bidi w:val="0"/>
                    <w:ind w:firstLine="0" w:firstLineChars="0"/>
                    <w:rPr>
                      <w:rFonts w:hint="default"/>
                      <w:szCs w:val="21"/>
                      <w:lang w:val="en-US" w:eastAsia="zh-CN"/>
                    </w:rPr>
                  </w:pPr>
                  <w:r>
                    <w:rPr>
                      <w:rFonts w:hint="eastAsia"/>
                      <w:color w:val="FF0000"/>
                      <w:lang w:val="en-US" w:eastAsia="zh-CN"/>
                    </w:rPr>
                    <w:t>输送、</w:t>
                  </w:r>
                  <w:r>
                    <w:rPr>
                      <w:rFonts w:hint="eastAsia"/>
                      <w:lang w:val="en-US" w:eastAsia="zh-CN"/>
                    </w:rPr>
                    <w:t>投料</w:t>
                  </w:r>
                  <w:r>
                    <w:rPr>
                      <w:rFonts w:hint="eastAsia"/>
                      <w:color w:val="FF0000"/>
                      <w:lang w:val="en-US" w:eastAsia="zh-CN"/>
                    </w:rPr>
                    <w:t>、混合搅拌</w:t>
                  </w:r>
                </w:p>
              </w:tc>
              <w:tc>
                <w:tcPr>
                  <w:tcW w:w="789" w:type="dxa"/>
                  <w:tcBorders>
                    <w:tl2br w:val="nil"/>
                    <w:tr2bl w:val="nil"/>
                  </w:tcBorders>
                  <w:noWrap w:val="0"/>
                  <w:vAlign w:val="center"/>
                </w:tcPr>
                <w:p w14:paraId="68D61935">
                  <w:pPr>
                    <w:pStyle w:val="56"/>
                    <w:bidi w:val="0"/>
                    <w:ind w:firstLine="0" w:firstLineChars="0"/>
                    <w:rPr>
                      <w:rFonts w:hint="eastAsia"/>
                      <w:szCs w:val="21"/>
                      <w:lang w:val="en-US" w:eastAsia="zh-CN"/>
                    </w:rPr>
                  </w:pPr>
                  <w:r>
                    <w:rPr>
                      <w:rFonts w:hint="eastAsia"/>
                      <w:color w:val="FF0000"/>
                      <w:lang w:val="en-US" w:eastAsia="zh-CN"/>
                    </w:rPr>
                    <w:t>有组织</w:t>
                  </w:r>
                </w:p>
              </w:tc>
              <w:tc>
                <w:tcPr>
                  <w:tcW w:w="853" w:type="dxa"/>
                  <w:tcBorders>
                    <w:tl2br w:val="nil"/>
                    <w:tr2bl w:val="nil"/>
                  </w:tcBorders>
                  <w:noWrap w:val="0"/>
                  <w:vAlign w:val="center"/>
                </w:tcPr>
                <w:p w14:paraId="44E92D93">
                  <w:pPr>
                    <w:pStyle w:val="56"/>
                    <w:bidi w:val="0"/>
                    <w:ind w:firstLine="0" w:firstLineChars="0"/>
                    <w:rPr>
                      <w:rFonts w:hint="eastAsia"/>
                      <w:szCs w:val="21"/>
                      <w:lang w:val="en-US" w:eastAsia="zh-CN"/>
                    </w:rPr>
                  </w:pPr>
                  <w:r>
                    <w:rPr>
                      <w:rFonts w:hint="eastAsia"/>
                      <w:color w:val="FF0000"/>
                      <w:lang w:val="en-US" w:eastAsia="zh-CN"/>
                    </w:rPr>
                    <w:t>颗粒物</w:t>
                  </w:r>
                </w:p>
              </w:tc>
              <w:tc>
                <w:tcPr>
                  <w:tcW w:w="947" w:type="dxa"/>
                  <w:tcBorders>
                    <w:tl2br w:val="nil"/>
                    <w:tr2bl w:val="nil"/>
                  </w:tcBorders>
                  <w:noWrap w:val="0"/>
                  <w:vAlign w:val="center"/>
                </w:tcPr>
                <w:p w14:paraId="74E4342B">
                  <w:pPr>
                    <w:pStyle w:val="56"/>
                    <w:bidi w:val="0"/>
                    <w:ind w:firstLine="0" w:firstLineChars="0"/>
                    <w:rPr>
                      <w:rFonts w:hint="default"/>
                      <w:szCs w:val="21"/>
                      <w:lang w:val="en-US" w:eastAsia="zh-CN"/>
                    </w:rPr>
                  </w:pPr>
                  <w:r>
                    <w:rPr>
                      <w:rFonts w:hint="eastAsia"/>
                      <w:color w:val="FF0000"/>
                      <w:lang w:val="en-US" w:eastAsia="zh-CN"/>
                    </w:rPr>
                    <w:t>582.583</w:t>
                  </w:r>
                </w:p>
              </w:tc>
              <w:tc>
                <w:tcPr>
                  <w:tcW w:w="689" w:type="dxa"/>
                  <w:tcBorders>
                    <w:tl2br w:val="nil"/>
                    <w:tr2bl w:val="nil"/>
                  </w:tcBorders>
                  <w:noWrap w:val="0"/>
                  <w:vAlign w:val="center"/>
                </w:tcPr>
                <w:p w14:paraId="05E48256">
                  <w:pPr>
                    <w:pStyle w:val="56"/>
                    <w:bidi w:val="0"/>
                    <w:ind w:firstLine="0" w:firstLineChars="0"/>
                    <w:rPr>
                      <w:rFonts w:hint="default"/>
                      <w:szCs w:val="21"/>
                      <w:lang w:val="en-US" w:eastAsia="zh-CN"/>
                    </w:rPr>
                  </w:pPr>
                  <w:r>
                    <w:rPr>
                      <w:rFonts w:hint="eastAsia"/>
                      <w:color w:val="FF0000"/>
                      <w:lang w:val="en-US" w:eastAsia="zh-CN"/>
                    </w:rPr>
                    <w:t>2.913</w:t>
                  </w:r>
                </w:p>
              </w:tc>
              <w:tc>
                <w:tcPr>
                  <w:tcW w:w="689" w:type="dxa"/>
                  <w:tcBorders>
                    <w:tl2br w:val="nil"/>
                    <w:tr2bl w:val="nil"/>
                  </w:tcBorders>
                  <w:noWrap w:val="0"/>
                  <w:vAlign w:val="center"/>
                </w:tcPr>
                <w:p w14:paraId="595D6FBE">
                  <w:pPr>
                    <w:pStyle w:val="56"/>
                    <w:bidi w:val="0"/>
                    <w:ind w:firstLine="0" w:firstLineChars="0"/>
                    <w:rPr>
                      <w:rFonts w:hint="default"/>
                      <w:szCs w:val="21"/>
                      <w:lang w:val="en-US" w:eastAsia="zh-CN"/>
                    </w:rPr>
                  </w:pPr>
                  <w:r>
                    <w:rPr>
                      <w:rFonts w:hint="eastAsia"/>
                      <w:color w:val="FF0000"/>
                      <w:lang w:val="en-US" w:eastAsia="zh-CN"/>
                    </w:rPr>
                    <w:t>6.991</w:t>
                  </w:r>
                </w:p>
              </w:tc>
              <w:tc>
                <w:tcPr>
                  <w:tcW w:w="636" w:type="dxa"/>
                  <w:tcBorders>
                    <w:tl2br w:val="nil"/>
                    <w:tr2bl w:val="nil"/>
                  </w:tcBorders>
                  <w:noWrap w:val="0"/>
                  <w:vAlign w:val="center"/>
                </w:tcPr>
                <w:p w14:paraId="233E80E5">
                  <w:pPr>
                    <w:pStyle w:val="56"/>
                    <w:bidi w:val="0"/>
                    <w:ind w:firstLine="0" w:firstLineChars="0"/>
                    <w:rPr>
                      <w:rFonts w:hint="default"/>
                      <w:szCs w:val="21"/>
                      <w:lang w:val="en-US" w:eastAsia="zh-CN"/>
                    </w:rPr>
                  </w:pPr>
                  <w:r>
                    <w:rPr>
                      <w:rFonts w:hint="eastAsia"/>
                      <w:color w:val="FF0000"/>
                      <w:lang w:val="en-US" w:eastAsia="zh-CN"/>
                    </w:rPr>
                    <w:t>5</w:t>
                  </w:r>
                  <w:r>
                    <w:rPr>
                      <w:rFonts w:hint="default"/>
                      <w:color w:val="FF0000"/>
                      <w:lang w:val="en-US" w:eastAsia="zh-CN"/>
                    </w:rPr>
                    <w:t>000</w:t>
                  </w:r>
                </w:p>
              </w:tc>
              <w:tc>
                <w:tcPr>
                  <w:tcW w:w="794" w:type="dxa"/>
                  <w:tcBorders>
                    <w:tl2br w:val="nil"/>
                    <w:tr2bl w:val="nil"/>
                  </w:tcBorders>
                  <w:noWrap w:val="0"/>
                  <w:vAlign w:val="center"/>
                </w:tcPr>
                <w:p w14:paraId="16A2FD30">
                  <w:pPr>
                    <w:pStyle w:val="56"/>
                    <w:bidi w:val="0"/>
                    <w:ind w:firstLine="0" w:firstLineChars="0"/>
                    <w:rPr>
                      <w:rFonts w:hint="default"/>
                      <w:szCs w:val="21"/>
                      <w:lang w:val="en-US" w:eastAsia="zh-CN"/>
                    </w:rPr>
                  </w:pPr>
                  <w:r>
                    <w:rPr>
                      <w:rFonts w:hint="eastAsia"/>
                      <w:color w:val="FF0000"/>
                      <w:lang w:val="en-US" w:eastAsia="zh-CN"/>
                    </w:rPr>
                    <w:t>90/</w:t>
                  </w:r>
                  <w:r>
                    <w:rPr>
                      <w:rFonts w:hint="default"/>
                      <w:color w:val="FF0000"/>
                      <w:lang w:val="en-US" w:eastAsia="zh-CN"/>
                    </w:rPr>
                    <w:t>100</w:t>
                  </w:r>
                </w:p>
              </w:tc>
              <w:tc>
                <w:tcPr>
                  <w:tcW w:w="3271" w:type="dxa"/>
                  <w:tcBorders>
                    <w:tl2br w:val="nil"/>
                    <w:tr2bl w:val="nil"/>
                  </w:tcBorders>
                  <w:noWrap w:val="0"/>
                  <w:vAlign w:val="center"/>
                </w:tcPr>
                <w:p w14:paraId="5F962051">
                  <w:pPr>
                    <w:pStyle w:val="56"/>
                    <w:bidi w:val="0"/>
                    <w:ind w:firstLine="0" w:firstLineChars="0"/>
                    <w:jc w:val="left"/>
                    <w:rPr>
                      <w:rFonts w:hint="eastAsia"/>
                      <w:szCs w:val="21"/>
                      <w:lang w:val="en-US" w:eastAsia="zh-CN"/>
                    </w:rPr>
                  </w:pPr>
                  <w:r>
                    <w:rPr>
                      <w:rFonts w:hint="eastAsia"/>
                      <w:color w:val="FF0000"/>
                      <w:lang w:val="en-US" w:eastAsia="zh-CN"/>
                    </w:rPr>
                    <w:t>高效布袋除尘器</w:t>
                  </w:r>
                  <w:r>
                    <w:rPr>
                      <w:rFonts w:hint="default"/>
                      <w:color w:val="FF0000"/>
                      <w:lang w:val="en-US" w:eastAsia="zh-CN"/>
                    </w:rPr>
                    <w:t>+15m</w:t>
                  </w:r>
                  <w:r>
                    <w:rPr>
                      <w:rFonts w:hint="eastAsia"/>
                      <w:color w:val="FF0000"/>
                      <w:lang w:val="en-US" w:eastAsia="zh-CN"/>
                    </w:rPr>
                    <w:t>高排气筒</w:t>
                  </w:r>
                  <w:r>
                    <w:rPr>
                      <w:rFonts w:hint="default"/>
                      <w:color w:val="FF0000"/>
                      <w:lang w:val="en-US" w:eastAsia="zh-CN"/>
                    </w:rPr>
                    <w:t>DA001</w:t>
                  </w:r>
                </w:p>
              </w:tc>
              <w:tc>
                <w:tcPr>
                  <w:tcW w:w="742" w:type="dxa"/>
                  <w:tcBorders>
                    <w:tl2br w:val="nil"/>
                    <w:tr2bl w:val="nil"/>
                  </w:tcBorders>
                  <w:noWrap w:val="0"/>
                  <w:vAlign w:val="center"/>
                </w:tcPr>
                <w:p w14:paraId="21C4EE62">
                  <w:pPr>
                    <w:pStyle w:val="56"/>
                    <w:bidi w:val="0"/>
                    <w:ind w:firstLine="0" w:firstLineChars="0"/>
                    <w:rPr>
                      <w:rFonts w:hint="default"/>
                      <w:szCs w:val="21"/>
                      <w:lang w:val="en-US" w:eastAsia="zh-CN"/>
                    </w:rPr>
                  </w:pPr>
                  <w:r>
                    <w:rPr>
                      <w:rFonts w:hint="default"/>
                      <w:color w:val="FF0000"/>
                      <w:lang w:val="en-US" w:eastAsia="zh-CN"/>
                    </w:rPr>
                    <w:t>99</w:t>
                  </w:r>
                </w:p>
              </w:tc>
              <w:tc>
                <w:tcPr>
                  <w:tcW w:w="952" w:type="dxa"/>
                  <w:tcBorders>
                    <w:tl2br w:val="nil"/>
                    <w:tr2bl w:val="nil"/>
                  </w:tcBorders>
                  <w:noWrap w:val="0"/>
                  <w:vAlign w:val="center"/>
                </w:tcPr>
                <w:p w14:paraId="27CA9F7E">
                  <w:pPr>
                    <w:pStyle w:val="56"/>
                    <w:bidi w:val="0"/>
                    <w:ind w:firstLine="0" w:firstLineChars="0"/>
                    <w:rPr>
                      <w:rFonts w:hint="eastAsia"/>
                      <w:szCs w:val="21"/>
                      <w:lang w:val="en-US" w:eastAsia="zh-CN"/>
                    </w:rPr>
                  </w:pPr>
                  <w:r>
                    <w:rPr>
                      <w:rFonts w:hint="eastAsia"/>
                      <w:color w:val="FF0000"/>
                      <w:lang w:val="en-US" w:eastAsia="zh-CN"/>
                    </w:rPr>
                    <w:t>是</w:t>
                  </w:r>
                </w:p>
              </w:tc>
              <w:tc>
                <w:tcPr>
                  <w:tcW w:w="916" w:type="dxa"/>
                  <w:tcBorders>
                    <w:tl2br w:val="nil"/>
                    <w:tr2bl w:val="nil"/>
                  </w:tcBorders>
                  <w:noWrap w:val="0"/>
                  <w:vAlign w:val="center"/>
                </w:tcPr>
                <w:p w14:paraId="79A1408F">
                  <w:pPr>
                    <w:pStyle w:val="56"/>
                    <w:bidi w:val="0"/>
                    <w:ind w:firstLine="0" w:firstLineChars="0"/>
                    <w:rPr>
                      <w:rFonts w:hint="default"/>
                      <w:szCs w:val="21"/>
                      <w:lang w:val="en-US" w:eastAsia="zh-CN"/>
                    </w:rPr>
                  </w:pPr>
                  <w:r>
                    <w:rPr>
                      <w:rFonts w:hint="eastAsia"/>
                      <w:color w:val="FF0000"/>
                      <w:lang w:val="en-US" w:eastAsia="zh-CN"/>
                    </w:rPr>
                    <w:t>5.826</w:t>
                  </w:r>
                </w:p>
              </w:tc>
              <w:tc>
                <w:tcPr>
                  <w:tcW w:w="794" w:type="dxa"/>
                  <w:tcBorders>
                    <w:tl2br w:val="nil"/>
                    <w:tr2bl w:val="nil"/>
                  </w:tcBorders>
                  <w:noWrap w:val="0"/>
                  <w:vAlign w:val="center"/>
                </w:tcPr>
                <w:p w14:paraId="240BCD3C">
                  <w:pPr>
                    <w:pStyle w:val="56"/>
                    <w:bidi w:val="0"/>
                    <w:ind w:firstLine="0" w:firstLineChars="0"/>
                    <w:rPr>
                      <w:rFonts w:hint="default"/>
                      <w:szCs w:val="21"/>
                      <w:lang w:val="en-US" w:eastAsia="zh-CN"/>
                    </w:rPr>
                  </w:pPr>
                  <w:r>
                    <w:rPr>
                      <w:rFonts w:hint="eastAsia"/>
                      <w:color w:val="FF0000"/>
                      <w:lang w:val="en-US" w:eastAsia="zh-CN"/>
                    </w:rPr>
                    <w:t>0.029</w:t>
                  </w:r>
                </w:p>
              </w:tc>
              <w:tc>
                <w:tcPr>
                  <w:tcW w:w="795" w:type="dxa"/>
                  <w:tcBorders>
                    <w:tl2br w:val="nil"/>
                    <w:tr2bl w:val="nil"/>
                  </w:tcBorders>
                  <w:noWrap w:val="0"/>
                  <w:vAlign w:val="center"/>
                </w:tcPr>
                <w:p w14:paraId="1FC4224F">
                  <w:pPr>
                    <w:pStyle w:val="56"/>
                    <w:bidi w:val="0"/>
                    <w:ind w:firstLine="0" w:firstLineChars="0"/>
                    <w:rPr>
                      <w:rFonts w:hint="default"/>
                      <w:szCs w:val="21"/>
                      <w:lang w:val="en-US" w:eastAsia="zh-CN"/>
                    </w:rPr>
                  </w:pPr>
                  <w:r>
                    <w:rPr>
                      <w:rFonts w:hint="eastAsia"/>
                      <w:color w:val="FF0000"/>
                      <w:lang w:val="en-US" w:eastAsia="zh-CN"/>
                    </w:rPr>
                    <w:t>0.07</w:t>
                  </w:r>
                </w:p>
              </w:tc>
            </w:tr>
            <w:tr w14:paraId="09E37E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55" w:hRule="atLeast"/>
                <w:jc w:val="center"/>
              </w:trPr>
              <w:tc>
                <w:tcPr>
                  <w:tcW w:w="2043" w:type="dxa"/>
                  <w:tcBorders>
                    <w:tl2br w:val="nil"/>
                    <w:tr2bl w:val="nil"/>
                  </w:tcBorders>
                  <w:noWrap w:val="0"/>
                  <w:vAlign w:val="center"/>
                </w:tcPr>
                <w:p w14:paraId="47611CA6">
                  <w:pPr>
                    <w:pStyle w:val="56"/>
                    <w:bidi w:val="0"/>
                    <w:ind w:firstLine="0" w:firstLineChars="0"/>
                    <w:rPr>
                      <w:rFonts w:hint="eastAsia"/>
                      <w:lang w:val="en-US" w:eastAsia="zh-CN"/>
                    </w:rPr>
                  </w:pPr>
                  <w:r>
                    <w:rPr>
                      <w:rFonts w:hint="eastAsia"/>
                      <w:lang w:val="en-US" w:eastAsia="zh-CN"/>
                    </w:rPr>
                    <w:t>投料</w:t>
                  </w:r>
                </w:p>
              </w:tc>
              <w:tc>
                <w:tcPr>
                  <w:tcW w:w="789" w:type="dxa"/>
                  <w:tcBorders>
                    <w:tl2br w:val="nil"/>
                    <w:tr2bl w:val="nil"/>
                  </w:tcBorders>
                  <w:noWrap w:val="0"/>
                  <w:vAlign w:val="center"/>
                </w:tcPr>
                <w:p w14:paraId="3E138558">
                  <w:pPr>
                    <w:pStyle w:val="56"/>
                    <w:bidi w:val="0"/>
                    <w:ind w:firstLine="0" w:firstLineChars="0"/>
                    <w:rPr>
                      <w:rFonts w:hint="eastAsia"/>
                      <w:lang w:val="en-US" w:eastAsia="zh-CN"/>
                    </w:rPr>
                  </w:pPr>
                  <w:r>
                    <w:rPr>
                      <w:rFonts w:hint="eastAsia"/>
                      <w:lang w:val="en-US" w:eastAsia="zh-CN"/>
                    </w:rPr>
                    <w:t>无组织</w:t>
                  </w:r>
                </w:p>
              </w:tc>
              <w:tc>
                <w:tcPr>
                  <w:tcW w:w="853" w:type="dxa"/>
                  <w:tcBorders>
                    <w:tl2br w:val="nil"/>
                    <w:tr2bl w:val="nil"/>
                  </w:tcBorders>
                  <w:noWrap w:val="0"/>
                  <w:vAlign w:val="center"/>
                </w:tcPr>
                <w:p w14:paraId="5C83EB31">
                  <w:pPr>
                    <w:pStyle w:val="56"/>
                    <w:bidi w:val="0"/>
                    <w:ind w:firstLine="0" w:firstLineChars="0"/>
                    <w:rPr>
                      <w:rFonts w:hint="eastAsia"/>
                      <w:lang w:val="en-US" w:eastAsia="zh-CN"/>
                    </w:rPr>
                  </w:pPr>
                  <w:r>
                    <w:rPr>
                      <w:rFonts w:hint="eastAsia"/>
                      <w:lang w:val="en-US" w:eastAsia="zh-CN"/>
                    </w:rPr>
                    <w:t>颗粒物</w:t>
                  </w:r>
                </w:p>
              </w:tc>
              <w:tc>
                <w:tcPr>
                  <w:tcW w:w="947" w:type="dxa"/>
                  <w:tcBorders>
                    <w:tl2br w:val="nil"/>
                    <w:tr2bl w:val="nil"/>
                  </w:tcBorders>
                  <w:noWrap w:val="0"/>
                  <w:vAlign w:val="center"/>
                </w:tcPr>
                <w:p w14:paraId="255C11A2">
                  <w:pPr>
                    <w:pStyle w:val="56"/>
                    <w:bidi w:val="0"/>
                    <w:ind w:firstLine="0" w:firstLineChars="0"/>
                    <w:rPr>
                      <w:rFonts w:hint="default"/>
                      <w:lang w:val="en-US" w:eastAsia="zh-CN"/>
                    </w:rPr>
                  </w:pPr>
                  <w:r>
                    <w:rPr>
                      <w:rFonts w:hint="default"/>
                      <w:lang w:val="en-US" w:eastAsia="zh-CN"/>
                    </w:rPr>
                    <w:t>/</w:t>
                  </w:r>
                </w:p>
              </w:tc>
              <w:tc>
                <w:tcPr>
                  <w:tcW w:w="0" w:type="auto"/>
                  <w:tcBorders>
                    <w:tl2br w:val="nil"/>
                    <w:tr2bl w:val="nil"/>
                  </w:tcBorders>
                  <w:noWrap w:val="0"/>
                  <w:vAlign w:val="center"/>
                </w:tcPr>
                <w:p w14:paraId="7258D0FF">
                  <w:pPr>
                    <w:pStyle w:val="56"/>
                    <w:bidi w:val="0"/>
                    <w:rPr>
                      <w:rFonts w:hint="default"/>
                      <w:lang w:val="en-US" w:eastAsia="zh-CN"/>
                    </w:rPr>
                  </w:pPr>
                  <w:r>
                    <w:rPr>
                      <w:rFonts w:hint="eastAsia"/>
                      <w:lang w:val="en-US" w:eastAsia="zh-CN"/>
                    </w:rPr>
                    <w:t>0.009</w:t>
                  </w:r>
                </w:p>
              </w:tc>
              <w:tc>
                <w:tcPr>
                  <w:tcW w:w="0" w:type="auto"/>
                  <w:tcBorders>
                    <w:tl2br w:val="nil"/>
                    <w:tr2bl w:val="nil"/>
                  </w:tcBorders>
                  <w:noWrap w:val="0"/>
                  <w:vAlign w:val="center"/>
                </w:tcPr>
                <w:p w14:paraId="5FE5BFE6">
                  <w:pPr>
                    <w:pStyle w:val="56"/>
                    <w:bidi w:val="0"/>
                    <w:rPr>
                      <w:rFonts w:hint="default"/>
                      <w:lang w:val="en-US" w:eastAsia="zh-CN"/>
                    </w:rPr>
                  </w:pPr>
                  <w:r>
                    <w:rPr>
                      <w:rFonts w:hint="eastAsia"/>
                      <w:lang w:val="en-US" w:eastAsia="zh-CN"/>
                    </w:rPr>
                    <w:t>0.021</w:t>
                  </w:r>
                </w:p>
              </w:tc>
              <w:tc>
                <w:tcPr>
                  <w:tcW w:w="0" w:type="auto"/>
                  <w:tcBorders>
                    <w:tl2br w:val="nil"/>
                    <w:tr2bl w:val="nil"/>
                  </w:tcBorders>
                  <w:noWrap w:val="0"/>
                  <w:vAlign w:val="center"/>
                </w:tcPr>
                <w:p w14:paraId="59EA95B6">
                  <w:pPr>
                    <w:pStyle w:val="56"/>
                    <w:bidi w:val="0"/>
                    <w:rPr>
                      <w:rFonts w:hint="default"/>
                      <w:lang w:val="en-US" w:eastAsia="zh-CN"/>
                    </w:rPr>
                  </w:pPr>
                  <w:r>
                    <w:rPr>
                      <w:rFonts w:hint="default"/>
                      <w:lang w:val="en-US" w:eastAsia="zh-CN"/>
                    </w:rPr>
                    <w:t>/</w:t>
                  </w:r>
                </w:p>
              </w:tc>
              <w:tc>
                <w:tcPr>
                  <w:tcW w:w="0" w:type="auto"/>
                  <w:tcBorders>
                    <w:tl2br w:val="nil"/>
                    <w:tr2bl w:val="nil"/>
                  </w:tcBorders>
                  <w:noWrap w:val="0"/>
                  <w:vAlign w:val="center"/>
                </w:tcPr>
                <w:p w14:paraId="61DD4359">
                  <w:pPr>
                    <w:pStyle w:val="56"/>
                    <w:bidi w:val="0"/>
                    <w:rPr>
                      <w:rFonts w:hint="default"/>
                      <w:lang w:val="en-US" w:eastAsia="zh-CN"/>
                    </w:rPr>
                  </w:pPr>
                  <w:r>
                    <w:rPr>
                      <w:rFonts w:hint="default"/>
                      <w:lang w:val="en-US" w:eastAsia="zh-CN"/>
                    </w:rPr>
                    <w:t>/</w:t>
                  </w:r>
                </w:p>
              </w:tc>
              <w:tc>
                <w:tcPr>
                  <w:tcW w:w="0" w:type="auto"/>
                  <w:tcBorders>
                    <w:tl2br w:val="nil"/>
                    <w:tr2bl w:val="nil"/>
                  </w:tcBorders>
                  <w:noWrap w:val="0"/>
                  <w:vAlign w:val="center"/>
                </w:tcPr>
                <w:p w14:paraId="443F7C65">
                  <w:pPr>
                    <w:pStyle w:val="56"/>
                    <w:bidi w:val="0"/>
                    <w:rPr>
                      <w:rFonts w:hint="eastAsia"/>
                      <w:color w:val="FF0000"/>
                      <w:lang w:val="en-US" w:eastAsia="zh-CN"/>
                    </w:rPr>
                  </w:pPr>
                  <w:r>
                    <w:rPr>
                      <w:rFonts w:hint="eastAsia"/>
                      <w:lang w:val="en-US" w:eastAsia="zh-CN"/>
                    </w:rPr>
                    <w:t>车间密闭+洒水降尘</w:t>
                  </w:r>
                </w:p>
              </w:tc>
              <w:tc>
                <w:tcPr>
                  <w:tcW w:w="0" w:type="auto"/>
                  <w:tcBorders>
                    <w:tl2br w:val="nil"/>
                    <w:tr2bl w:val="nil"/>
                  </w:tcBorders>
                  <w:noWrap w:val="0"/>
                  <w:vAlign w:val="center"/>
                </w:tcPr>
                <w:p w14:paraId="493E15BD">
                  <w:pPr>
                    <w:pStyle w:val="56"/>
                    <w:bidi w:val="0"/>
                    <w:rPr>
                      <w:rFonts w:hint="default"/>
                      <w:lang w:val="en-US" w:eastAsia="zh-CN"/>
                    </w:rPr>
                  </w:pPr>
                  <w:r>
                    <w:rPr>
                      <w:rFonts w:hint="default"/>
                      <w:lang w:val="en-US" w:eastAsia="zh-CN"/>
                    </w:rPr>
                    <w:t>/</w:t>
                  </w:r>
                </w:p>
              </w:tc>
              <w:tc>
                <w:tcPr>
                  <w:tcW w:w="0" w:type="auto"/>
                  <w:tcBorders>
                    <w:tl2br w:val="nil"/>
                    <w:tr2bl w:val="nil"/>
                  </w:tcBorders>
                  <w:noWrap w:val="0"/>
                  <w:vAlign w:val="center"/>
                </w:tcPr>
                <w:p w14:paraId="2284D2DD">
                  <w:pPr>
                    <w:pStyle w:val="56"/>
                    <w:bidi w:val="0"/>
                    <w:rPr>
                      <w:rFonts w:hint="eastAsia"/>
                      <w:lang w:val="en-US" w:eastAsia="zh-CN"/>
                    </w:rPr>
                  </w:pPr>
                  <w:r>
                    <w:rPr>
                      <w:rFonts w:hint="default"/>
                      <w:lang w:val="en-US" w:eastAsia="zh-CN"/>
                    </w:rPr>
                    <w:t>/</w:t>
                  </w:r>
                </w:p>
              </w:tc>
              <w:tc>
                <w:tcPr>
                  <w:tcW w:w="0" w:type="auto"/>
                  <w:tcBorders>
                    <w:tl2br w:val="nil"/>
                    <w:tr2bl w:val="nil"/>
                  </w:tcBorders>
                  <w:noWrap w:val="0"/>
                  <w:vAlign w:val="center"/>
                </w:tcPr>
                <w:p w14:paraId="14F8B283">
                  <w:pPr>
                    <w:pStyle w:val="56"/>
                    <w:bidi w:val="0"/>
                    <w:rPr>
                      <w:rFonts w:hint="default"/>
                      <w:lang w:val="en-US" w:eastAsia="zh-CN"/>
                    </w:rPr>
                  </w:pPr>
                  <w:r>
                    <w:rPr>
                      <w:rFonts w:hint="default"/>
                      <w:lang w:val="en-US" w:eastAsia="zh-CN"/>
                    </w:rPr>
                    <w:t>/</w:t>
                  </w:r>
                </w:p>
              </w:tc>
              <w:tc>
                <w:tcPr>
                  <w:tcW w:w="794" w:type="dxa"/>
                  <w:tcBorders>
                    <w:tl2br w:val="nil"/>
                    <w:tr2bl w:val="nil"/>
                  </w:tcBorders>
                  <w:noWrap w:val="0"/>
                  <w:vAlign w:val="center"/>
                </w:tcPr>
                <w:p w14:paraId="26FD677A">
                  <w:pPr>
                    <w:pStyle w:val="56"/>
                    <w:bidi w:val="0"/>
                    <w:ind w:firstLine="0" w:firstLineChars="0"/>
                    <w:rPr>
                      <w:rFonts w:hint="default"/>
                      <w:lang w:val="en-US" w:eastAsia="zh-CN"/>
                    </w:rPr>
                  </w:pPr>
                  <w:r>
                    <w:rPr>
                      <w:rFonts w:hint="eastAsia"/>
                      <w:lang w:val="en-US" w:eastAsia="zh-CN"/>
                    </w:rPr>
                    <w:t>0.009</w:t>
                  </w:r>
                </w:p>
              </w:tc>
              <w:tc>
                <w:tcPr>
                  <w:tcW w:w="795" w:type="dxa"/>
                  <w:tcBorders>
                    <w:tl2br w:val="nil"/>
                    <w:tr2bl w:val="nil"/>
                  </w:tcBorders>
                  <w:noWrap w:val="0"/>
                  <w:vAlign w:val="center"/>
                </w:tcPr>
                <w:p w14:paraId="1D7CA8E7">
                  <w:pPr>
                    <w:pStyle w:val="56"/>
                    <w:bidi w:val="0"/>
                    <w:ind w:firstLine="0" w:firstLineChars="0"/>
                    <w:rPr>
                      <w:rFonts w:hint="default"/>
                      <w:lang w:val="en-US" w:eastAsia="zh-CN"/>
                    </w:rPr>
                  </w:pPr>
                  <w:r>
                    <w:rPr>
                      <w:rFonts w:hint="eastAsia"/>
                      <w:lang w:val="en-US" w:eastAsia="zh-CN"/>
                    </w:rPr>
                    <w:t>0.021</w:t>
                  </w:r>
                </w:p>
              </w:tc>
            </w:tr>
            <w:tr w14:paraId="0BA478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0" w:type="auto"/>
                  <w:tcBorders>
                    <w:tl2br w:val="nil"/>
                    <w:tr2bl w:val="nil"/>
                  </w:tcBorders>
                  <w:noWrap w:val="0"/>
                  <w:vAlign w:val="center"/>
                </w:tcPr>
                <w:p w14:paraId="4058507C">
                  <w:pPr>
                    <w:pStyle w:val="56"/>
                    <w:bidi w:val="0"/>
                    <w:rPr>
                      <w:rFonts w:hint="eastAsia"/>
                      <w:color w:val="FF0000"/>
                      <w:lang w:val="en-US" w:eastAsia="zh-CN"/>
                    </w:rPr>
                  </w:pPr>
                  <w:r>
                    <w:rPr>
                      <w:rFonts w:hint="eastAsia"/>
                      <w:color w:val="FF0000"/>
                      <w:lang w:val="en-US" w:eastAsia="zh-CN"/>
                    </w:rPr>
                    <w:t>筒仓储存</w:t>
                  </w:r>
                </w:p>
              </w:tc>
              <w:tc>
                <w:tcPr>
                  <w:tcW w:w="789" w:type="dxa"/>
                  <w:tcBorders>
                    <w:tl2br w:val="nil"/>
                    <w:tr2bl w:val="nil"/>
                  </w:tcBorders>
                  <w:noWrap w:val="0"/>
                  <w:vAlign w:val="center"/>
                </w:tcPr>
                <w:p w14:paraId="76D0B3EC">
                  <w:pPr>
                    <w:pStyle w:val="56"/>
                    <w:bidi w:val="0"/>
                    <w:rPr>
                      <w:rFonts w:hint="eastAsia"/>
                      <w:color w:val="FF0000"/>
                      <w:lang w:val="en-US" w:eastAsia="zh-CN"/>
                    </w:rPr>
                  </w:pPr>
                  <w:r>
                    <w:rPr>
                      <w:rFonts w:hint="eastAsia"/>
                      <w:lang w:val="en-US" w:eastAsia="zh-CN"/>
                    </w:rPr>
                    <w:t>无组织</w:t>
                  </w:r>
                </w:p>
              </w:tc>
              <w:tc>
                <w:tcPr>
                  <w:tcW w:w="853" w:type="dxa"/>
                  <w:tcBorders>
                    <w:tl2br w:val="nil"/>
                    <w:tr2bl w:val="nil"/>
                  </w:tcBorders>
                  <w:noWrap w:val="0"/>
                  <w:vAlign w:val="center"/>
                </w:tcPr>
                <w:p w14:paraId="0978357E">
                  <w:pPr>
                    <w:pStyle w:val="56"/>
                    <w:bidi w:val="0"/>
                    <w:rPr>
                      <w:rFonts w:hint="eastAsia"/>
                      <w:color w:val="FF0000"/>
                      <w:lang w:val="en-US" w:eastAsia="zh-CN"/>
                    </w:rPr>
                  </w:pPr>
                  <w:r>
                    <w:rPr>
                      <w:rFonts w:hint="eastAsia"/>
                      <w:color w:val="FF0000"/>
                      <w:lang w:val="en-US" w:eastAsia="zh-CN"/>
                    </w:rPr>
                    <w:t>颗粒物</w:t>
                  </w:r>
                </w:p>
              </w:tc>
              <w:tc>
                <w:tcPr>
                  <w:tcW w:w="0" w:type="auto"/>
                  <w:tcBorders>
                    <w:tl2br w:val="nil"/>
                    <w:tr2bl w:val="nil"/>
                  </w:tcBorders>
                  <w:noWrap w:val="0"/>
                  <w:vAlign w:val="center"/>
                </w:tcPr>
                <w:p w14:paraId="1A98B05F">
                  <w:pPr>
                    <w:pStyle w:val="56"/>
                    <w:bidi w:val="0"/>
                    <w:rPr>
                      <w:rFonts w:hint="eastAsia"/>
                      <w:color w:val="FF0000"/>
                      <w:lang w:val="en-US" w:eastAsia="zh-CN"/>
                    </w:rPr>
                  </w:pPr>
                  <w:r>
                    <w:rPr>
                      <w:rFonts w:hint="default"/>
                      <w:color w:val="FF0000"/>
                      <w:lang w:val="en-US" w:eastAsia="zh-CN"/>
                    </w:rPr>
                    <w:t>/</w:t>
                  </w:r>
                </w:p>
              </w:tc>
              <w:tc>
                <w:tcPr>
                  <w:tcW w:w="0" w:type="auto"/>
                  <w:tcBorders>
                    <w:tl2br w:val="nil"/>
                    <w:tr2bl w:val="nil"/>
                  </w:tcBorders>
                  <w:noWrap w:val="0"/>
                  <w:vAlign w:val="center"/>
                </w:tcPr>
                <w:p w14:paraId="3DF2E192">
                  <w:pPr>
                    <w:pStyle w:val="56"/>
                    <w:bidi w:val="0"/>
                    <w:rPr>
                      <w:rFonts w:hint="default"/>
                      <w:color w:val="FF0000"/>
                      <w:lang w:val="en-US" w:eastAsia="zh-CN"/>
                    </w:rPr>
                  </w:pPr>
                  <w:r>
                    <w:rPr>
                      <w:rFonts w:hint="eastAsia"/>
                      <w:color w:val="FF0000"/>
                      <w:lang w:val="en-US" w:eastAsia="zh-CN"/>
                    </w:rPr>
                    <w:t>0.184</w:t>
                  </w:r>
                </w:p>
              </w:tc>
              <w:tc>
                <w:tcPr>
                  <w:tcW w:w="0" w:type="auto"/>
                  <w:tcBorders>
                    <w:tl2br w:val="nil"/>
                    <w:tr2bl w:val="nil"/>
                  </w:tcBorders>
                  <w:noWrap w:val="0"/>
                  <w:vAlign w:val="center"/>
                </w:tcPr>
                <w:p w14:paraId="7DFD2378">
                  <w:pPr>
                    <w:pStyle w:val="56"/>
                    <w:bidi w:val="0"/>
                    <w:rPr>
                      <w:rFonts w:hint="default"/>
                      <w:color w:val="FF0000"/>
                      <w:lang w:val="en-US" w:eastAsia="zh-CN"/>
                    </w:rPr>
                  </w:pPr>
                  <w:r>
                    <w:rPr>
                      <w:rFonts w:hint="eastAsia"/>
                      <w:color w:val="FF0000"/>
                      <w:lang w:val="en-US" w:eastAsia="zh-CN"/>
                    </w:rPr>
                    <w:t>0.441</w:t>
                  </w:r>
                </w:p>
              </w:tc>
              <w:tc>
                <w:tcPr>
                  <w:tcW w:w="636" w:type="dxa"/>
                  <w:tcBorders>
                    <w:tl2br w:val="nil"/>
                    <w:tr2bl w:val="nil"/>
                  </w:tcBorders>
                  <w:noWrap w:val="0"/>
                  <w:vAlign w:val="center"/>
                </w:tcPr>
                <w:p w14:paraId="3403437E">
                  <w:pPr>
                    <w:pStyle w:val="56"/>
                    <w:bidi w:val="0"/>
                    <w:ind w:firstLine="0" w:firstLineChars="0"/>
                    <w:rPr>
                      <w:rFonts w:hint="eastAsia"/>
                      <w:color w:val="FF0000"/>
                      <w:lang w:val="en-US" w:eastAsia="zh-CN"/>
                    </w:rPr>
                  </w:pPr>
                  <w:r>
                    <w:rPr>
                      <w:rFonts w:hint="default"/>
                      <w:lang w:val="en-US" w:eastAsia="zh-CN"/>
                    </w:rPr>
                    <w:t>/</w:t>
                  </w:r>
                </w:p>
              </w:tc>
              <w:tc>
                <w:tcPr>
                  <w:tcW w:w="794" w:type="dxa"/>
                  <w:tcBorders>
                    <w:tl2br w:val="nil"/>
                    <w:tr2bl w:val="nil"/>
                  </w:tcBorders>
                  <w:noWrap w:val="0"/>
                  <w:vAlign w:val="center"/>
                </w:tcPr>
                <w:p w14:paraId="2812DC91">
                  <w:pPr>
                    <w:pStyle w:val="56"/>
                    <w:bidi w:val="0"/>
                    <w:ind w:firstLine="0" w:firstLineChars="0"/>
                    <w:rPr>
                      <w:rFonts w:hint="default"/>
                      <w:color w:val="FF0000"/>
                      <w:lang w:val="en-US" w:eastAsia="zh-CN"/>
                    </w:rPr>
                  </w:pPr>
                  <w:r>
                    <w:rPr>
                      <w:rFonts w:hint="default"/>
                      <w:lang w:val="en-US" w:eastAsia="zh-CN"/>
                    </w:rPr>
                    <w:t>/</w:t>
                  </w:r>
                </w:p>
              </w:tc>
              <w:tc>
                <w:tcPr>
                  <w:tcW w:w="0" w:type="auto"/>
                  <w:tcBorders>
                    <w:tl2br w:val="nil"/>
                    <w:tr2bl w:val="nil"/>
                  </w:tcBorders>
                  <w:noWrap w:val="0"/>
                  <w:vAlign w:val="center"/>
                </w:tcPr>
                <w:p w14:paraId="6423FD2D">
                  <w:pPr>
                    <w:pStyle w:val="56"/>
                    <w:bidi w:val="0"/>
                    <w:jc w:val="center"/>
                    <w:rPr>
                      <w:rFonts w:hint="default"/>
                      <w:color w:val="FF0000"/>
                      <w:lang w:val="en-US" w:eastAsia="zh-CN"/>
                    </w:rPr>
                  </w:pPr>
                  <w:r>
                    <w:rPr>
                      <w:rFonts w:hint="eastAsia"/>
                      <w:color w:val="FF0000"/>
                      <w:lang w:val="en-US" w:eastAsia="zh-CN"/>
                    </w:rPr>
                    <w:t>仓顶布袋除尘器</w:t>
                  </w:r>
                </w:p>
              </w:tc>
              <w:tc>
                <w:tcPr>
                  <w:tcW w:w="0" w:type="auto"/>
                  <w:tcBorders>
                    <w:tl2br w:val="nil"/>
                    <w:tr2bl w:val="nil"/>
                  </w:tcBorders>
                  <w:noWrap w:val="0"/>
                  <w:vAlign w:val="center"/>
                </w:tcPr>
                <w:p w14:paraId="23074331">
                  <w:pPr>
                    <w:pStyle w:val="56"/>
                    <w:bidi w:val="0"/>
                    <w:rPr>
                      <w:rFonts w:hint="default"/>
                      <w:color w:val="FF0000"/>
                      <w:lang w:val="en-US" w:eastAsia="zh-CN"/>
                    </w:rPr>
                  </w:pPr>
                  <w:r>
                    <w:rPr>
                      <w:rFonts w:hint="eastAsia"/>
                      <w:color w:val="FF0000"/>
                      <w:lang w:val="en-US" w:eastAsia="zh-CN"/>
                    </w:rPr>
                    <w:t>99</w:t>
                  </w:r>
                </w:p>
              </w:tc>
              <w:tc>
                <w:tcPr>
                  <w:tcW w:w="0" w:type="auto"/>
                  <w:tcBorders>
                    <w:tl2br w:val="nil"/>
                    <w:tr2bl w:val="nil"/>
                  </w:tcBorders>
                  <w:noWrap w:val="0"/>
                  <w:vAlign w:val="center"/>
                </w:tcPr>
                <w:p w14:paraId="3E299FE2">
                  <w:pPr>
                    <w:pStyle w:val="56"/>
                    <w:bidi w:val="0"/>
                    <w:rPr>
                      <w:rFonts w:hint="eastAsia"/>
                      <w:color w:val="FF0000"/>
                      <w:lang w:val="en-US" w:eastAsia="zh-CN"/>
                    </w:rPr>
                  </w:pPr>
                  <w:r>
                    <w:rPr>
                      <w:rFonts w:hint="eastAsia"/>
                      <w:color w:val="FF0000"/>
                      <w:lang w:val="en-US" w:eastAsia="zh-CN"/>
                    </w:rPr>
                    <w:t>是</w:t>
                  </w:r>
                </w:p>
              </w:tc>
              <w:tc>
                <w:tcPr>
                  <w:tcW w:w="0" w:type="auto"/>
                  <w:tcBorders>
                    <w:tl2br w:val="nil"/>
                    <w:tr2bl w:val="nil"/>
                  </w:tcBorders>
                  <w:noWrap w:val="0"/>
                  <w:vAlign w:val="center"/>
                </w:tcPr>
                <w:p w14:paraId="6F6822C3">
                  <w:pPr>
                    <w:pStyle w:val="56"/>
                    <w:bidi w:val="0"/>
                    <w:rPr>
                      <w:rFonts w:hint="eastAsia"/>
                      <w:color w:val="FF0000"/>
                      <w:lang w:val="en-US" w:eastAsia="zh-CN"/>
                    </w:rPr>
                  </w:pPr>
                </w:p>
              </w:tc>
              <w:tc>
                <w:tcPr>
                  <w:tcW w:w="0" w:type="auto"/>
                  <w:tcBorders>
                    <w:tl2br w:val="nil"/>
                    <w:tr2bl w:val="nil"/>
                  </w:tcBorders>
                  <w:noWrap w:val="0"/>
                  <w:vAlign w:val="center"/>
                </w:tcPr>
                <w:p w14:paraId="0ADC7EBC">
                  <w:pPr>
                    <w:pStyle w:val="56"/>
                    <w:bidi w:val="0"/>
                    <w:rPr>
                      <w:rFonts w:hint="default"/>
                      <w:color w:val="FF0000"/>
                      <w:lang w:val="en-US" w:eastAsia="zh-CN"/>
                    </w:rPr>
                  </w:pPr>
                  <w:r>
                    <w:rPr>
                      <w:rFonts w:hint="eastAsia"/>
                      <w:color w:val="FF0000"/>
                      <w:lang w:val="en-US" w:eastAsia="zh-CN"/>
                    </w:rPr>
                    <w:t>0.002</w:t>
                  </w:r>
                </w:p>
              </w:tc>
              <w:tc>
                <w:tcPr>
                  <w:tcW w:w="0" w:type="auto"/>
                  <w:tcBorders>
                    <w:tl2br w:val="nil"/>
                    <w:tr2bl w:val="nil"/>
                  </w:tcBorders>
                  <w:noWrap w:val="0"/>
                  <w:vAlign w:val="center"/>
                </w:tcPr>
                <w:p w14:paraId="38D22B37">
                  <w:pPr>
                    <w:pStyle w:val="56"/>
                    <w:bidi w:val="0"/>
                    <w:rPr>
                      <w:rFonts w:hint="default"/>
                      <w:color w:val="FF0000"/>
                      <w:lang w:val="en-US" w:eastAsia="zh-CN"/>
                    </w:rPr>
                  </w:pPr>
                  <w:r>
                    <w:rPr>
                      <w:rFonts w:hint="eastAsia"/>
                      <w:color w:val="FF0000"/>
                      <w:lang w:val="en-US" w:eastAsia="zh-CN"/>
                    </w:rPr>
                    <w:t>0.004</w:t>
                  </w:r>
                </w:p>
              </w:tc>
            </w:tr>
            <w:tr w14:paraId="427639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0" w:type="auto"/>
                  <w:tcBorders>
                    <w:tl2br w:val="nil"/>
                    <w:tr2bl w:val="nil"/>
                  </w:tcBorders>
                  <w:noWrap w:val="0"/>
                  <w:vAlign w:val="center"/>
                </w:tcPr>
                <w:p w14:paraId="22EDA96F">
                  <w:pPr>
                    <w:pStyle w:val="56"/>
                    <w:bidi w:val="0"/>
                    <w:rPr>
                      <w:rFonts w:hint="default"/>
                      <w:szCs w:val="21"/>
                      <w:lang w:val="en-US" w:eastAsia="zh-CN"/>
                    </w:rPr>
                  </w:pPr>
                  <w:r>
                    <w:rPr>
                      <w:rFonts w:hint="eastAsia"/>
                      <w:lang w:val="en-US" w:eastAsia="zh-CN"/>
                    </w:rPr>
                    <w:t>车辆运输</w:t>
                  </w:r>
                </w:p>
              </w:tc>
              <w:tc>
                <w:tcPr>
                  <w:tcW w:w="789" w:type="dxa"/>
                  <w:tcBorders>
                    <w:tl2br w:val="nil"/>
                    <w:tr2bl w:val="nil"/>
                  </w:tcBorders>
                  <w:noWrap w:val="0"/>
                  <w:vAlign w:val="center"/>
                </w:tcPr>
                <w:p w14:paraId="18D54529">
                  <w:pPr>
                    <w:pStyle w:val="56"/>
                    <w:bidi w:val="0"/>
                    <w:rPr>
                      <w:rFonts w:hint="eastAsia"/>
                      <w:color w:val="FF0000"/>
                      <w:szCs w:val="21"/>
                    </w:rPr>
                  </w:pPr>
                  <w:r>
                    <w:rPr>
                      <w:rFonts w:hint="eastAsia"/>
                      <w:color w:val="FF0000"/>
                      <w:lang w:val="en-US" w:eastAsia="zh-CN"/>
                    </w:rPr>
                    <w:t>无组织</w:t>
                  </w:r>
                </w:p>
              </w:tc>
              <w:tc>
                <w:tcPr>
                  <w:tcW w:w="853" w:type="dxa"/>
                  <w:tcBorders>
                    <w:tl2br w:val="nil"/>
                    <w:tr2bl w:val="nil"/>
                  </w:tcBorders>
                  <w:noWrap w:val="0"/>
                  <w:vAlign w:val="center"/>
                </w:tcPr>
                <w:p w14:paraId="647C61E8">
                  <w:pPr>
                    <w:pStyle w:val="56"/>
                    <w:bidi w:val="0"/>
                    <w:rPr>
                      <w:color w:val="FF0000"/>
                      <w:szCs w:val="21"/>
                    </w:rPr>
                  </w:pPr>
                  <w:r>
                    <w:rPr>
                      <w:rFonts w:hint="eastAsia"/>
                      <w:color w:val="FF0000"/>
                      <w:lang w:val="en-US" w:eastAsia="zh-CN"/>
                    </w:rPr>
                    <w:t>颗粒物</w:t>
                  </w:r>
                </w:p>
              </w:tc>
              <w:tc>
                <w:tcPr>
                  <w:tcW w:w="0" w:type="auto"/>
                  <w:tcBorders>
                    <w:tl2br w:val="nil"/>
                    <w:tr2bl w:val="nil"/>
                  </w:tcBorders>
                  <w:noWrap w:val="0"/>
                  <w:vAlign w:val="center"/>
                </w:tcPr>
                <w:p w14:paraId="7115111F">
                  <w:pPr>
                    <w:pStyle w:val="56"/>
                    <w:bidi w:val="0"/>
                    <w:rPr>
                      <w:color w:val="FF0000"/>
                      <w:szCs w:val="21"/>
                    </w:rPr>
                  </w:pPr>
                  <w:r>
                    <w:rPr>
                      <w:rFonts w:hint="default"/>
                      <w:color w:val="FF0000"/>
                      <w:lang w:val="en-US" w:eastAsia="zh-CN"/>
                    </w:rPr>
                    <w:t>/</w:t>
                  </w:r>
                </w:p>
              </w:tc>
              <w:tc>
                <w:tcPr>
                  <w:tcW w:w="0" w:type="auto"/>
                  <w:tcBorders>
                    <w:tl2br w:val="nil"/>
                    <w:tr2bl w:val="nil"/>
                  </w:tcBorders>
                  <w:noWrap w:val="0"/>
                  <w:vAlign w:val="center"/>
                </w:tcPr>
                <w:p w14:paraId="2091919B">
                  <w:pPr>
                    <w:pStyle w:val="56"/>
                    <w:bidi w:val="0"/>
                    <w:rPr>
                      <w:rFonts w:hint="default"/>
                      <w:color w:val="FF0000"/>
                      <w:szCs w:val="21"/>
                      <w:lang w:val="en-US"/>
                    </w:rPr>
                  </w:pPr>
                  <w:r>
                    <w:rPr>
                      <w:rFonts w:hint="default"/>
                      <w:color w:val="FF0000"/>
                      <w:lang w:val="en-US" w:eastAsia="zh-CN"/>
                    </w:rPr>
                    <w:t>0.0</w:t>
                  </w:r>
                  <w:r>
                    <w:rPr>
                      <w:rFonts w:hint="eastAsia"/>
                      <w:color w:val="FF0000"/>
                      <w:lang w:val="en-US" w:eastAsia="zh-CN"/>
                    </w:rPr>
                    <w:t>81</w:t>
                  </w:r>
                </w:p>
              </w:tc>
              <w:tc>
                <w:tcPr>
                  <w:tcW w:w="0" w:type="auto"/>
                  <w:tcBorders>
                    <w:tl2br w:val="nil"/>
                    <w:tr2bl w:val="nil"/>
                  </w:tcBorders>
                  <w:noWrap w:val="0"/>
                  <w:vAlign w:val="center"/>
                </w:tcPr>
                <w:p w14:paraId="474177DA">
                  <w:pPr>
                    <w:pStyle w:val="56"/>
                    <w:bidi w:val="0"/>
                    <w:rPr>
                      <w:rFonts w:hint="default"/>
                      <w:color w:val="FF0000"/>
                      <w:szCs w:val="21"/>
                      <w:lang w:val="en-US"/>
                    </w:rPr>
                  </w:pPr>
                  <w:r>
                    <w:rPr>
                      <w:rFonts w:hint="default"/>
                      <w:color w:val="FF0000"/>
                      <w:lang w:val="en-US" w:eastAsia="zh-CN"/>
                    </w:rPr>
                    <w:t>0.</w:t>
                  </w:r>
                  <w:r>
                    <w:rPr>
                      <w:rFonts w:hint="eastAsia"/>
                      <w:color w:val="FF0000"/>
                      <w:lang w:val="en-US" w:eastAsia="zh-CN"/>
                    </w:rPr>
                    <w:t>194</w:t>
                  </w:r>
                </w:p>
              </w:tc>
              <w:tc>
                <w:tcPr>
                  <w:tcW w:w="0" w:type="auto"/>
                  <w:tcBorders>
                    <w:tl2br w:val="nil"/>
                    <w:tr2bl w:val="nil"/>
                  </w:tcBorders>
                  <w:noWrap w:val="0"/>
                  <w:vAlign w:val="center"/>
                </w:tcPr>
                <w:p w14:paraId="4825148A">
                  <w:pPr>
                    <w:pStyle w:val="56"/>
                    <w:bidi w:val="0"/>
                    <w:rPr>
                      <w:color w:val="FF0000"/>
                      <w:szCs w:val="21"/>
                    </w:rPr>
                  </w:pPr>
                  <w:r>
                    <w:rPr>
                      <w:rFonts w:hint="default"/>
                      <w:color w:val="FF0000"/>
                      <w:lang w:val="en-US" w:eastAsia="zh-CN"/>
                    </w:rPr>
                    <w:t>/</w:t>
                  </w:r>
                </w:p>
              </w:tc>
              <w:tc>
                <w:tcPr>
                  <w:tcW w:w="0" w:type="auto"/>
                  <w:tcBorders>
                    <w:tl2br w:val="nil"/>
                    <w:tr2bl w:val="nil"/>
                  </w:tcBorders>
                  <w:noWrap w:val="0"/>
                  <w:vAlign w:val="center"/>
                </w:tcPr>
                <w:p w14:paraId="6A9607BA">
                  <w:pPr>
                    <w:pStyle w:val="56"/>
                    <w:bidi w:val="0"/>
                    <w:rPr>
                      <w:rFonts w:hint="default"/>
                      <w:color w:val="FF0000"/>
                      <w:szCs w:val="21"/>
                      <w:lang w:val="en-US" w:eastAsia="zh-CN"/>
                    </w:rPr>
                  </w:pPr>
                  <w:r>
                    <w:rPr>
                      <w:rFonts w:hint="default"/>
                      <w:color w:val="FF0000"/>
                      <w:lang w:val="en-US" w:eastAsia="zh-CN"/>
                    </w:rPr>
                    <w:t>0</w:t>
                  </w:r>
                </w:p>
              </w:tc>
              <w:tc>
                <w:tcPr>
                  <w:tcW w:w="0" w:type="auto"/>
                  <w:tcBorders>
                    <w:tl2br w:val="nil"/>
                    <w:tr2bl w:val="nil"/>
                  </w:tcBorders>
                  <w:noWrap w:val="0"/>
                  <w:vAlign w:val="center"/>
                </w:tcPr>
                <w:p w14:paraId="094AD72F">
                  <w:pPr>
                    <w:pStyle w:val="56"/>
                    <w:bidi w:val="0"/>
                    <w:rPr>
                      <w:rFonts w:hint="default"/>
                      <w:color w:val="FF0000"/>
                      <w:szCs w:val="21"/>
                      <w:lang w:val="en-US" w:eastAsia="zh-CN"/>
                    </w:rPr>
                  </w:pPr>
                  <w:r>
                    <w:rPr>
                      <w:rFonts w:hint="eastAsia"/>
                      <w:color w:val="FF0000"/>
                      <w:lang w:val="en-US" w:eastAsia="zh-CN"/>
                    </w:rPr>
                    <w:t>洒水降尘、车辆冲洗</w:t>
                  </w:r>
                </w:p>
              </w:tc>
              <w:tc>
                <w:tcPr>
                  <w:tcW w:w="0" w:type="auto"/>
                  <w:tcBorders>
                    <w:tl2br w:val="nil"/>
                    <w:tr2bl w:val="nil"/>
                  </w:tcBorders>
                  <w:noWrap w:val="0"/>
                  <w:vAlign w:val="center"/>
                </w:tcPr>
                <w:p w14:paraId="00EFEA3C">
                  <w:pPr>
                    <w:pStyle w:val="56"/>
                    <w:bidi w:val="0"/>
                    <w:rPr>
                      <w:rFonts w:hint="default"/>
                      <w:color w:val="FF0000"/>
                      <w:szCs w:val="21"/>
                      <w:lang w:val="en-US"/>
                    </w:rPr>
                  </w:pPr>
                  <w:r>
                    <w:rPr>
                      <w:rFonts w:hint="default"/>
                      <w:color w:val="FF0000"/>
                      <w:lang w:val="en-US" w:eastAsia="zh-CN"/>
                    </w:rPr>
                    <w:t>95</w:t>
                  </w:r>
                </w:p>
              </w:tc>
              <w:tc>
                <w:tcPr>
                  <w:tcW w:w="0" w:type="auto"/>
                  <w:tcBorders>
                    <w:tl2br w:val="nil"/>
                    <w:tr2bl w:val="nil"/>
                  </w:tcBorders>
                  <w:noWrap w:val="0"/>
                  <w:vAlign w:val="center"/>
                </w:tcPr>
                <w:p w14:paraId="09532599">
                  <w:pPr>
                    <w:pStyle w:val="56"/>
                    <w:bidi w:val="0"/>
                    <w:rPr>
                      <w:color w:val="FF0000"/>
                      <w:szCs w:val="21"/>
                    </w:rPr>
                  </w:pPr>
                  <w:r>
                    <w:rPr>
                      <w:rFonts w:hint="eastAsia"/>
                      <w:color w:val="FF0000"/>
                      <w:lang w:val="en-US" w:eastAsia="zh-CN"/>
                    </w:rPr>
                    <w:t>是</w:t>
                  </w:r>
                </w:p>
              </w:tc>
              <w:tc>
                <w:tcPr>
                  <w:tcW w:w="0" w:type="auto"/>
                  <w:tcBorders>
                    <w:tl2br w:val="nil"/>
                    <w:tr2bl w:val="nil"/>
                  </w:tcBorders>
                  <w:noWrap w:val="0"/>
                  <w:vAlign w:val="center"/>
                </w:tcPr>
                <w:p w14:paraId="4196440E">
                  <w:pPr>
                    <w:pStyle w:val="56"/>
                    <w:bidi w:val="0"/>
                    <w:rPr>
                      <w:rFonts w:hint="default"/>
                      <w:color w:val="FF0000"/>
                      <w:szCs w:val="21"/>
                      <w:lang w:val="en-US" w:eastAsia="zh-CN"/>
                    </w:rPr>
                  </w:pPr>
                  <w:r>
                    <w:rPr>
                      <w:rFonts w:hint="default"/>
                      <w:color w:val="FF0000"/>
                      <w:lang w:val="en-US" w:eastAsia="zh-CN"/>
                    </w:rPr>
                    <w:t>/</w:t>
                  </w:r>
                </w:p>
              </w:tc>
              <w:tc>
                <w:tcPr>
                  <w:tcW w:w="0" w:type="auto"/>
                  <w:tcBorders>
                    <w:tl2br w:val="nil"/>
                    <w:tr2bl w:val="nil"/>
                  </w:tcBorders>
                  <w:noWrap w:val="0"/>
                  <w:vAlign w:val="center"/>
                </w:tcPr>
                <w:p w14:paraId="6C72E07F">
                  <w:pPr>
                    <w:pStyle w:val="56"/>
                    <w:bidi w:val="0"/>
                    <w:rPr>
                      <w:rFonts w:hint="default"/>
                      <w:color w:val="FF0000"/>
                      <w:szCs w:val="21"/>
                      <w:lang w:val="en-US"/>
                    </w:rPr>
                  </w:pPr>
                  <w:r>
                    <w:rPr>
                      <w:rFonts w:hint="default"/>
                      <w:color w:val="FF0000"/>
                      <w:lang w:val="en-US" w:eastAsia="zh-CN"/>
                    </w:rPr>
                    <w:t>0.00</w:t>
                  </w:r>
                  <w:r>
                    <w:rPr>
                      <w:rFonts w:hint="eastAsia"/>
                      <w:color w:val="FF0000"/>
                      <w:lang w:val="en-US" w:eastAsia="zh-CN"/>
                    </w:rPr>
                    <w:t>4</w:t>
                  </w:r>
                </w:p>
              </w:tc>
              <w:tc>
                <w:tcPr>
                  <w:tcW w:w="0" w:type="auto"/>
                  <w:tcBorders>
                    <w:tl2br w:val="nil"/>
                    <w:tr2bl w:val="nil"/>
                  </w:tcBorders>
                  <w:noWrap w:val="0"/>
                  <w:vAlign w:val="center"/>
                </w:tcPr>
                <w:p w14:paraId="116F26E5">
                  <w:pPr>
                    <w:pStyle w:val="56"/>
                    <w:bidi w:val="0"/>
                    <w:rPr>
                      <w:color w:val="FF0000"/>
                      <w:szCs w:val="21"/>
                    </w:rPr>
                  </w:pPr>
                  <w:r>
                    <w:rPr>
                      <w:rFonts w:hint="default"/>
                      <w:color w:val="FF0000"/>
                      <w:lang w:val="en-US" w:eastAsia="zh-CN"/>
                    </w:rPr>
                    <w:t>0.00</w:t>
                  </w:r>
                  <w:r>
                    <w:rPr>
                      <w:rFonts w:hint="eastAsia"/>
                      <w:color w:val="FF0000"/>
                      <w:lang w:val="en-US" w:eastAsia="zh-CN"/>
                    </w:rPr>
                    <w:t>9</w:t>
                  </w:r>
                </w:p>
              </w:tc>
            </w:tr>
            <w:tr w14:paraId="659173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0" w:type="auto"/>
                  <w:tcBorders>
                    <w:tl2br w:val="nil"/>
                    <w:tr2bl w:val="nil"/>
                  </w:tcBorders>
                  <w:noWrap w:val="0"/>
                  <w:vAlign w:val="center"/>
                </w:tcPr>
                <w:p w14:paraId="4F24A698">
                  <w:pPr>
                    <w:pStyle w:val="56"/>
                    <w:bidi w:val="0"/>
                    <w:rPr>
                      <w:rFonts w:hint="default"/>
                      <w:szCs w:val="21"/>
                      <w:lang w:val="en-US" w:eastAsia="zh-CN"/>
                    </w:rPr>
                  </w:pPr>
                  <w:r>
                    <w:rPr>
                      <w:rFonts w:hint="eastAsia"/>
                      <w:lang w:val="en-US" w:eastAsia="zh-CN"/>
                    </w:rPr>
                    <w:t>焊接</w:t>
                  </w:r>
                </w:p>
              </w:tc>
              <w:tc>
                <w:tcPr>
                  <w:tcW w:w="789" w:type="dxa"/>
                  <w:tcBorders>
                    <w:tl2br w:val="nil"/>
                    <w:tr2bl w:val="nil"/>
                  </w:tcBorders>
                  <w:noWrap w:val="0"/>
                  <w:vAlign w:val="center"/>
                </w:tcPr>
                <w:p w14:paraId="3FC88177">
                  <w:pPr>
                    <w:pStyle w:val="56"/>
                    <w:bidi w:val="0"/>
                    <w:rPr>
                      <w:rFonts w:hint="eastAsia"/>
                      <w:szCs w:val="21"/>
                    </w:rPr>
                  </w:pPr>
                  <w:r>
                    <w:rPr>
                      <w:rFonts w:hint="eastAsia"/>
                      <w:lang w:val="en-US" w:eastAsia="zh-CN"/>
                    </w:rPr>
                    <w:t>无组织</w:t>
                  </w:r>
                </w:p>
              </w:tc>
              <w:tc>
                <w:tcPr>
                  <w:tcW w:w="853" w:type="dxa"/>
                  <w:tcBorders>
                    <w:tl2br w:val="nil"/>
                    <w:tr2bl w:val="nil"/>
                  </w:tcBorders>
                  <w:noWrap w:val="0"/>
                  <w:vAlign w:val="center"/>
                </w:tcPr>
                <w:p w14:paraId="44566A48">
                  <w:pPr>
                    <w:pStyle w:val="56"/>
                    <w:bidi w:val="0"/>
                    <w:rPr>
                      <w:rFonts w:hint="eastAsia"/>
                      <w:szCs w:val="21"/>
                      <w:lang w:val="en-US" w:eastAsia="zh-CN"/>
                    </w:rPr>
                  </w:pPr>
                  <w:r>
                    <w:rPr>
                      <w:rFonts w:hint="eastAsia"/>
                      <w:lang w:val="en-US" w:eastAsia="zh-CN"/>
                    </w:rPr>
                    <w:t>颗粒物</w:t>
                  </w:r>
                </w:p>
              </w:tc>
              <w:tc>
                <w:tcPr>
                  <w:tcW w:w="0" w:type="auto"/>
                  <w:tcBorders>
                    <w:tl2br w:val="nil"/>
                    <w:tr2bl w:val="nil"/>
                  </w:tcBorders>
                  <w:noWrap w:val="0"/>
                  <w:vAlign w:val="center"/>
                </w:tcPr>
                <w:p w14:paraId="1FE5521E">
                  <w:pPr>
                    <w:pStyle w:val="56"/>
                    <w:bidi w:val="0"/>
                    <w:rPr>
                      <w:rFonts w:hint="default"/>
                      <w:sz w:val="21"/>
                      <w:szCs w:val="21"/>
                      <w:lang w:val="en-US" w:eastAsia="zh-CN"/>
                    </w:rPr>
                  </w:pPr>
                  <w:r>
                    <w:rPr>
                      <w:rFonts w:hint="eastAsia"/>
                      <w:sz w:val="21"/>
                      <w:szCs w:val="21"/>
                      <w:lang w:val="en-US" w:eastAsia="zh-CN"/>
                    </w:rPr>
                    <w:t>/</w:t>
                  </w:r>
                </w:p>
              </w:tc>
              <w:tc>
                <w:tcPr>
                  <w:tcW w:w="0" w:type="auto"/>
                  <w:tcBorders>
                    <w:tl2br w:val="nil"/>
                    <w:tr2bl w:val="nil"/>
                  </w:tcBorders>
                  <w:noWrap w:val="0"/>
                  <w:vAlign w:val="center"/>
                </w:tcPr>
                <w:p w14:paraId="7182F1A6">
                  <w:pPr>
                    <w:pStyle w:val="56"/>
                    <w:bidi w:val="0"/>
                    <w:rPr>
                      <w:rFonts w:hint="eastAsia"/>
                      <w:szCs w:val="21"/>
                      <w:lang w:val="en-US" w:eastAsia="zh-CN"/>
                    </w:rPr>
                  </w:pPr>
                  <w:r>
                    <w:rPr>
                      <w:rFonts w:hint="eastAsia"/>
                      <w:lang w:val="en-US" w:eastAsia="zh-CN"/>
                    </w:rPr>
                    <w:t>0.004</w:t>
                  </w:r>
                </w:p>
              </w:tc>
              <w:tc>
                <w:tcPr>
                  <w:tcW w:w="0" w:type="auto"/>
                  <w:tcBorders>
                    <w:tl2br w:val="nil"/>
                    <w:tr2bl w:val="nil"/>
                  </w:tcBorders>
                  <w:noWrap w:val="0"/>
                  <w:vAlign w:val="center"/>
                </w:tcPr>
                <w:p w14:paraId="2D51A15E">
                  <w:pPr>
                    <w:pStyle w:val="56"/>
                    <w:bidi w:val="0"/>
                    <w:rPr>
                      <w:rFonts w:hint="eastAsia"/>
                      <w:szCs w:val="21"/>
                      <w:lang w:val="en-US" w:eastAsia="zh-CN"/>
                    </w:rPr>
                  </w:pPr>
                  <w:r>
                    <w:rPr>
                      <w:rFonts w:hint="eastAsia"/>
                      <w:lang w:val="en-US" w:eastAsia="zh-CN"/>
                    </w:rPr>
                    <w:t>0.009</w:t>
                  </w:r>
                </w:p>
              </w:tc>
              <w:tc>
                <w:tcPr>
                  <w:tcW w:w="0" w:type="auto"/>
                  <w:tcBorders>
                    <w:tl2br w:val="nil"/>
                    <w:tr2bl w:val="nil"/>
                  </w:tcBorders>
                  <w:noWrap w:val="0"/>
                  <w:vAlign w:val="center"/>
                </w:tcPr>
                <w:p w14:paraId="6030C581">
                  <w:pPr>
                    <w:pStyle w:val="56"/>
                    <w:bidi w:val="0"/>
                    <w:rPr>
                      <w:rFonts w:hint="default"/>
                      <w:sz w:val="21"/>
                      <w:szCs w:val="21"/>
                      <w:lang w:val="en-US" w:eastAsia="zh-CN"/>
                    </w:rPr>
                  </w:pPr>
                  <w:r>
                    <w:rPr>
                      <w:rFonts w:hint="eastAsia"/>
                      <w:sz w:val="21"/>
                      <w:szCs w:val="21"/>
                      <w:lang w:val="en-US" w:eastAsia="zh-CN"/>
                    </w:rPr>
                    <w:t>/</w:t>
                  </w:r>
                </w:p>
              </w:tc>
              <w:tc>
                <w:tcPr>
                  <w:tcW w:w="0" w:type="auto"/>
                  <w:tcBorders>
                    <w:tl2br w:val="nil"/>
                    <w:tr2bl w:val="nil"/>
                  </w:tcBorders>
                  <w:noWrap w:val="0"/>
                  <w:vAlign w:val="center"/>
                </w:tcPr>
                <w:p w14:paraId="296ABEF8">
                  <w:pPr>
                    <w:pStyle w:val="56"/>
                    <w:bidi w:val="0"/>
                    <w:rPr>
                      <w:rFonts w:hint="default"/>
                      <w:sz w:val="21"/>
                      <w:szCs w:val="21"/>
                      <w:lang w:val="en-US" w:eastAsia="zh-CN"/>
                    </w:rPr>
                  </w:pPr>
                  <w:r>
                    <w:rPr>
                      <w:rFonts w:hint="eastAsia"/>
                      <w:sz w:val="21"/>
                      <w:szCs w:val="21"/>
                      <w:lang w:val="en-US" w:eastAsia="zh-CN"/>
                    </w:rPr>
                    <w:t>/</w:t>
                  </w:r>
                </w:p>
              </w:tc>
              <w:tc>
                <w:tcPr>
                  <w:tcW w:w="0" w:type="auto"/>
                  <w:tcBorders>
                    <w:tl2br w:val="nil"/>
                    <w:tr2bl w:val="nil"/>
                  </w:tcBorders>
                  <w:noWrap w:val="0"/>
                  <w:vAlign w:val="center"/>
                </w:tcPr>
                <w:p w14:paraId="0A6D0481">
                  <w:pPr>
                    <w:pStyle w:val="56"/>
                    <w:bidi w:val="0"/>
                    <w:rPr>
                      <w:rFonts w:hint="default"/>
                      <w:szCs w:val="21"/>
                      <w:lang w:val="en-US" w:eastAsia="zh-CN"/>
                    </w:rPr>
                  </w:pPr>
                  <w:r>
                    <w:rPr>
                      <w:rFonts w:hint="eastAsia"/>
                      <w:lang w:val="en-US" w:eastAsia="zh-CN"/>
                    </w:rPr>
                    <w:t>焊烟净化器</w:t>
                  </w:r>
                </w:p>
              </w:tc>
              <w:tc>
                <w:tcPr>
                  <w:tcW w:w="0" w:type="auto"/>
                  <w:tcBorders>
                    <w:tl2br w:val="nil"/>
                    <w:tr2bl w:val="nil"/>
                  </w:tcBorders>
                  <w:noWrap w:val="0"/>
                  <w:vAlign w:val="center"/>
                </w:tcPr>
                <w:p w14:paraId="41329E95">
                  <w:pPr>
                    <w:pStyle w:val="56"/>
                    <w:bidi w:val="0"/>
                    <w:rPr>
                      <w:rFonts w:hint="eastAsia"/>
                      <w:szCs w:val="21"/>
                      <w:lang w:val="en-US" w:eastAsia="zh-CN"/>
                    </w:rPr>
                  </w:pPr>
                  <w:r>
                    <w:rPr>
                      <w:rFonts w:hint="eastAsia"/>
                      <w:lang w:val="en-US" w:eastAsia="zh-CN"/>
                    </w:rPr>
                    <w:t>80</w:t>
                  </w:r>
                </w:p>
              </w:tc>
              <w:tc>
                <w:tcPr>
                  <w:tcW w:w="0" w:type="auto"/>
                  <w:tcBorders>
                    <w:tl2br w:val="nil"/>
                    <w:tr2bl w:val="nil"/>
                  </w:tcBorders>
                  <w:noWrap w:val="0"/>
                  <w:vAlign w:val="center"/>
                </w:tcPr>
                <w:p w14:paraId="007D82E1">
                  <w:pPr>
                    <w:pStyle w:val="56"/>
                    <w:bidi w:val="0"/>
                    <w:rPr>
                      <w:rFonts w:hint="eastAsia"/>
                      <w:szCs w:val="21"/>
                    </w:rPr>
                  </w:pPr>
                  <w:r>
                    <w:rPr>
                      <w:rFonts w:hint="eastAsia"/>
                      <w:lang w:val="en-US" w:eastAsia="zh-CN"/>
                    </w:rPr>
                    <w:t>是</w:t>
                  </w:r>
                </w:p>
              </w:tc>
              <w:tc>
                <w:tcPr>
                  <w:tcW w:w="0" w:type="auto"/>
                  <w:tcBorders>
                    <w:tl2br w:val="nil"/>
                    <w:tr2bl w:val="nil"/>
                  </w:tcBorders>
                  <w:noWrap w:val="0"/>
                  <w:vAlign w:val="center"/>
                </w:tcPr>
                <w:p w14:paraId="2B9FF0BF">
                  <w:pPr>
                    <w:pStyle w:val="56"/>
                    <w:bidi w:val="0"/>
                    <w:rPr>
                      <w:rFonts w:hint="eastAsia"/>
                      <w:sz w:val="21"/>
                      <w:szCs w:val="21"/>
                      <w:lang w:val="en-US" w:eastAsia="zh-CN"/>
                    </w:rPr>
                  </w:pPr>
                  <w:r>
                    <w:rPr>
                      <w:rFonts w:hint="default"/>
                      <w:lang w:val="en-US" w:eastAsia="zh-CN"/>
                    </w:rPr>
                    <w:t>/</w:t>
                  </w:r>
                </w:p>
              </w:tc>
              <w:tc>
                <w:tcPr>
                  <w:tcW w:w="0" w:type="auto"/>
                  <w:tcBorders>
                    <w:tl2br w:val="nil"/>
                    <w:tr2bl w:val="nil"/>
                  </w:tcBorders>
                  <w:noWrap w:val="0"/>
                  <w:vAlign w:val="center"/>
                </w:tcPr>
                <w:p w14:paraId="61FEF4F1">
                  <w:pPr>
                    <w:pStyle w:val="56"/>
                    <w:bidi w:val="0"/>
                    <w:rPr>
                      <w:rFonts w:hint="eastAsia"/>
                      <w:szCs w:val="21"/>
                      <w:lang w:val="en-US" w:eastAsia="zh-CN"/>
                    </w:rPr>
                  </w:pPr>
                  <w:r>
                    <w:rPr>
                      <w:rFonts w:hint="eastAsia"/>
                      <w:lang w:val="en-US" w:eastAsia="zh-CN"/>
                    </w:rPr>
                    <w:t>0.0008</w:t>
                  </w:r>
                </w:p>
              </w:tc>
              <w:tc>
                <w:tcPr>
                  <w:tcW w:w="0" w:type="auto"/>
                  <w:tcBorders>
                    <w:tl2br w:val="nil"/>
                    <w:tr2bl w:val="nil"/>
                  </w:tcBorders>
                  <w:noWrap w:val="0"/>
                  <w:vAlign w:val="center"/>
                </w:tcPr>
                <w:p w14:paraId="266E6A37">
                  <w:pPr>
                    <w:pStyle w:val="56"/>
                    <w:bidi w:val="0"/>
                    <w:rPr>
                      <w:rFonts w:hint="eastAsia"/>
                      <w:szCs w:val="21"/>
                      <w:lang w:val="en-US" w:eastAsia="zh-CN"/>
                    </w:rPr>
                  </w:pPr>
                  <w:r>
                    <w:rPr>
                      <w:rFonts w:hint="eastAsia"/>
                      <w:lang w:val="en-US" w:eastAsia="zh-CN"/>
                    </w:rPr>
                    <w:t>0.002</w:t>
                  </w:r>
                </w:p>
              </w:tc>
            </w:tr>
          </w:tbl>
          <w:p w14:paraId="1AE221AB">
            <w:pPr>
              <w:autoSpaceDE w:val="0"/>
              <w:autoSpaceDN w:val="0"/>
              <w:snapToGrid w:val="0"/>
              <w:spacing w:line="240" w:lineRule="auto"/>
              <w:jc w:val="center"/>
              <w:textAlignment w:val="center"/>
              <w:rPr>
                <w:rFonts w:hint="eastAsia" w:cs="宋体"/>
                <w:b/>
                <w:sz w:val="21"/>
                <w:szCs w:val="18"/>
                <w:lang w:val="zh-CN" w:bidi="ar"/>
              </w:rPr>
            </w:pPr>
            <w:r>
              <w:rPr>
                <w:rFonts w:hint="eastAsia" w:cs="宋体"/>
                <w:b/>
                <w:sz w:val="21"/>
                <w:szCs w:val="18"/>
                <w:lang w:val="zh-CN" w:bidi="ar"/>
              </w:rPr>
              <w:t>表</w:t>
            </w:r>
            <w:r>
              <w:rPr>
                <w:rFonts w:hint="eastAsia" w:cs="宋体"/>
                <w:b/>
                <w:sz w:val="21"/>
                <w:szCs w:val="18"/>
                <w:lang w:bidi="ar"/>
              </w:rPr>
              <w:t>4-</w:t>
            </w:r>
            <w:r>
              <w:rPr>
                <w:rFonts w:hint="eastAsia" w:cs="宋体"/>
                <w:b/>
                <w:sz w:val="21"/>
                <w:szCs w:val="18"/>
                <w:lang w:val="en-US" w:eastAsia="zh-CN" w:bidi="ar"/>
              </w:rPr>
              <w:t>3</w:t>
            </w:r>
            <w:r>
              <w:rPr>
                <w:rFonts w:hint="eastAsia" w:cs="宋体"/>
                <w:b/>
                <w:sz w:val="21"/>
                <w:szCs w:val="18"/>
                <w:lang w:bidi="ar"/>
              </w:rPr>
              <w:t xml:space="preserve"> </w:t>
            </w:r>
            <w:r>
              <w:rPr>
                <w:rFonts w:hint="eastAsia" w:cs="宋体"/>
                <w:b/>
                <w:sz w:val="21"/>
                <w:szCs w:val="18"/>
                <w:lang w:val="zh-CN" w:bidi="ar"/>
              </w:rPr>
              <w:t>项目大气污染物排放口基本情况一览表</w:t>
            </w:r>
          </w:p>
          <w:tbl>
            <w:tblPr>
              <w:tblStyle w:val="41"/>
              <w:tblW w:w="0" w:type="auto"/>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1535"/>
              <w:gridCol w:w="1266"/>
              <w:gridCol w:w="2357"/>
              <w:gridCol w:w="636"/>
              <w:gridCol w:w="636"/>
              <w:gridCol w:w="636"/>
              <w:gridCol w:w="794"/>
              <w:gridCol w:w="1266"/>
              <w:gridCol w:w="3810"/>
            </w:tblGrid>
            <w:tr w14:paraId="5035A437">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06" w:hRule="atLeast"/>
                <w:tblHeader/>
                <w:jc w:val="center"/>
              </w:trPr>
              <w:tc>
                <w:tcPr>
                  <w:tcW w:w="0" w:type="auto"/>
                  <w:vMerge w:val="restart"/>
                  <w:noWrap w:val="0"/>
                  <w:vAlign w:val="center"/>
                </w:tcPr>
                <w:p w14:paraId="4D2906BC">
                  <w:pPr>
                    <w:pStyle w:val="56"/>
                    <w:bidi w:val="0"/>
                    <w:spacing w:line="240" w:lineRule="auto"/>
                    <w:rPr>
                      <w:rFonts w:hint="eastAsia"/>
                      <w:szCs w:val="21"/>
                    </w:rPr>
                  </w:pPr>
                  <w:r>
                    <w:rPr>
                      <w:rFonts w:hint="eastAsia"/>
                    </w:rPr>
                    <w:t>产污位置/环节</w:t>
                  </w:r>
                </w:p>
              </w:tc>
              <w:tc>
                <w:tcPr>
                  <w:tcW w:w="0" w:type="auto"/>
                  <w:vMerge w:val="restart"/>
                  <w:noWrap w:val="0"/>
                  <w:vAlign w:val="center"/>
                </w:tcPr>
                <w:p w14:paraId="230AF871">
                  <w:pPr>
                    <w:pStyle w:val="56"/>
                    <w:bidi w:val="0"/>
                    <w:spacing w:line="240" w:lineRule="auto"/>
                    <w:rPr>
                      <w:szCs w:val="21"/>
                    </w:rPr>
                  </w:pPr>
                  <w:r>
                    <w:rPr>
                      <w:rFonts w:hint="eastAsia"/>
                    </w:rPr>
                    <w:t>污染物种类</w:t>
                  </w:r>
                </w:p>
              </w:tc>
              <w:tc>
                <w:tcPr>
                  <w:tcW w:w="0" w:type="auto"/>
                  <w:gridSpan w:val="7"/>
                  <w:noWrap w:val="0"/>
                  <w:vAlign w:val="center"/>
                </w:tcPr>
                <w:p w14:paraId="15C9DBFF">
                  <w:pPr>
                    <w:pStyle w:val="56"/>
                    <w:bidi w:val="0"/>
                    <w:spacing w:line="240" w:lineRule="auto"/>
                    <w:rPr>
                      <w:rFonts w:hint="eastAsia"/>
                      <w:szCs w:val="21"/>
                    </w:rPr>
                  </w:pPr>
                  <w:r>
                    <w:rPr>
                      <w:rFonts w:hint="eastAsia"/>
                    </w:rPr>
                    <w:t>排放口基本情况</w:t>
                  </w:r>
                </w:p>
              </w:tc>
            </w:tr>
            <w:tr w14:paraId="6DA0F3DE">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02" w:hRule="atLeast"/>
                <w:tblHeader/>
                <w:jc w:val="center"/>
              </w:trPr>
              <w:tc>
                <w:tcPr>
                  <w:tcW w:w="0" w:type="auto"/>
                  <w:vMerge w:val="continue"/>
                  <w:noWrap w:val="0"/>
                  <w:vAlign w:val="center"/>
                </w:tcPr>
                <w:p w14:paraId="73E7E273">
                  <w:pPr>
                    <w:pStyle w:val="56"/>
                    <w:bidi w:val="0"/>
                    <w:spacing w:line="240" w:lineRule="auto"/>
                    <w:rPr>
                      <w:sz w:val="21"/>
                      <w:szCs w:val="21"/>
                    </w:rPr>
                  </w:pPr>
                </w:p>
              </w:tc>
              <w:tc>
                <w:tcPr>
                  <w:tcW w:w="0" w:type="auto"/>
                  <w:vMerge w:val="continue"/>
                  <w:noWrap w:val="0"/>
                  <w:vAlign w:val="center"/>
                </w:tcPr>
                <w:p w14:paraId="71BF24DA">
                  <w:pPr>
                    <w:pStyle w:val="56"/>
                    <w:bidi w:val="0"/>
                    <w:spacing w:line="240" w:lineRule="auto"/>
                    <w:rPr>
                      <w:sz w:val="21"/>
                      <w:szCs w:val="21"/>
                    </w:rPr>
                  </w:pPr>
                </w:p>
              </w:tc>
              <w:tc>
                <w:tcPr>
                  <w:tcW w:w="0" w:type="auto"/>
                  <w:vMerge w:val="restart"/>
                  <w:noWrap w:val="0"/>
                  <w:vAlign w:val="center"/>
                </w:tcPr>
                <w:p w14:paraId="01885CAB">
                  <w:pPr>
                    <w:pStyle w:val="56"/>
                    <w:bidi w:val="0"/>
                    <w:spacing w:line="240" w:lineRule="auto"/>
                    <w:rPr>
                      <w:rFonts w:hint="eastAsia"/>
                      <w:szCs w:val="21"/>
                    </w:rPr>
                  </w:pPr>
                  <w:r>
                    <w:rPr>
                      <w:rFonts w:hint="eastAsia"/>
                    </w:rPr>
                    <w:t>编号及名称</w:t>
                  </w:r>
                </w:p>
              </w:tc>
              <w:tc>
                <w:tcPr>
                  <w:tcW w:w="0" w:type="auto"/>
                  <w:noWrap w:val="0"/>
                  <w:vAlign w:val="center"/>
                </w:tcPr>
                <w:p w14:paraId="5EB1B606">
                  <w:pPr>
                    <w:pStyle w:val="56"/>
                    <w:bidi w:val="0"/>
                    <w:spacing w:line="240" w:lineRule="auto"/>
                    <w:rPr>
                      <w:szCs w:val="21"/>
                    </w:rPr>
                  </w:pPr>
                  <w:r>
                    <w:t>高度</w:t>
                  </w:r>
                </w:p>
              </w:tc>
              <w:tc>
                <w:tcPr>
                  <w:tcW w:w="0" w:type="auto"/>
                  <w:noWrap w:val="0"/>
                  <w:vAlign w:val="center"/>
                </w:tcPr>
                <w:p w14:paraId="735C174F">
                  <w:pPr>
                    <w:pStyle w:val="56"/>
                    <w:bidi w:val="0"/>
                    <w:spacing w:line="240" w:lineRule="auto"/>
                    <w:rPr>
                      <w:szCs w:val="21"/>
                    </w:rPr>
                  </w:pPr>
                  <w:r>
                    <w:t>内径</w:t>
                  </w:r>
                </w:p>
              </w:tc>
              <w:tc>
                <w:tcPr>
                  <w:tcW w:w="0" w:type="auto"/>
                  <w:noWrap w:val="0"/>
                  <w:vAlign w:val="center"/>
                </w:tcPr>
                <w:p w14:paraId="420CBF0D">
                  <w:pPr>
                    <w:pStyle w:val="56"/>
                    <w:bidi w:val="0"/>
                    <w:spacing w:line="240" w:lineRule="auto"/>
                    <w:rPr>
                      <w:szCs w:val="21"/>
                    </w:rPr>
                  </w:pPr>
                  <w:r>
                    <w:t>温度</w:t>
                  </w:r>
                </w:p>
              </w:tc>
              <w:tc>
                <w:tcPr>
                  <w:tcW w:w="0" w:type="auto"/>
                  <w:noWrap w:val="0"/>
                  <w:vAlign w:val="center"/>
                </w:tcPr>
                <w:p w14:paraId="0F987600">
                  <w:pPr>
                    <w:pStyle w:val="56"/>
                    <w:bidi w:val="0"/>
                    <w:spacing w:line="240" w:lineRule="auto"/>
                    <w:rPr>
                      <w:szCs w:val="21"/>
                    </w:rPr>
                  </w:pPr>
                  <w:r>
                    <w:rPr>
                      <w:rFonts w:hint="eastAsia"/>
                    </w:rPr>
                    <w:t>风速</w:t>
                  </w:r>
                </w:p>
              </w:tc>
              <w:tc>
                <w:tcPr>
                  <w:tcW w:w="0" w:type="auto"/>
                  <w:vMerge w:val="restart"/>
                  <w:noWrap w:val="0"/>
                  <w:vAlign w:val="center"/>
                </w:tcPr>
                <w:p w14:paraId="768F05A5">
                  <w:pPr>
                    <w:pStyle w:val="56"/>
                    <w:bidi w:val="0"/>
                    <w:spacing w:line="240" w:lineRule="auto"/>
                    <w:rPr>
                      <w:szCs w:val="21"/>
                    </w:rPr>
                  </w:pPr>
                  <w:r>
                    <w:t>类型</w:t>
                  </w:r>
                </w:p>
              </w:tc>
              <w:tc>
                <w:tcPr>
                  <w:tcW w:w="0" w:type="auto"/>
                  <w:vMerge w:val="restart"/>
                  <w:noWrap w:val="0"/>
                  <w:vAlign w:val="center"/>
                </w:tcPr>
                <w:p w14:paraId="6864D8D6">
                  <w:pPr>
                    <w:pStyle w:val="56"/>
                    <w:bidi w:val="0"/>
                    <w:spacing w:line="240" w:lineRule="auto"/>
                    <w:rPr>
                      <w:szCs w:val="21"/>
                    </w:rPr>
                  </w:pPr>
                  <w:r>
                    <w:t>地理坐标</w:t>
                  </w:r>
                </w:p>
              </w:tc>
            </w:tr>
            <w:tr w14:paraId="65FCD681">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196" w:hRule="atLeast"/>
                <w:tblHeader/>
                <w:jc w:val="center"/>
              </w:trPr>
              <w:tc>
                <w:tcPr>
                  <w:tcW w:w="0" w:type="auto"/>
                  <w:vMerge w:val="continue"/>
                  <w:noWrap w:val="0"/>
                  <w:vAlign w:val="center"/>
                </w:tcPr>
                <w:p w14:paraId="4C8BAF34">
                  <w:pPr>
                    <w:pStyle w:val="56"/>
                    <w:bidi w:val="0"/>
                    <w:spacing w:line="240" w:lineRule="auto"/>
                    <w:rPr>
                      <w:sz w:val="21"/>
                      <w:szCs w:val="21"/>
                    </w:rPr>
                  </w:pPr>
                </w:p>
              </w:tc>
              <w:tc>
                <w:tcPr>
                  <w:tcW w:w="0" w:type="auto"/>
                  <w:vMerge w:val="continue"/>
                  <w:noWrap w:val="0"/>
                  <w:vAlign w:val="center"/>
                </w:tcPr>
                <w:p w14:paraId="7AD0FFB9">
                  <w:pPr>
                    <w:pStyle w:val="56"/>
                    <w:bidi w:val="0"/>
                    <w:spacing w:line="240" w:lineRule="auto"/>
                    <w:rPr>
                      <w:sz w:val="21"/>
                      <w:szCs w:val="21"/>
                    </w:rPr>
                  </w:pPr>
                </w:p>
              </w:tc>
              <w:tc>
                <w:tcPr>
                  <w:tcW w:w="0" w:type="auto"/>
                  <w:vMerge w:val="continue"/>
                  <w:noWrap w:val="0"/>
                  <w:vAlign w:val="center"/>
                </w:tcPr>
                <w:p w14:paraId="47C1EE98">
                  <w:pPr>
                    <w:pStyle w:val="56"/>
                    <w:bidi w:val="0"/>
                    <w:spacing w:line="240" w:lineRule="auto"/>
                    <w:rPr>
                      <w:rFonts w:hint="eastAsia"/>
                      <w:sz w:val="21"/>
                      <w:szCs w:val="21"/>
                    </w:rPr>
                  </w:pPr>
                </w:p>
              </w:tc>
              <w:tc>
                <w:tcPr>
                  <w:tcW w:w="0" w:type="auto"/>
                  <w:noWrap w:val="0"/>
                  <w:vAlign w:val="center"/>
                </w:tcPr>
                <w:p w14:paraId="0EA5A315">
                  <w:pPr>
                    <w:pStyle w:val="56"/>
                    <w:bidi w:val="0"/>
                    <w:spacing w:line="240" w:lineRule="auto"/>
                    <w:rPr>
                      <w:rFonts w:hint="eastAsia"/>
                      <w:szCs w:val="21"/>
                    </w:rPr>
                  </w:pPr>
                  <w:r>
                    <w:rPr>
                      <w:rFonts w:hint="eastAsia"/>
                    </w:rPr>
                    <w:t>m</w:t>
                  </w:r>
                </w:p>
              </w:tc>
              <w:tc>
                <w:tcPr>
                  <w:tcW w:w="0" w:type="auto"/>
                  <w:noWrap w:val="0"/>
                  <w:vAlign w:val="center"/>
                </w:tcPr>
                <w:p w14:paraId="34F215C9">
                  <w:pPr>
                    <w:pStyle w:val="56"/>
                    <w:bidi w:val="0"/>
                    <w:spacing w:line="240" w:lineRule="auto"/>
                    <w:rPr>
                      <w:szCs w:val="21"/>
                    </w:rPr>
                  </w:pPr>
                  <w:r>
                    <w:rPr>
                      <w:rFonts w:hint="eastAsia"/>
                    </w:rPr>
                    <w:t>m</w:t>
                  </w:r>
                </w:p>
              </w:tc>
              <w:tc>
                <w:tcPr>
                  <w:tcW w:w="0" w:type="auto"/>
                  <w:noWrap w:val="0"/>
                  <w:vAlign w:val="center"/>
                </w:tcPr>
                <w:p w14:paraId="726AF54B">
                  <w:pPr>
                    <w:pStyle w:val="56"/>
                    <w:bidi w:val="0"/>
                    <w:spacing w:line="240" w:lineRule="auto"/>
                    <w:rPr>
                      <w:szCs w:val="21"/>
                    </w:rPr>
                  </w:pPr>
                  <w:r>
                    <w:rPr>
                      <w:rFonts w:hint="eastAsia"/>
                    </w:rPr>
                    <w:t>℃</w:t>
                  </w:r>
                </w:p>
              </w:tc>
              <w:tc>
                <w:tcPr>
                  <w:tcW w:w="0" w:type="auto"/>
                  <w:noWrap w:val="0"/>
                  <w:vAlign w:val="center"/>
                </w:tcPr>
                <w:p w14:paraId="3FDFBA99">
                  <w:pPr>
                    <w:pStyle w:val="56"/>
                    <w:bidi w:val="0"/>
                    <w:spacing w:line="240" w:lineRule="auto"/>
                    <w:rPr>
                      <w:rFonts w:hint="eastAsia"/>
                      <w:szCs w:val="21"/>
                    </w:rPr>
                  </w:pPr>
                  <w:r>
                    <w:rPr>
                      <w:rFonts w:hint="eastAsia"/>
                    </w:rPr>
                    <w:t>m/s</w:t>
                  </w:r>
                </w:p>
              </w:tc>
              <w:tc>
                <w:tcPr>
                  <w:tcW w:w="0" w:type="auto"/>
                  <w:vMerge w:val="continue"/>
                  <w:noWrap w:val="0"/>
                  <w:vAlign w:val="center"/>
                </w:tcPr>
                <w:p w14:paraId="4B3138D5">
                  <w:pPr>
                    <w:pStyle w:val="56"/>
                    <w:bidi w:val="0"/>
                    <w:spacing w:line="240" w:lineRule="auto"/>
                    <w:rPr>
                      <w:sz w:val="21"/>
                      <w:szCs w:val="21"/>
                    </w:rPr>
                  </w:pPr>
                </w:p>
              </w:tc>
              <w:tc>
                <w:tcPr>
                  <w:tcW w:w="0" w:type="auto"/>
                  <w:vMerge w:val="continue"/>
                  <w:noWrap w:val="0"/>
                  <w:vAlign w:val="center"/>
                </w:tcPr>
                <w:p w14:paraId="6EE14D32">
                  <w:pPr>
                    <w:pStyle w:val="56"/>
                    <w:bidi w:val="0"/>
                    <w:spacing w:line="240" w:lineRule="auto"/>
                    <w:rPr>
                      <w:sz w:val="21"/>
                      <w:szCs w:val="21"/>
                    </w:rPr>
                  </w:pPr>
                </w:p>
              </w:tc>
            </w:tr>
            <w:tr w14:paraId="6DFB84D1">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0" w:type="auto"/>
                  <w:noWrap w:val="0"/>
                  <w:vAlign w:val="center"/>
                </w:tcPr>
                <w:p w14:paraId="4C295DBE">
                  <w:pPr>
                    <w:pStyle w:val="56"/>
                    <w:bidi w:val="0"/>
                    <w:spacing w:line="240" w:lineRule="auto"/>
                    <w:rPr>
                      <w:rFonts w:hint="default"/>
                      <w:szCs w:val="21"/>
                      <w:lang w:val="en-US" w:eastAsia="zh-CN"/>
                    </w:rPr>
                  </w:pPr>
                  <w:r>
                    <w:rPr>
                      <w:rFonts w:hint="eastAsia"/>
                      <w:lang w:val="en-US" w:eastAsia="zh-CN"/>
                    </w:rPr>
                    <w:t>搅拌废气</w:t>
                  </w:r>
                </w:p>
              </w:tc>
              <w:tc>
                <w:tcPr>
                  <w:tcW w:w="0" w:type="auto"/>
                  <w:noWrap w:val="0"/>
                  <w:vAlign w:val="center"/>
                </w:tcPr>
                <w:p w14:paraId="0ADD1DA8">
                  <w:pPr>
                    <w:pStyle w:val="56"/>
                    <w:bidi w:val="0"/>
                    <w:spacing w:line="240" w:lineRule="auto"/>
                    <w:rPr>
                      <w:rFonts w:hint="eastAsia"/>
                      <w:szCs w:val="21"/>
                      <w:lang w:eastAsia="zh-CN"/>
                    </w:rPr>
                  </w:pPr>
                  <w:r>
                    <w:rPr>
                      <w:rFonts w:hint="eastAsia"/>
                    </w:rPr>
                    <w:t>颗粒物</w:t>
                  </w:r>
                </w:p>
              </w:tc>
              <w:tc>
                <w:tcPr>
                  <w:tcW w:w="0" w:type="auto"/>
                  <w:noWrap w:val="0"/>
                  <w:vAlign w:val="center"/>
                </w:tcPr>
                <w:p w14:paraId="0865163A">
                  <w:pPr>
                    <w:pStyle w:val="56"/>
                    <w:bidi w:val="0"/>
                    <w:spacing w:line="240" w:lineRule="auto"/>
                    <w:rPr>
                      <w:rFonts w:hint="default"/>
                      <w:szCs w:val="21"/>
                      <w:lang w:val="en-US"/>
                    </w:rPr>
                  </w:pPr>
                  <w:r>
                    <w:rPr>
                      <w:rFonts w:hint="eastAsia"/>
                    </w:rPr>
                    <w:t>DA00</w:t>
                  </w:r>
                  <w:r>
                    <w:rPr>
                      <w:rFonts w:hint="eastAsia"/>
                      <w:lang w:val="en-US" w:eastAsia="zh-CN"/>
                    </w:rPr>
                    <w:t>1搅拌废气排放口</w:t>
                  </w:r>
                </w:p>
              </w:tc>
              <w:tc>
                <w:tcPr>
                  <w:tcW w:w="0" w:type="auto"/>
                  <w:noWrap w:val="0"/>
                  <w:vAlign w:val="center"/>
                </w:tcPr>
                <w:p w14:paraId="2978E6A9">
                  <w:pPr>
                    <w:pStyle w:val="56"/>
                    <w:bidi w:val="0"/>
                    <w:spacing w:line="240" w:lineRule="auto"/>
                    <w:rPr>
                      <w:rFonts w:hint="eastAsia"/>
                      <w:color w:val="FF0000"/>
                      <w:szCs w:val="21"/>
                    </w:rPr>
                  </w:pPr>
                  <w:r>
                    <w:rPr>
                      <w:rFonts w:hint="eastAsia"/>
                      <w:color w:val="FF0000"/>
                    </w:rPr>
                    <w:t>15</w:t>
                  </w:r>
                </w:p>
              </w:tc>
              <w:tc>
                <w:tcPr>
                  <w:tcW w:w="0" w:type="auto"/>
                  <w:noWrap w:val="0"/>
                  <w:vAlign w:val="center"/>
                </w:tcPr>
                <w:p w14:paraId="2E0B5591">
                  <w:pPr>
                    <w:pStyle w:val="56"/>
                    <w:bidi w:val="0"/>
                    <w:spacing w:line="240" w:lineRule="auto"/>
                    <w:rPr>
                      <w:rFonts w:hint="default"/>
                      <w:color w:val="FF0000"/>
                      <w:szCs w:val="21"/>
                      <w:lang w:val="en-US" w:eastAsia="zh-CN"/>
                    </w:rPr>
                  </w:pPr>
                  <w:r>
                    <w:rPr>
                      <w:rFonts w:hint="eastAsia"/>
                      <w:color w:val="FF0000"/>
                      <w:lang w:val="en-US" w:eastAsia="zh-CN"/>
                    </w:rPr>
                    <w:t>0.4</w:t>
                  </w:r>
                </w:p>
              </w:tc>
              <w:tc>
                <w:tcPr>
                  <w:tcW w:w="0" w:type="auto"/>
                  <w:noWrap w:val="0"/>
                  <w:vAlign w:val="center"/>
                </w:tcPr>
                <w:p w14:paraId="7301F3A1">
                  <w:pPr>
                    <w:pStyle w:val="56"/>
                    <w:bidi w:val="0"/>
                    <w:spacing w:line="240" w:lineRule="auto"/>
                    <w:rPr>
                      <w:rFonts w:hint="default"/>
                      <w:color w:val="FF0000"/>
                      <w:szCs w:val="21"/>
                      <w:lang w:val="en-US" w:eastAsia="zh-CN"/>
                    </w:rPr>
                  </w:pPr>
                  <w:r>
                    <w:rPr>
                      <w:rFonts w:hint="eastAsia"/>
                      <w:color w:val="FF0000"/>
                      <w:lang w:val="en-US" w:eastAsia="zh-CN"/>
                    </w:rPr>
                    <w:t>25</w:t>
                  </w:r>
                </w:p>
              </w:tc>
              <w:tc>
                <w:tcPr>
                  <w:tcW w:w="0" w:type="auto"/>
                  <w:noWrap w:val="0"/>
                  <w:vAlign w:val="center"/>
                </w:tcPr>
                <w:p w14:paraId="3B0F9779">
                  <w:pPr>
                    <w:pStyle w:val="56"/>
                    <w:bidi w:val="0"/>
                    <w:spacing w:line="240" w:lineRule="auto"/>
                    <w:rPr>
                      <w:rFonts w:hint="default"/>
                      <w:color w:val="FF0000"/>
                      <w:szCs w:val="21"/>
                      <w:lang w:val="en-US" w:eastAsia="zh-CN"/>
                    </w:rPr>
                  </w:pPr>
                  <w:r>
                    <w:rPr>
                      <w:rFonts w:hint="eastAsia"/>
                      <w:color w:val="FF0000"/>
                      <w:lang w:val="en-US" w:eastAsia="zh-CN"/>
                    </w:rPr>
                    <w:t>11.058</w:t>
                  </w:r>
                </w:p>
              </w:tc>
              <w:tc>
                <w:tcPr>
                  <w:tcW w:w="0" w:type="auto"/>
                  <w:noWrap w:val="0"/>
                  <w:vAlign w:val="center"/>
                </w:tcPr>
                <w:p w14:paraId="64DFC117">
                  <w:pPr>
                    <w:pStyle w:val="56"/>
                    <w:bidi w:val="0"/>
                    <w:spacing w:line="240" w:lineRule="auto"/>
                    <w:rPr>
                      <w:rFonts w:hint="eastAsia"/>
                      <w:color w:val="FF0000"/>
                      <w:szCs w:val="21"/>
                    </w:rPr>
                  </w:pPr>
                  <w:r>
                    <w:rPr>
                      <w:rFonts w:hint="eastAsia"/>
                      <w:color w:val="FF0000"/>
                    </w:rPr>
                    <w:t>一般排放口</w:t>
                  </w:r>
                </w:p>
              </w:tc>
              <w:tc>
                <w:tcPr>
                  <w:tcW w:w="0" w:type="auto"/>
                  <w:noWrap w:val="0"/>
                  <w:vAlign w:val="center"/>
                </w:tcPr>
                <w:p w14:paraId="04FD14A2">
                  <w:pPr>
                    <w:pStyle w:val="56"/>
                    <w:bidi w:val="0"/>
                    <w:spacing w:line="240" w:lineRule="auto"/>
                    <w:rPr>
                      <w:rFonts w:hint="eastAsia"/>
                      <w:color w:val="FF0000"/>
                      <w:szCs w:val="21"/>
                    </w:rPr>
                  </w:pPr>
                  <w:r>
                    <w:rPr>
                      <w:rFonts w:hint="eastAsia"/>
                      <w:color w:val="FF0000"/>
                    </w:rPr>
                    <w:t>E</w:t>
                  </w:r>
                  <w:r>
                    <w:rPr>
                      <w:rFonts w:hint="eastAsia"/>
                      <w:color w:val="FF0000"/>
                      <w:lang w:eastAsia="zh-CN"/>
                    </w:rPr>
                    <w:t>:</w:t>
                  </w:r>
                  <w:r>
                    <w:rPr>
                      <w:rFonts w:hint="eastAsia"/>
                      <w:color w:val="FF0000"/>
                    </w:rPr>
                    <w:t>115°28′13.851″</w:t>
                  </w:r>
                  <w:r>
                    <w:rPr>
                      <w:rFonts w:hint="eastAsia"/>
                      <w:color w:val="FF0000"/>
                      <w:lang w:eastAsia="zh-CN"/>
                    </w:rPr>
                    <w:t xml:space="preserve">, </w:t>
                  </w:r>
                  <w:r>
                    <w:rPr>
                      <w:rFonts w:hint="eastAsia"/>
                      <w:color w:val="FF0000"/>
                      <w:lang w:val="en-US" w:eastAsia="zh-CN"/>
                    </w:rPr>
                    <w:t>N</w:t>
                  </w:r>
                  <w:r>
                    <w:rPr>
                      <w:rFonts w:hint="eastAsia"/>
                      <w:color w:val="FF0000"/>
                    </w:rPr>
                    <w:t>28°29′5.91″</w:t>
                  </w:r>
                </w:p>
              </w:tc>
            </w:tr>
          </w:tbl>
          <w:p w14:paraId="5A76CE9E">
            <w:pPr>
              <w:pStyle w:val="67"/>
              <w:numPr>
                <w:ilvl w:val="0"/>
                <w:numId w:val="0"/>
              </w:numPr>
              <w:spacing w:line="240" w:lineRule="auto"/>
              <w:ind w:leftChars="0"/>
              <w:contextualSpacing/>
              <w:jc w:val="center"/>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表4-4 本项目废气污染源非正常排放汇总表</w:t>
            </w:r>
          </w:p>
          <w:tbl>
            <w:tblPr>
              <w:tblStyle w:val="41"/>
              <w:tblW w:w="4949" w:type="pct"/>
              <w:tblInd w:w="-1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557"/>
              <w:gridCol w:w="1139"/>
              <w:gridCol w:w="605"/>
              <w:gridCol w:w="534"/>
              <w:gridCol w:w="649"/>
              <w:gridCol w:w="1169"/>
              <w:gridCol w:w="1169"/>
              <w:gridCol w:w="797"/>
              <w:gridCol w:w="835"/>
              <w:gridCol w:w="578"/>
              <w:gridCol w:w="575"/>
              <w:gridCol w:w="578"/>
              <w:gridCol w:w="1116"/>
              <w:gridCol w:w="2180"/>
              <w:gridCol w:w="1325"/>
            </w:tblGrid>
            <w:tr w14:paraId="50A6BD6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323" w:type="pct"/>
                  <w:vMerge w:val="restart"/>
                  <w:tcBorders>
                    <w:tl2br w:val="nil"/>
                    <w:tr2bl w:val="nil"/>
                  </w:tcBorders>
                  <w:noWrap w:val="0"/>
                  <w:vAlign w:val="center"/>
                </w:tcPr>
                <w:p w14:paraId="2C41014D">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产排污环节</w:t>
                  </w:r>
                </w:p>
              </w:tc>
              <w:tc>
                <w:tcPr>
                  <w:tcW w:w="189" w:type="pct"/>
                  <w:vMerge w:val="restart"/>
                  <w:tcBorders>
                    <w:tl2br w:val="nil"/>
                    <w:tr2bl w:val="nil"/>
                  </w:tcBorders>
                  <w:noWrap w:val="0"/>
                  <w:vAlign w:val="center"/>
                </w:tcPr>
                <w:p w14:paraId="53738F2F">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污染物排放形式</w:t>
                  </w:r>
                </w:p>
              </w:tc>
              <w:tc>
                <w:tcPr>
                  <w:tcW w:w="386" w:type="pct"/>
                  <w:vMerge w:val="restart"/>
                  <w:tcBorders>
                    <w:tl2br w:val="nil"/>
                    <w:tr2bl w:val="nil"/>
                  </w:tcBorders>
                  <w:noWrap w:val="0"/>
                  <w:vAlign w:val="center"/>
                </w:tcPr>
                <w:p w14:paraId="03785877">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污染物</w:t>
                  </w:r>
                </w:p>
                <w:p w14:paraId="4F2EE308">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种类</w:t>
                  </w:r>
                </w:p>
              </w:tc>
              <w:tc>
                <w:tcPr>
                  <w:tcW w:w="606" w:type="pct"/>
                  <w:gridSpan w:val="3"/>
                  <w:tcBorders>
                    <w:tl2br w:val="nil"/>
                    <w:tr2bl w:val="nil"/>
                  </w:tcBorders>
                  <w:noWrap w:val="0"/>
                  <w:vAlign w:val="center"/>
                </w:tcPr>
                <w:p w14:paraId="73EDD01B">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非正常排放频次</w:t>
                  </w:r>
                </w:p>
              </w:tc>
              <w:tc>
                <w:tcPr>
                  <w:tcW w:w="1062" w:type="pct"/>
                  <w:gridSpan w:val="3"/>
                  <w:tcBorders>
                    <w:tl2br w:val="nil"/>
                    <w:tr2bl w:val="nil"/>
                  </w:tcBorders>
                  <w:noWrap w:val="0"/>
                  <w:vAlign w:val="center"/>
                </w:tcPr>
                <w:p w14:paraId="6CBE81FA">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污染物排放量和浓度</w:t>
                  </w:r>
                </w:p>
              </w:tc>
              <w:tc>
                <w:tcPr>
                  <w:tcW w:w="1981" w:type="pct"/>
                  <w:gridSpan w:val="6"/>
                  <w:tcBorders>
                    <w:tl2br w:val="nil"/>
                    <w:tr2bl w:val="nil"/>
                  </w:tcBorders>
                  <w:noWrap w:val="0"/>
                  <w:vAlign w:val="center"/>
                </w:tcPr>
                <w:p w14:paraId="7E823709">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排放口基本情况</w:t>
                  </w:r>
                </w:p>
              </w:tc>
              <w:tc>
                <w:tcPr>
                  <w:tcW w:w="449" w:type="pct"/>
                  <w:vMerge w:val="restart"/>
                  <w:tcBorders>
                    <w:tl2br w:val="nil"/>
                    <w:tr2bl w:val="nil"/>
                  </w:tcBorders>
                  <w:noWrap w:val="0"/>
                  <w:vAlign w:val="center"/>
                </w:tcPr>
                <w:p w14:paraId="097CC484">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控制措施</w:t>
                  </w:r>
                </w:p>
              </w:tc>
            </w:tr>
            <w:tr w14:paraId="27B984DB">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continue"/>
                  <w:tcBorders>
                    <w:tl2br w:val="nil"/>
                    <w:tr2bl w:val="nil"/>
                  </w:tcBorders>
                  <w:noWrap w:val="0"/>
                  <w:vAlign w:val="center"/>
                </w:tcPr>
                <w:p w14:paraId="3E8FC4FE">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p>
              </w:tc>
              <w:tc>
                <w:tcPr>
                  <w:tcW w:w="189" w:type="pct"/>
                  <w:vMerge w:val="continue"/>
                  <w:tcBorders>
                    <w:tl2br w:val="nil"/>
                    <w:tr2bl w:val="nil"/>
                  </w:tcBorders>
                  <w:noWrap w:val="0"/>
                  <w:vAlign w:val="center"/>
                </w:tcPr>
                <w:p w14:paraId="30AE056B">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p>
              </w:tc>
              <w:tc>
                <w:tcPr>
                  <w:tcW w:w="386" w:type="pct"/>
                  <w:vMerge w:val="continue"/>
                  <w:tcBorders>
                    <w:tl2br w:val="nil"/>
                    <w:tr2bl w:val="nil"/>
                  </w:tcBorders>
                  <w:noWrap w:val="0"/>
                  <w:vAlign w:val="center"/>
                </w:tcPr>
                <w:p w14:paraId="24AF2F5F">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p>
              </w:tc>
              <w:tc>
                <w:tcPr>
                  <w:tcW w:w="205" w:type="pct"/>
                  <w:tcBorders>
                    <w:tl2br w:val="nil"/>
                    <w:tr2bl w:val="nil"/>
                  </w:tcBorders>
                  <w:noWrap w:val="0"/>
                  <w:vAlign w:val="center"/>
                </w:tcPr>
                <w:p w14:paraId="68F88265">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次数</w:t>
                  </w:r>
                </w:p>
              </w:tc>
              <w:tc>
                <w:tcPr>
                  <w:tcW w:w="181" w:type="pct"/>
                  <w:tcBorders>
                    <w:tl2br w:val="nil"/>
                    <w:tr2bl w:val="nil"/>
                  </w:tcBorders>
                  <w:noWrap w:val="0"/>
                  <w:vAlign w:val="center"/>
                </w:tcPr>
                <w:p w14:paraId="234602AA">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单次持续时间</w:t>
                  </w:r>
                </w:p>
              </w:tc>
              <w:tc>
                <w:tcPr>
                  <w:tcW w:w="220" w:type="pct"/>
                  <w:tcBorders>
                    <w:tl2br w:val="nil"/>
                    <w:tr2bl w:val="nil"/>
                  </w:tcBorders>
                  <w:noWrap w:val="0"/>
                  <w:vAlign w:val="center"/>
                </w:tcPr>
                <w:p w14:paraId="72A4987A">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总排放时间</w:t>
                  </w:r>
                </w:p>
              </w:tc>
              <w:tc>
                <w:tcPr>
                  <w:tcW w:w="396" w:type="pct"/>
                  <w:vMerge w:val="restart"/>
                  <w:tcBorders>
                    <w:tl2br w:val="nil"/>
                    <w:tr2bl w:val="nil"/>
                  </w:tcBorders>
                  <w:noWrap w:val="0"/>
                  <w:vAlign w:val="center"/>
                </w:tcPr>
                <w:p w14:paraId="6A3B76A0">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排放浓度</w:t>
                  </w:r>
                </w:p>
                <w:p w14:paraId="03FFD99D">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mg/m</w:t>
                  </w:r>
                  <w:r>
                    <w:rPr>
                      <w:rFonts w:ascii="Times New Roman" w:hAnsi="Times New Roman" w:eastAsia="宋体" w:cs="Times New Roman"/>
                      <w:b w:val="0"/>
                      <w:bCs/>
                      <w:color w:val="auto"/>
                      <w:sz w:val="21"/>
                      <w:szCs w:val="21"/>
                      <w:vertAlign w:val="superscript"/>
                    </w:rPr>
                    <w:t>3</w:t>
                  </w:r>
                </w:p>
              </w:tc>
              <w:tc>
                <w:tcPr>
                  <w:tcW w:w="665" w:type="pct"/>
                  <w:gridSpan w:val="2"/>
                  <w:tcBorders>
                    <w:tl2br w:val="nil"/>
                    <w:tr2bl w:val="nil"/>
                  </w:tcBorders>
                  <w:noWrap w:val="0"/>
                  <w:vAlign w:val="center"/>
                </w:tcPr>
                <w:p w14:paraId="56D87D7E">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排放量</w:t>
                  </w:r>
                </w:p>
              </w:tc>
              <w:tc>
                <w:tcPr>
                  <w:tcW w:w="282" w:type="pct"/>
                  <w:tcBorders>
                    <w:tl2br w:val="nil"/>
                    <w:tr2bl w:val="nil"/>
                  </w:tcBorders>
                  <w:noWrap w:val="0"/>
                  <w:vAlign w:val="center"/>
                </w:tcPr>
                <w:p w14:paraId="214D4F03">
                  <w:pPr>
                    <w:adjustRightInd w:val="0"/>
                    <w:snapToGrid w:val="0"/>
                    <w:spacing w:line="240" w:lineRule="exact"/>
                    <w:ind w:firstLine="0" w:firstLineChars="0"/>
                    <w:jc w:val="center"/>
                    <w:rPr>
                      <w:rFonts w:ascii="Times New Roman" w:hAnsi="Times New Roman" w:eastAsia="宋体" w:cs="Times New Roman"/>
                      <w:b w:val="0"/>
                      <w:bCs/>
                      <w:color w:val="auto"/>
                      <w:spacing w:val="-10"/>
                      <w:sz w:val="21"/>
                      <w:szCs w:val="21"/>
                    </w:rPr>
                  </w:pPr>
                  <w:r>
                    <w:rPr>
                      <w:rFonts w:ascii="Times New Roman" w:hAnsi="Times New Roman" w:eastAsia="宋体" w:cs="Times New Roman"/>
                      <w:b w:val="0"/>
                      <w:bCs/>
                      <w:color w:val="auto"/>
                      <w:spacing w:val="-10"/>
                      <w:sz w:val="21"/>
                      <w:szCs w:val="21"/>
                    </w:rPr>
                    <w:t>编号及名称</w:t>
                  </w:r>
                </w:p>
              </w:tc>
              <w:tc>
                <w:tcPr>
                  <w:tcW w:w="196" w:type="pct"/>
                  <w:tcBorders>
                    <w:tl2br w:val="nil"/>
                    <w:tr2bl w:val="nil"/>
                  </w:tcBorders>
                  <w:noWrap w:val="0"/>
                  <w:vAlign w:val="center"/>
                </w:tcPr>
                <w:p w14:paraId="6429B24F">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高度</w:t>
                  </w:r>
                </w:p>
              </w:tc>
              <w:tc>
                <w:tcPr>
                  <w:tcW w:w="195" w:type="pct"/>
                  <w:tcBorders>
                    <w:tl2br w:val="nil"/>
                    <w:tr2bl w:val="nil"/>
                  </w:tcBorders>
                  <w:noWrap w:val="0"/>
                  <w:vAlign w:val="center"/>
                </w:tcPr>
                <w:p w14:paraId="2D1651FC">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内径</w:t>
                  </w:r>
                </w:p>
              </w:tc>
              <w:tc>
                <w:tcPr>
                  <w:tcW w:w="196" w:type="pct"/>
                  <w:tcBorders>
                    <w:tl2br w:val="nil"/>
                    <w:tr2bl w:val="nil"/>
                  </w:tcBorders>
                  <w:noWrap w:val="0"/>
                  <w:vAlign w:val="center"/>
                </w:tcPr>
                <w:p w14:paraId="3D46527B">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温度</w:t>
                  </w:r>
                </w:p>
              </w:tc>
              <w:tc>
                <w:tcPr>
                  <w:tcW w:w="378" w:type="pct"/>
                  <w:tcBorders>
                    <w:tl2br w:val="nil"/>
                    <w:tr2bl w:val="nil"/>
                  </w:tcBorders>
                  <w:noWrap w:val="0"/>
                  <w:vAlign w:val="center"/>
                </w:tcPr>
                <w:p w14:paraId="3141D2D7">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类型</w:t>
                  </w:r>
                </w:p>
              </w:tc>
              <w:tc>
                <w:tcPr>
                  <w:tcW w:w="732" w:type="pct"/>
                  <w:tcBorders>
                    <w:tl2br w:val="nil"/>
                    <w:tr2bl w:val="nil"/>
                  </w:tcBorders>
                  <w:noWrap w:val="0"/>
                  <w:vAlign w:val="center"/>
                </w:tcPr>
                <w:p w14:paraId="2793A511">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地理</w:t>
                  </w:r>
                </w:p>
                <w:p w14:paraId="55D4E731">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坐标</w:t>
                  </w:r>
                </w:p>
              </w:tc>
              <w:tc>
                <w:tcPr>
                  <w:tcW w:w="449" w:type="pct"/>
                  <w:vMerge w:val="continue"/>
                  <w:tcBorders>
                    <w:tl2br w:val="nil"/>
                    <w:tr2bl w:val="nil"/>
                  </w:tcBorders>
                  <w:noWrap w:val="0"/>
                  <w:vAlign w:val="center"/>
                </w:tcPr>
                <w:p w14:paraId="65742C94">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p>
              </w:tc>
            </w:tr>
            <w:tr w14:paraId="2FF9F103">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323" w:type="pct"/>
                  <w:vMerge w:val="continue"/>
                  <w:tcBorders>
                    <w:tl2br w:val="nil"/>
                    <w:tr2bl w:val="nil"/>
                  </w:tcBorders>
                  <w:noWrap w:val="0"/>
                  <w:vAlign w:val="center"/>
                </w:tcPr>
                <w:p w14:paraId="795DC0A0">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p>
              </w:tc>
              <w:tc>
                <w:tcPr>
                  <w:tcW w:w="189" w:type="pct"/>
                  <w:vMerge w:val="continue"/>
                  <w:tcBorders>
                    <w:tl2br w:val="nil"/>
                    <w:tr2bl w:val="nil"/>
                  </w:tcBorders>
                  <w:noWrap w:val="0"/>
                  <w:vAlign w:val="center"/>
                </w:tcPr>
                <w:p w14:paraId="2E2E3C4A">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p>
              </w:tc>
              <w:tc>
                <w:tcPr>
                  <w:tcW w:w="386" w:type="pct"/>
                  <w:vMerge w:val="continue"/>
                  <w:tcBorders>
                    <w:tl2br w:val="nil"/>
                    <w:tr2bl w:val="nil"/>
                  </w:tcBorders>
                  <w:noWrap w:val="0"/>
                  <w:vAlign w:val="center"/>
                </w:tcPr>
                <w:p w14:paraId="34B327C1">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p>
              </w:tc>
              <w:tc>
                <w:tcPr>
                  <w:tcW w:w="205" w:type="pct"/>
                  <w:tcBorders>
                    <w:tl2br w:val="nil"/>
                    <w:tr2bl w:val="nil"/>
                  </w:tcBorders>
                  <w:noWrap w:val="0"/>
                  <w:vAlign w:val="center"/>
                </w:tcPr>
                <w:p w14:paraId="6CED42F6">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次/年</w:t>
                  </w:r>
                </w:p>
              </w:tc>
              <w:tc>
                <w:tcPr>
                  <w:tcW w:w="181" w:type="pct"/>
                  <w:tcBorders>
                    <w:tl2br w:val="nil"/>
                    <w:tr2bl w:val="nil"/>
                  </w:tcBorders>
                  <w:noWrap w:val="0"/>
                  <w:vAlign w:val="center"/>
                </w:tcPr>
                <w:p w14:paraId="34BA80C2">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小时</w:t>
                  </w:r>
                </w:p>
              </w:tc>
              <w:tc>
                <w:tcPr>
                  <w:tcW w:w="220" w:type="pct"/>
                  <w:tcBorders>
                    <w:tl2br w:val="nil"/>
                    <w:tr2bl w:val="nil"/>
                  </w:tcBorders>
                  <w:noWrap w:val="0"/>
                  <w:vAlign w:val="center"/>
                </w:tcPr>
                <w:p w14:paraId="27A08254">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小时</w:t>
                  </w:r>
                </w:p>
              </w:tc>
              <w:tc>
                <w:tcPr>
                  <w:tcW w:w="396" w:type="pct"/>
                  <w:vMerge w:val="continue"/>
                  <w:tcBorders>
                    <w:tl2br w:val="nil"/>
                    <w:tr2bl w:val="nil"/>
                  </w:tcBorders>
                  <w:noWrap w:val="0"/>
                  <w:vAlign w:val="center"/>
                </w:tcPr>
                <w:p w14:paraId="064273CF">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p>
              </w:tc>
              <w:tc>
                <w:tcPr>
                  <w:tcW w:w="396" w:type="pct"/>
                  <w:tcBorders>
                    <w:tl2br w:val="nil"/>
                    <w:tr2bl w:val="nil"/>
                  </w:tcBorders>
                  <w:noWrap w:val="0"/>
                  <w:vAlign w:val="center"/>
                </w:tcPr>
                <w:p w14:paraId="092C30AD">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kg/h</w:t>
                  </w:r>
                </w:p>
              </w:tc>
              <w:tc>
                <w:tcPr>
                  <w:tcW w:w="269" w:type="pct"/>
                  <w:tcBorders>
                    <w:tl2br w:val="nil"/>
                    <w:tr2bl w:val="nil"/>
                  </w:tcBorders>
                  <w:noWrap w:val="0"/>
                  <w:vAlign w:val="center"/>
                </w:tcPr>
                <w:p w14:paraId="64635C89">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val="en-US" w:eastAsia="zh-CN"/>
                    </w:rPr>
                    <w:t>kg</w:t>
                  </w:r>
                  <w:r>
                    <w:rPr>
                      <w:rFonts w:ascii="Times New Roman" w:hAnsi="Times New Roman" w:eastAsia="宋体" w:cs="Times New Roman"/>
                      <w:b w:val="0"/>
                      <w:bCs/>
                      <w:color w:val="auto"/>
                      <w:sz w:val="21"/>
                      <w:szCs w:val="21"/>
                    </w:rPr>
                    <w:t>/a</w:t>
                  </w:r>
                </w:p>
              </w:tc>
              <w:tc>
                <w:tcPr>
                  <w:tcW w:w="282" w:type="pct"/>
                  <w:tcBorders>
                    <w:tl2br w:val="nil"/>
                    <w:tr2bl w:val="nil"/>
                  </w:tcBorders>
                  <w:noWrap w:val="0"/>
                  <w:vAlign w:val="center"/>
                </w:tcPr>
                <w:p w14:paraId="3AC0332F">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w:t>
                  </w:r>
                </w:p>
              </w:tc>
              <w:tc>
                <w:tcPr>
                  <w:tcW w:w="196" w:type="pct"/>
                  <w:tcBorders>
                    <w:tl2br w:val="nil"/>
                    <w:tr2bl w:val="nil"/>
                  </w:tcBorders>
                  <w:noWrap w:val="0"/>
                  <w:vAlign w:val="center"/>
                </w:tcPr>
                <w:p w14:paraId="1C0ED555">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m</w:t>
                  </w:r>
                </w:p>
              </w:tc>
              <w:tc>
                <w:tcPr>
                  <w:tcW w:w="195" w:type="pct"/>
                  <w:tcBorders>
                    <w:tl2br w:val="nil"/>
                    <w:tr2bl w:val="nil"/>
                  </w:tcBorders>
                  <w:noWrap w:val="0"/>
                  <w:vAlign w:val="center"/>
                </w:tcPr>
                <w:p w14:paraId="547A010C">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m</w:t>
                  </w:r>
                </w:p>
              </w:tc>
              <w:tc>
                <w:tcPr>
                  <w:tcW w:w="196" w:type="pct"/>
                  <w:tcBorders>
                    <w:tl2br w:val="nil"/>
                    <w:tr2bl w:val="nil"/>
                  </w:tcBorders>
                  <w:noWrap w:val="0"/>
                  <w:vAlign w:val="center"/>
                </w:tcPr>
                <w:p w14:paraId="7F6CA367">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w:t>
                  </w:r>
                </w:p>
              </w:tc>
              <w:tc>
                <w:tcPr>
                  <w:tcW w:w="378" w:type="pct"/>
                  <w:tcBorders>
                    <w:tl2br w:val="nil"/>
                    <w:tr2bl w:val="nil"/>
                  </w:tcBorders>
                  <w:noWrap w:val="0"/>
                  <w:vAlign w:val="center"/>
                </w:tcPr>
                <w:p w14:paraId="3E38BFEE">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w:t>
                  </w:r>
                </w:p>
              </w:tc>
              <w:tc>
                <w:tcPr>
                  <w:tcW w:w="732" w:type="pct"/>
                  <w:tcBorders>
                    <w:tl2br w:val="nil"/>
                    <w:tr2bl w:val="nil"/>
                  </w:tcBorders>
                  <w:noWrap w:val="0"/>
                  <w:vAlign w:val="center"/>
                </w:tcPr>
                <w:p w14:paraId="7BB191DB">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b w:val="0"/>
                      <w:bCs/>
                      <w:color w:val="auto"/>
                      <w:sz w:val="21"/>
                      <w:szCs w:val="21"/>
                    </w:rPr>
                    <w:t>/</w:t>
                  </w:r>
                </w:p>
              </w:tc>
              <w:tc>
                <w:tcPr>
                  <w:tcW w:w="449" w:type="pct"/>
                  <w:vMerge w:val="continue"/>
                  <w:tcBorders>
                    <w:tl2br w:val="nil"/>
                    <w:tr2bl w:val="nil"/>
                  </w:tcBorders>
                  <w:noWrap w:val="0"/>
                  <w:vAlign w:val="center"/>
                </w:tcPr>
                <w:p w14:paraId="31292D8D">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p>
              </w:tc>
            </w:tr>
            <w:tr w14:paraId="233F3333">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23" w:type="pct"/>
                  <w:tcBorders>
                    <w:tl2br w:val="nil"/>
                    <w:tr2bl w:val="nil"/>
                  </w:tcBorders>
                  <w:noWrap w:val="0"/>
                  <w:vAlign w:val="center"/>
                </w:tcPr>
                <w:p w14:paraId="070032F3">
                  <w:pPr>
                    <w:widowControl/>
                    <w:spacing w:line="0" w:lineRule="atLeast"/>
                    <w:ind w:left="0" w:leftChars="0" w:firstLine="0" w:firstLineChars="0"/>
                    <w:jc w:val="both"/>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搅拌废气</w:t>
                  </w:r>
                </w:p>
              </w:tc>
              <w:tc>
                <w:tcPr>
                  <w:tcW w:w="189" w:type="pct"/>
                  <w:tcBorders>
                    <w:tl2br w:val="nil"/>
                    <w:tr2bl w:val="nil"/>
                  </w:tcBorders>
                  <w:noWrap w:val="0"/>
                  <w:vAlign w:val="center"/>
                </w:tcPr>
                <w:p w14:paraId="27CB2AC0">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eastAsia="zh-CN"/>
                    </w:rPr>
                    <w:t>有</w:t>
                  </w:r>
                  <w:r>
                    <w:rPr>
                      <w:rFonts w:hint="eastAsia" w:ascii="Times New Roman" w:hAnsi="Times New Roman" w:eastAsia="宋体" w:cs="Times New Roman"/>
                      <w:b w:val="0"/>
                      <w:bCs/>
                      <w:color w:val="auto"/>
                      <w:sz w:val="21"/>
                      <w:szCs w:val="21"/>
                    </w:rPr>
                    <w:t>组织</w:t>
                  </w:r>
                </w:p>
              </w:tc>
              <w:tc>
                <w:tcPr>
                  <w:tcW w:w="386" w:type="pct"/>
                  <w:tcBorders>
                    <w:tl2br w:val="nil"/>
                    <w:tr2bl w:val="nil"/>
                  </w:tcBorders>
                  <w:noWrap w:val="0"/>
                  <w:vAlign w:val="center"/>
                </w:tcPr>
                <w:p w14:paraId="258F9AF4">
                  <w:pPr>
                    <w:adjustRightInd w:val="0"/>
                    <w:snapToGrid w:val="0"/>
                    <w:spacing w:line="240" w:lineRule="exact"/>
                    <w:ind w:firstLine="0" w:firstLineChars="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kern w:val="2"/>
                      <w:sz w:val="21"/>
                      <w:szCs w:val="21"/>
                      <w:lang w:val="en-US" w:eastAsia="zh-CN" w:bidi="ar-SA"/>
                    </w:rPr>
                    <w:t>颗粒物</w:t>
                  </w:r>
                </w:p>
              </w:tc>
              <w:tc>
                <w:tcPr>
                  <w:tcW w:w="205" w:type="pct"/>
                  <w:tcBorders>
                    <w:tl2br w:val="nil"/>
                    <w:tr2bl w:val="nil"/>
                  </w:tcBorders>
                  <w:noWrap w:val="0"/>
                  <w:vAlign w:val="center"/>
                </w:tcPr>
                <w:p w14:paraId="53E6C5EB">
                  <w:pPr>
                    <w:adjustRightInd w:val="0"/>
                    <w:snapToGrid w:val="0"/>
                    <w:spacing w:line="240" w:lineRule="exact"/>
                    <w:ind w:firstLine="0" w:firstLineChars="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w:t>
                  </w:r>
                </w:p>
              </w:tc>
              <w:tc>
                <w:tcPr>
                  <w:tcW w:w="181" w:type="pct"/>
                  <w:tcBorders>
                    <w:tl2br w:val="nil"/>
                    <w:tr2bl w:val="nil"/>
                  </w:tcBorders>
                  <w:noWrap w:val="0"/>
                  <w:vAlign w:val="center"/>
                </w:tcPr>
                <w:p w14:paraId="23B6A746">
                  <w:pPr>
                    <w:adjustRightInd w:val="0"/>
                    <w:snapToGrid w:val="0"/>
                    <w:spacing w:line="240" w:lineRule="exact"/>
                    <w:ind w:firstLine="0" w:firstLine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1</w:t>
                  </w:r>
                </w:p>
              </w:tc>
              <w:tc>
                <w:tcPr>
                  <w:tcW w:w="220" w:type="pct"/>
                  <w:tcBorders>
                    <w:tl2br w:val="nil"/>
                    <w:tr2bl w:val="nil"/>
                  </w:tcBorders>
                  <w:noWrap w:val="0"/>
                  <w:vAlign w:val="center"/>
                </w:tcPr>
                <w:p w14:paraId="062FA4F4">
                  <w:pPr>
                    <w:adjustRightInd w:val="0"/>
                    <w:snapToGrid w:val="0"/>
                    <w:spacing w:line="240" w:lineRule="exact"/>
                    <w:ind w:firstLine="0" w:firstLineChars="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1</w:t>
                  </w:r>
                </w:p>
              </w:tc>
              <w:tc>
                <w:tcPr>
                  <w:tcW w:w="1169" w:type="dxa"/>
                  <w:tcBorders>
                    <w:tl2br w:val="nil"/>
                    <w:tr2bl w:val="nil"/>
                  </w:tcBorders>
                  <w:noWrap w:val="0"/>
                  <w:vAlign w:val="center"/>
                </w:tcPr>
                <w:p w14:paraId="6DF936AA">
                  <w:pPr>
                    <w:pStyle w:val="56"/>
                    <w:bidi w:val="0"/>
                    <w:ind w:firstLine="0" w:firstLineChars="0"/>
                    <w:rPr>
                      <w:rFonts w:hint="default" w:ascii="Times New Roman" w:hAnsi="Times New Roman" w:eastAsia="宋体" w:cs="Times New Roman"/>
                      <w:lang w:val="en-US" w:eastAsia="zh-CN"/>
                    </w:rPr>
                  </w:pPr>
                  <w:r>
                    <w:rPr>
                      <w:rFonts w:hint="eastAsia"/>
                      <w:color w:val="FF0000"/>
                      <w:lang w:val="en-US" w:eastAsia="zh-CN"/>
                    </w:rPr>
                    <w:t>582.583</w:t>
                  </w:r>
                </w:p>
              </w:tc>
              <w:tc>
                <w:tcPr>
                  <w:tcW w:w="1169" w:type="dxa"/>
                  <w:tcBorders>
                    <w:tl2br w:val="nil"/>
                    <w:tr2bl w:val="nil"/>
                  </w:tcBorders>
                  <w:noWrap w:val="0"/>
                  <w:vAlign w:val="center"/>
                </w:tcPr>
                <w:p w14:paraId="4D18B9C6">
                  <w:pPr>
                    <w:pStyle w:val="56"/>
                    <w:bidi w:val="0"/>
                    <w:ind w:firstLine="0" w:firstLineChars="0"/>
                    <w:rPr>
                      <w:rFonts w:hint="default" w:ascii="Times New Roman" w:hAnsi="Times New Roman" w:eastAsia="宋体" w:cs="Times New Roman"/>
                      <w:lang w:val="en-US" w:eastAsia="zh-CN"/>
                    </w:rPr>
                  </w:pPr>
                  <w:r>
                    <w:rPr>
                      <w:rFonts w:hint="eastAsia"/>
                      <w:color w:val="FF0000"/>
                      <w:lang w:val="en-US" w:eastAsia="zh-CN"/>
                    </w:rPr>
                    <w:t>2.913</w:t>
                  </w:r>
                </w:p>
              </w:tc>
              <w:tc>
                <w:tcPr>
                  <w:tcW w:w="797" w:type="dxa"/>
                  <w:tcBorders>
                    <w:tl2br w:val="nil"/>
                    <w:tr2bl w:val="nil"/>
                  </w:tcBorders>
                  <w:shd w:val="clear" w:color="auto" w:fill="auto"/>
                  <w:noWrap w:val="0"/>
                  <w:vAlign w:val="center"/>
                </w:tcPr>
                <w:p w14:paraId="2509FDA0">
                  <w:pPr>
                    <w:pStyle w:val="56"/>
                    <w:bidi w:val="0"/>
                    <w:ind w:firstLine="0" w:firstLineChars="0"/>
                    <w:rPr>
                      <w:rFonts w:hint="default" w:ascii="Times New Roman" w:hAnsi="Times New Roman" w:eastAsia="宋体" w:cs="Times New Roman"/>
                      <w:b w:val="0"/>
                      <w:bCs/>
                      <w:color w:val="auto"/>
                      <w:kern w:val="0"/>
                      <w:sz w:val="21"/>
                      <w:szCs w:val="21"/>
                      <w:lang w:val="en-US" w:eastAsia="zh-CN" w:bidi="ar-SA"/>
                    </w:rPr>
                  </w:pPr>
                  <w:r>
                    <w:rPr>
                      <w:rFonts w:hint="eastAsia" w:cs="Times New Roman"/>
                      <w:b w:val="0"/>
                      <w:bCs/>
                      <w:color w:val="FF0000"/>
                      <w:kern w:val="0"/>
                      <w:sz w:val="21"/>
                      <w:szCs w:val="21"/>
                      <w:lang w:val="en-US" w:eastAsia="zh-CN" w:bidi="ar-SA"/>
                    </w:rPr>
                    <w:t>5.826</w:t>
                  </w:r>
                </w:p>
              </w:tc>
              <w:tc>
                <w:tcPr>
                  <w:tcW w:w="282" w:type="pct"/>
                  <w:tcBorders>
                    <w:tl2br w:val="nil"/>
                    <w:tr2bl w:val="nil"/>
                  </w:tcBorders>
                  <w:noWrap w:val="0"/>
                  <w:vAlign w:val="center"/>
                </w:tcPr>
                <w:p w14:paraId="1DAB25B6">
                  <w:pPr>
                    <w:adjustRightInd w:val="0"/>
                    <w:snapToGrid w:val="0"/>
                    <w:spacing w:line="240" w:lineRule="exact"/>
                    <w:ind w:firstLine="0" w:firstLineChars="0"/>
                    <w:jc w:val="center"/>
                    <w:rPr>
                      <w:rFonts w:hint="default" w:ascii="Times New Roman" w:hAnsi="Times New Roman" w:eastAsia="宋体" w:cs="Times New Roman"/>
                      <w:b w:val="0"/>
                      <w:bCs/>
                      <w:snapToGrid w:val="0"/>
                      <w:color w:val="auto"/>
                      <w:kern w:val="2"/>
                      <w:sz w:val="21"/>
                      <w:szCs w:val="21"/>
                      <w:lang w:val="en-US" w:eastAsia="zh-CN" w:bidi="ar-SA"/>
                    </w:rPr>
                  </w:pPr>
                  <w:r>
                    <w:rPr>
                      <w:rFonts w:hint="eastAsia" w:ascii="Times New Roman" w:hAnsi="Times New Roman" w:eastAsia="宋体" w:cs="Times New Roman"/>
                      <w:b w:val="0"/>
                      <w:bCs/>
                      <w:snapToGrid w:val="0"/>
                      <w:color w:val="auto"/>
                      <w:sz w:val="21"/>
                      <w:szCs w:val="21"/>
                      <w:lang w:val="en-US" w:eastAsia="zh-CN"/>
                    </w:rPr>
                    <w:t>DA001</w:t>
                  </w:r>
                </w:p>
              </w:tc>
              <w:tc>
                <w:tcPr>
                  <w:tcW w:w="196" w:type="pct"/>
                  <w:tcBorders>
                    <w:tl2br w:val="nil"/>
                    <w:tr2bl w:val="nil"/>
                  </w:tcBorders>
                  <w:noWrap w:val="0"/>
                  <w:vAlign w:val="center"/>
                </w:tcPr>
                <w:p w14:paraId="48A75584">
                  <w:pPr>
                    <w:adjustRightInd w:val="0"/>
                    <w:snapToGrid w:val="0"/>
                    <w:spacing w:line="240" w:lineRule="exact"/>
                    <w:ind w:firstLine="0" w:firstLineChars="0"/>
                    <w:jc w:val="center"/>
                    <w:rPr>
                      <w:rFonts w:hint="default" w:ascii="Times New Roman" w:hAnsi="Times New Roman" w:eastAsia="宋体" w:cs="Times New Roman"/>
                      <w:b w:val="0"/>
                      <w:bCs/>
                      <w:snapToGrid w:val="0"/>
                      <w:color w:val="auto"/>
                      <w:kern w:val="2"/>
                      <w:sz w:val="21"/>
                      <w:szCs w:val="21"/>
                      <w:lang w:val="en-US" w:eastAsia="zh-CN" w:bidi="ar-SA"/>
                    </w:rPr>
                  </w:pPr>
                  <w:r>
                    <w:rPr>
                      <w:rFonts w:hint="eastAsia" w:ascii="Times New Roman" w:hAnsi="Times New Roman" w:eastAsia="宋体" w:cs="Times New Roman"/>
                      <w:b w:val="0"/>
                      <w:bCs/>
                      <w:snapToGrid w:val="0"/>
                      <w:color w:val="auto"/>
                      <w:sz w:val="21"/>
                      <w:szCs w:val="21"/>
                      <w:lang w:val="en-US" w:eastAsia="zh-CN"/>
                    </w:rPr>
                    <w:t>15</w:t>
                  </w:r>
                </w:p>
              </w:tc>
              <w:tc>
                <w:tcPr>
                  <w:tcW w:w="195" w:type="pct"/>
                  <w:tcBorders>
                    <w:tl2br w:val="nil"/>
                    <w:tr2bl w:val="nil"/>
                  </w:tcBorders>
                  <w:noWrap w:val="0"/>
                  <w:vAlign w:val="center"/>
                </w:tcPr>
                <w:p w14:paraId="6BFABCF6">
                  <w:pPr>
                    <w:adjustRightInd w:val="0"/>
                    <w:snapToGrid w:val="0"/>
                    <w:spacing w:line="240" w:lineRule="exact"/>
                    <w:ind w:firstLine="0" w:firstLineChars="0"/>
                    <w:jc w:val="center"/>
                    <w:rPr>
                      <w:rFonts w:hint="default" w:ascii="Times New Roman" w:hAnsi="Times New Roman" w:eastAsia="宋体" w:cs="Times New Roman"/>
                      <w:b w:val="0"/>
                      <w:bCs/>
                      <w:snapToGrid w:val="0"/>
                      <w:color w:val="auto"/>
                      <w:kern w:val="2"/>
                      <w:sz w:val="21"/>
                      <w:szCs w:val="21"/>
                      <w:highlight w:val="none"/>
                      <w:lang w:val="en-US" w:eastAsia="zh-CN" w:bidi="ar-SA"/>
                    </w:rPr>
                  </w:pPr>
                  <w:r>
                    <w:rPr>
                      <w:rFonts w:hint="eastAsia" w:cs="Times New Roman"/>
                      <w:b w:val="0"/>
                      <w:bCs/>
                      <w:snapToGrid w:val="0"/>
                      <w:color w:val="auto"/>
                      <w:sz w:val="21"/>
                      <w:szCs w:val="21"/>
                      <w:highlight w:val="none"/>
                      <w:lang w:val="en-US" w:eastAsia="zh-CN"/>
                    </w:rPr>
                    <w:t>0.5</w:t>
                  </w:r>
                </w:p>
              </w:tc>
              <w:tc>
                <w:tcPr>
                  <w:tcW w:w="196" w:type="pct"/>
                  <w:tcBorders>
                    <w:tl2br w:val="nil"/>
                    <w:tr2bl w:val="nil"/>
                  </w:tcBorders>
                  <w:noWrap w:val="0"/>
                  <w:vAlign w:val="center"/>
                </w:tcPr>
                <w:p w14:paraId="76D43057">
                  <w:pPr>
                    <w:adjustRightInd w:val="0"/>
                    <w:snapToGrid w:val="0"/>
                    <w:spacing w:line="240" w:lineRule="exact"/>
                    <w:ind w:firstLine="0" w:firstLineChars="0"/>
                    <w:jc w:val="center"/>
                    <w:rPr>
                      <w:rFonts w:hint="default" w:ascii="Times New Roman" w:hAnsi="Times New Roman" w:eastAsia="宋体" w:cs="Times New Roman"/>
                      <w:b w:val="0"/>
                      <w:bCs/>
                      <w:snapToGrid w:val="0"/>
                      <w:color w:val="auto"/>
                      <w:kern w:val="2"/>
                      <w:sz w:val="21"/>
                      <w:szCs w:val="21"/>
                      <w:lang w:val="en-US" w:eastAsia="zh-CN" w:bidi="ar-SA"/>
                    </w:rPr>
                  </w:pPr>
                  <w:r>
                    <w:rPr>
                      <w:rFonts w:hint="eastAsia" w:ascii="Times New Roman" w:hAnsi="Times New Roman" w:eastAsia="宋体" w:cs="Times New Roman"/>
                      <w:b w:val="0"/>
                      <w:bCs/>
                      <w:snapToGrid w:val="0"/>
                      <w:color w:val="auto"/>
                      <w:sz w:val="21"/>
                      <w:szCs w:val="21"/>
                      <w:lang w:val="en-US" w:eastAsia="zh-CN"/>
                    </w:rPr>
                    <w:t>25</w:t>
                  </w:r>
                </w:p>
              </w:tc>
              <w:tc>
                <w:tcPr>
                  <w:tcW w:w="378" w:type="pct"/>
                  <w:tcBorders>
                    <w:tl2br w:val="nil"/>
                    <w:tr2bl w:val="nil"/>
                  </w:tcBorders>
                  <w:noWrap w:val="0"/>
                  <w:vAlign w:val="center"/>
                </w:tcPr>
                <w:p w14:paraId="12CFE399">
                  <w:pPr>
                    <w:adjustRightInd w:val="0"/>
                    <w:snapToGrid w:val="0"/>
                    <w:spacing w:line="240" w:lineRule="exact"/>
                    <w:ind w:firstLine="0" w:firstLineChars="0"/>
                    <w:jc w:val="center"/>
                    <w:rPr>
                      <w:rFonts w:hint="eastAsia" w:ascii="Times New Roman" w:hAnsi="Times New Roman" w:eastAsia="宋体" w:cs="Times New Roman"/>
                      <w:b w:val="0"/>
                      <w:bCs/>
                      <w:snapToGrid w:val="0"/>
                      <w:color w:val="auto"/>
                      <w:kern w:val="2"/>
                      <w:sz w:val="21"/>
                      <w:szCs w:val="21"/>
                      <w:lang w:val="en-US" w:eastAsia="zh-CN" w:bidi="ar-SA"/>
                    </w:rPr>
                  </w:pPr>
                  <w:r>
                    <w:rPr>
                      <w:rFonts w:hint="eastAsia" w:ascii="Times New Roman" w:hAnsi="Times New Roman" w:eastAsia="宋体" w:cs="Times New Roman"/>
                      <w:b w:val="0"/>
                      <w:bCs/>
                      <w:snapToGrid w:val="0"/>
                      <w:color w:val="auto"/>
                      <w:sz w:val="21"/>
                      <w:szCs w:val="21"/>
                      <w:lang w:val="en-US" w:eastAsia="zh-CN"/>
                    </w:rPr>
                    <w:t>一般排放口</w:t>
                  </w:r>
                </w:p>
              </w:tc>
              <w:tc>
                <w:tcPr>
                  <w:tcW w:w="732" w:type="pct"/>
                  <w:tcBorders>
                    <w:tl2br w:val="nil"/>
                    <w:tr2bl w:val="nil"/>
                  </w:tcBorders>
                  <w:noWrap w:val="0"/>
                  <w:vAlign w:val="center"/>
                </w:tcPr>
                <w:p w14:paraId="6FBB3C27">
                  <w:pPr>
                    <w:adjustRightInd w:val="0"/>
                    <w:snapToGrid w:val="0"/>
                    <w:spacing w:line="240" w:lineRule="exact"/>
                    <w:ind w:firstLine="0" w:firstLineChars="0"/>
                    <w:jc w:val="center"/>
                    <w:rPr>
                      <w:rFonts w:hint="default" w:ascii="Times New Roman" w:hAnsi="Times New Roman" w:eastAsia="宋体" w:cs="Times New Roman"/>
                      <w:b w:val="0"/>
                      <w:bCs/>
                      <w:color w:val="auto"/>
                      <w:sz w:val="21"/>
                      <w:szCs w:val="21"/>
                      <w:lang w:val="en-US" w:eastAsia="zh-CN"/>
                    </w:rPr>
                  </w:pPr>
                  <w:r>
                    <w:rPr>
                      <w:rFonts w:hint="eastAsia" w:eastAsia="宋体" w:cs="Times New Roman"/>
                      <w:b w:val="0"/>
                      <w:bCs/>
                      <w:snapToGrid w:val="0"/>
                      <w:color w:val="auto"/>
                      <w:sz w:val="21"/>
                      <w:szCs w:val="21"/>
                      <w:highlight w:val="none"/>
                      <w:lang w:val="en-US" w:eastAsia="zh-CN"/>
                    </w:rPr>
                    <w:t>E</w:t>
                  </w:r>
                  <w:r>
                    <w:rPr>
                      <w:rFonts w:hint="eastAsia" w:cs="Times New Roman"/>
                      <w:b w:val="0"/>
                      <w:bCs/>
                      <w:snapToGrid w:val="0"/>
                      <w:color w:val="auto"/>
                      <w:sz w:val="21"/>
                      <w:szCs w:val="21"/>
                      <w:highlight w:val="none"/>
                      <w:lang w:val="en-US" w:eastAsia="zh-CN"/>
                    </w:rPr>
                    <w:t>:</w:t>
                  </w:r>
                  <w:r>
                    <w:rPr>
                      <w:rFonts w:hint="eastAsia" w:eastAsia="宋体" w:cs="Times New Roman"/>
                      <w:b w:val="0"/>
                      <w:bCs/>
                      <w:snapToGrid w:val="0"/>
                      <w:color w:val="auto"/>
                      <w:sz w:val="21"/>
                      <w:szCs w:val="21"/>
                      <w:highlight w:val="none"/>
                      <w:lang w:val="en-US" w:eastAsia="zh-CN"/>
                    </w:rPr>
                    <w:t>115°28′13.851″</w:t>
                  </w:r>
                  <w:r>
                    <w:rPr>
                      <w:rFonts w:hint="eastAsia" w:cs="Times New Roman"/>
                      <w:b w:val="0"/>
                      <w:bCs/>
                      <w:snapToGrid w:val="0"/>
                      <w:color w:val="auto"/>
                      <w:sz w:val="21"/>
                      <w:szCs w:val="21"/>
                      <w:highlight w:val="none"/>
                      <w:lang w:val="en-US" w:eastAsia="zh-CN"/>
                    </w:rPr>
                    <w:t xml:space="preserve">, </w:t>
                  </w:r>
                  <w:r>
                    <w:rPr>
                      <w:rFonts w:hint="eastAsia" w:eastAsia="宋体" w:cs="Times New Roman"/>
                      <w:b w:val="0"/>
                      <w:bCs/>
                      <w:snapToGrid w:val="0"/>
                      <w:color w:val="auto"/>
                      <w:sz w:val="21"/>
                      <w:szCs w:val="21"/>
                      <w:highlight w:val="none"/>
                      <w:lang w:val="en-US" w:eastAsia="zh-CN"/>
                    </w:rPr>
                    <w:t>N28°29′5.91″</w:t>
                  </w:r>
                </w:p>
              </w:tc>
              <w:tc>
                <w:tcPr>
                  <w:tcW w:w="449" w:type="pct"/>
                  <w:tcBorders>
                    <w:tl2br w:val="nil"/>
                    <w:tr2bl w:val="nil"/>
                  </w:tcBorders>
                  <w:noWrap w:val="0"/>
                  <w:vAlign w:val="center"/>
                </w:tcPr>
                <w:p w14:paraId="0ED17D7E">
                  <w:pPr>
                    <w:adjustRightInd w:val="0"/>
                    <w:snapToGrid w:val="0"/>
                    <w:spacing w:line="240" w:lineRule="exact"/>
                    <w:ind w:firstLine="0" w:firstLineChars="0"/>
                    <w:jc w:val="center"/>
                    <w:rPr>
                      <w:rFonts w:ascii="Times New Roman" w:hAnsi="Times New Roman" w:eastAsia="宋体" w:cs="Times New Roman"/>
                      <w:b w:val="0"/>
                      <w:bCs/>
                      <w:color w:val="auto"/>
                      <w:sz w:val="21"/>
                      <w:szCs w:val="21"/>
                    </w:rPr>
                  </w:pPr>
                  <w:r>
                    <w:rPr>
                      <w:rFonts w:ascii="Times New Roman" w:hAnsi="Times New Roman" w:eastAsia="宋体" w:cs="Times New Roman"/>
                      <w:color w:val="auto"/>
                      <w:sz w:val="21"/>
                      <w:szCs w:val="21"/>
                      <w:highlight w:val="none"/>
                    </w:rPr>
                    <w:t>立即停产检修，待所有生产设备、环保设施恢复正常后再投入生产。</w:t>
                  </w:r>
                </w:p>
              </w:tc>
            </w:tr>
          </w:tbl>
          <w:p w14:paraId="269F9A3E">
            <w:pPr>
              <w:pStyle w:val="7"/>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pPr>
          </w:p>
        </w:tc>
      </w:tr>
    </w:tbl>
    <w:p w14:paraId="6CFBA463">
      <w:pPr>
        <w:pStyle w:val="7"/>
        <w:ind w:firstLine="400"/>
        <w:sectPr>
          <w:pgSz w:w="16840" w:h="11907" w:orient="landscape"/>
          <w:pgMar w:top="1440" w:right="720" w:bottom="1440" w:left="720" w:header="851" w:footer="851" w:gutter="0"/>
          <w:pgBorders>
            <w:top w:val="none" w:sz="0" w:space="0"/>
            <w:left w:val="none" w:sz="0" w:space="0"/>
            <w:bottom w:val="none" w:sz="0" w:space="0"/>
            <w:right w:val="none" w:sz="0" w:space="0"/>
          </w:pgBorders>
          <w:cols w:space="720" w:num="1"/>
          <w:docGrid w:linePitch="312" w:charSpace="0"/>
        </w:sectPr>
      </w:pPr>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3"/>
        <w:gridCol w:w="8628"/>
      </w:tblGrid>
      <w:tr w14:paraId="61624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1" w:hRule="atLeast"/>
        </w:trPr>
        <w:tc>
          <w:tcPr>
            <w:tcW w:w="433" w:type="dxa"/>
            <w:vAlign w:val="center"/>
          </w:tcPr>
          <w:p w14:paraId="3A21319D">
            <w:pPr>
              <w:ind w:firstLine="0" w:firstLineChars="0"/>
              <w:jc w:val="center"/>
              <w:rPr>
                <w:rFonts w:ascii="宋体" w:hAnsi="宋体" w:cs="宋体"/>
                <w:b/>
              </w:rPr>
            </w:pPr>
            <w:r>
              <w:rPr>
                <w:rFonts w:hint="eastAsia" w:ascii="宋体" w:hAnsi="宋体" w:cs="宋体"/>
                <w:b/>
              </w:rPr>
              <w:t>运营</w:t>
            </w:r>
          </w:p>
          <w:p w14:paraId="7B22FBF0">
            <w:pPr>
              <w:ind w:firstLine="0" w:firstLineChars="0"/>
              <w:jc w:val="center"/>
              <w:rPr>
                <w:rFonts w:ascii="宋体" w:hAnsi="宋体" w:cs="宋体"/>
                <w:b/>
              </w:rPr>
            </w:pPr>
            <w:r>
              <w:rPr>
                <w:rFonts w:hint="eastAsia" w:ascii="宋体" w:hAnsi="宋体" w:cs="宋体"/>
                <w:b/>
              </w:rPr>
              <w:t>期环</w:t>
            </w:r>
          </w:p>
          <w:p w14:paraId="37079297">
            <w:pPr>
              <w:ind w:firstLine="0" w:firstLineChars="0"/>
              <w:jc w:val="center"/>
              <w:rPr>
                <w:rFonts w:ascii="宋体" w:hAnsi="宋体" w:cs="宋体"/>
                <w:b/>
              </w:rPr>
            </w:pPr>
            <w:r>
              <w:rPr>
                <w:rFonts w:hint="eastAsia" w:ascii="宋体" w:hAnsi="宋体" w:cs="宋体"/>
                <w:b/>
              </w:rPr>
              <w:t>境影</w:t>
            </w:r>
          </w:p>
          <w:p w14:paraId="15DE265E">
            <w:pPr>
              <w:ind w:firstLine="0" w:firstLineChars="0"/>
              <w:jc w:val="center"/>
              <w:rPr>
                <w:rFonts w:ascii="宋体" w:hAnsi="宋体" w:cs="宋体"/>
                <w:b/>
              </w:rPr>
            </w:pPr>
            <w:r>
              <w:rPr>
                <w:rFonts w:hint="eastAsia" w:ascii="宋体" w:hAnsi="宋体" w:cs="宋体"/>
                <w:b/>
              </w:rPr>
              <w:t>响和</w:t>
            </w:r>
          </w:p>
          <w:p w14:paraId="31FB88D9">
            <w:pPr>
              <w:ind w:firstLine="0" w:firstLineChars="0"/>
              <w:jc w:val="center"/>
              <w:rPr>
                <w:rFonts w:ascii="宋体" w:hAnsi="宋体" w:cs="宋体"/>
                <w:b/>
              </w:rPr>
            </w:pPr>
            <w:r>
              <w:rPr>
                <w:rFonts w:hint="eastAsia" w:ascii="宋体" w:hAnsi="宋体" w:cs="宋体"/>
                <w:b/>
              </w:rPr>
              <w:t>保护</w:t>
            </w:r>
          </w:p>
          <w:p w14:paraId="1930A06D">
            <w:pPr>
              <w:pStyle w:val="8"/>
              <w:numPr>
                <w:ilvl w:val="3"/>
                <w:numId w:val="0"/>
              </w:numPr>
              <w:jc w:val="center"/>
            </w:pPr>
            <w:r>
              <w:rPr>
                <w:rFonts w:hint="eastAsia" w:ascii="宋体" w:hAnsi="宋体" w:cs="宋体"/>
                <w:b/>
              </w:rPr>
              <w:t>措施</w:t>
            </w:r>
          </w:p>
        </w:tc>
        <w:tc>
          <w:tcPr>
            <w:tcW w:w="8628" w:type="dxa"/>
          </w:tcPr>
          <w:p w14:paraId="1C249A4C">
            <w:pPr>
              <w:ind w:firstLine="480"/>
            </w:pPr>
            <w:r>
              <w:rPr>
                <w:rFonts w:hint="eastAsia"/>
                <w:lang w:val="en-US" w:eastAsia="zh-CN"/>
              </w:rPr>
              <w:t>2</w:t>
            </w:r>
            <w:r>
              <w:rPr>
                <w:rFonts w:hint="eastAsia"/>
              </w:rPr>
              <w:t>、污染源强核算过程</w:t>
            </w:r>
          </w:p>
          <w:p w14:paraId="151B5CD7">
            <w:pPr>
              <w:keepNext w:val="0"/>
              <w:keepLines w:val="0"/>
              <w:pageBreakBefore w:val="0"/>
              <w:widowControl w:val="0"/>
              <w:kinsoku/>
              <w:wordWrap/>
              <w:overflowPunct/>
              <w:topLinePunct w:val="0"/>
              <w:autoSpaceDE/>
              <w:autoSpaceDN/>
              <w:bidi w:val="0"/>
              <w:adjustRightInd/>
              <w:snapToGrid/>
              <w:spacing w:line="360" w:lineRule="auto"/>
              <w:ind w:left="0" w:firstLine="464" w:firstLineChars="200"/>
              <w:textAlignment w:val="auto"/>
              <w:rPr>
                <w:rFonts w:hint="default" w:eastAsia="宋体"/>
                <w:color w:val="auto"/>
                <w:spacing w:val="-1"/>
                <w:sz w:val="24"/>
                <w:szCs w:val="24"/>
                <w:lang w:val="en-US" w:eastAsia="zh-CN"/>
              </w:rPr>
            </w:pPr>
            <w:r>
              <w:rPr>
                <w:rFonts w:hint="default" w:ascii="Times New Roman" w:hAnsi="Times New Roman" w:eastAsia="宋体" w:cs="Times New Roman"/>
                <w:color w:val="auto"/>
                <w:spacing w:val="-4"/>
                <w:sz w:val="24"/>
                <w:szCs w:val="24"/>
                <w:lang w:val="en-US" w:eastAsia="zh-CN"/>
              </w:rPr>
              <w:t>（1）</w:t>
            </w:r>
            <w:r>
              <w:rPr>
                <w:rFonts w:hint="eastAsia" w:ascii="Times New Roman" w:hAnsi="Times New Roman" w:eastAsia="宋体" w:cs="Times New Roman"/>
                <w:color w:val="auto"/>
                <w:spacing w:val="-4"/>
                <w:sz w:val="24"/>
                <w:szCs w:val="24"/>
                <w:lang w:val="en-US" w:eastAsia="zh-CN"/>
              </w:rPr>
              <w:t>卸料扬</w:t>
            </w:r>
            <w:r>
              <w:rPr>
                <w:rFonts w:hint="default" w:ascii="Times New Roman" w:hAnsi="Times New Roman" w:eastAsia="宋体" w:cs="Times New Roman"/>
                <w:color w:val="auto"/>
                <w:spacing w:val="-4"/>
                <w:sz w:val="24"/>
                <w:szCs w:val="24"/>
                <w:lang w:val="en-US" w:eastAsia="zh-CN"/>
              </w:rPr>
              <w:t>尘</w:t>
            </w:r>
          </w:p>
          <w:p w14:paraId="79D36436">
            <w:pPr>
              <w:keepNext w:val="0"/>
              <w:keepLines w:val="0"/>
              <w:pageBreakBefore w:val="0"/>
              <w:widowControl w:val="0"/>
              <w:kinsoku/>
              <w:wordWrap/>
              <w:overflowPunct/>
              <w:topLinePunct w:val="0"/>
              <w:autoSpaceDE/>
              <w:autoSpaceDN/>
              <w:bidi w:val="0"/>
              <w:adjustRightInd/>
              <w:snapToGrid/>
              <w:spacing w:line="360" w:lineRule="auto"/>
              <w:ind w:left="0" w:firstLine="476" w:firstLineChars="200"/>
              <w:textAlignment w:val="auto"/>
              <w:rPr>
                <w:rFonts w:hint="default"/>
                <w:color w:val="auto"/>
                <w:spacing w:val="-1"/>
                <w:sz w:val="24"/>
                <w:szCs w:val="32"/>
                <w:lang w:val="en-US" w:eastAsia="zh-CN"/>
              </w:rPr>
            </w:pPr>
            <w:r>
              <w:rPr>
                <w:color w:val="FF0000"/>
                <w:spacing w:val="-1"/>
                <w:sz w:val="24"/>
                <w:szCs w:val="32"/>
              </w:rPr>
              <w:t>项目</w:t>
            </w:r>
            <w:r>
              <w:rPr>
                <w:rFonts w:hint="eastAsia"/>
                <w:color w:val="FF0000"/>
                <w:spacing w:val="-1"/>
                <w:sz w:val="24"/>
                <w:szCs w:val="32"/>
                <w:lang w:val="en-US" w:eastAsia="zh-CN"/>
              </w:rPr>
              <w:t>机制砂及碎石</w:t>
            </w:r>
            <w:r>
              <w:rPr>
                <w:color w:val="FF0000"/>
                <w:spacing w:val="-1"/>
                <w:sz w:val="24"/>
                <w:szCs w:val="32"/>
              </w:rPr>
              <w:t>原料</w:t>
            </w:r>
            <w:r>
              <w:rPr>
                <w:rFonts w:hint="eastAsia"/>
                <w:color w:val="FF0000"/>
                <w:spacing w:val="-1"/>
                <w:sz w:val="24"/>
                <w:szCs w:val="32"/>
                <w:lang w:val="en-US" w:eastAsia="zh-CN"/>
              </w:rPr>
              <w:t>进厂为散装运输，在卸料过程会产生粉尘。</w:t>
            </w:r>
            <w:r>
              <w:rPr>
                <w:color w:val="auto"/>
                <w:spacing w:val="-1"/>
                <w:sz w:val="24"/>
                <w:szCs w:val="32"/>
              </w:rPr>
              <w:t>参照《</w:t>
            </w:r>
            <w:r>
              <w:rPr>
                <w:rFonts w:hint="eastAsia"/>
                <w:color w:val="auto"/>
                <w:spacing w:val="-1"/>
                <w:sz w:val="24"/>
                <w:szCs w:val="32"/>
              </w:rPr>
              <w:t>逸散性工业粉尘控制技术》（中国环境科学出版社，1989.12，J.A.奥里蒙、G.A.久兹等编著张良璧等编译）</w:t>
            </w:r>
            <w:r>
              <w:rPr>
                <w:rFonts w:hint="eastAsia"/>
                <w:color w:val="auto"/>
                <w:spacing w:val="-1"/>
                <w:sz w:val="24"/>
                <w:szCs w:val="32"/>
                <w:lang w:val="en-US" w:eastAsia="zh-CN"/>
              </w:rPr>
              <w:t>第十三章水泥厂其他卸料粉尘产生系数0.015～0.2kg/t、项目碎石及机制砂</w:t>
            </w:r>
            <w:r>
              <w:rPr>
                <w:rFonts w:hint="eastAsia"/>
                <w:color w:val="auto"/>
                <w:spacing w:val="-1"/>
                <w:sz w:val="24"/>
                <w:szCs w:val="32"/>
                <w:highlight w:val="none"/>
                <w:lang w:val="en-US" w:eastAsia="zh-CN"/>
              </w:rPr>
              <w:t>年</w:t>
            </w:r>
            <w:r>
              <w:rPr>
                <w:rFonts w:hint="eastAsia"/>
                <w:color w:val="auto"/>
                <w:spacing w:val="-1"/>
                <w:sz w:val="24"/>
                <w:szCs w:val="32"/>
                <w:lang w:val="en-US" w:eastAsia="zh-CN"/>
              </w:rPr>
              <w:t>用量约10660t，卸料粉尘产生系数以0.2kg/t计，则粉尘产生量为2.132t/a。</w:t>
            </w:r>
          </w:p>
          <w:p w14:paraId="6C6576AE">
            <w:pPr>
              <w:keepNext w:val="0"/>
              <w:keepLines w:val="0"/>
              <w:pageBreakBefore w:val="0"/>
              <w:widowControl w:val="0"/>
              <w:kinsoku/>
              <w:wordWrap/>
              <w:overflowPunct/>
              <w:topLinePunct w:val="0"/>
              <w:autoSpaceDE/>
              <w:autoSpaceDN/>
              <w:bidi w:val="0"/>
              <w:adjustRightInd/>
              <w:snapToGrid/>
              <w:spacing w:line="360" w:lineRule="auto"/>
              <w:ind w:left="0" w:firstLine="476" w:firstLineChars="200"/>
              <w:textAlignment w:val="auto"/>
              <w:rPr>
                <w:rFonts w:hint="eastAsia"/>
                <w:color w:val="auto"/>
                <w:spacing w:val="-1"/>
                <w:sz w:val="24"/>
                <w:szCs w:val="32"/>
                <w:lang w:val="en-US" w:eastAsia="zh-CN"/>
              </w:rPr>
            </w:pPr>
            <w:r>
              <w:rPr>
                <w:rFonts w:hint="eastAsia"/>
                <w:color w:val="auto"/>
                <w:spacing w:val="-1"/>
                <w:sz w:val="24"/>
                <w:szCs w:val="32"/>
                <w:lang w:val="en-US" w:eastAsia="zh-CN"/>
              </w:rPr>
              <w:t>项目卸料过程在密闭1#车间内进行，参考工业源固体物料堆场颗粒物核算系数手册中附录4及附录5，密闭式堆场粉尘控制效率为99%，控制措施控制效率中洒水效率为74%，项目卸料在密闭车间进行，同步卸料过程采取洒水降尘及出入车辆冲洗方式降尘，则卸料扬尘无组织排放量为2.132*（1-99%）*（1-74%）=0.006t/a(0.002kg/h）。</w:t>
            </w:r>
          </w:p>
          <w:p w14:paraId="33572375">
            <w:pPr>
              <w:pStyle w:val="144"/>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default" w:ascii="Times New Roman" w:hAnsi="Times New Roman" w:eastAsia="宋体" w:cs="Times New Roman"/>
                <w:color w:val="auto"/>
                <w:spacing w:val="-4"/>
                <w:lang w:val="en-US" w:eastAsia="zh-CN"/>
              </w:rPr>
            </w:pPr>
            <w:r>
              <w:rPr>
                <w:rFonts w:hint="eastAsia" w:ascii="Times New Roman" w:hAnsi="Times New Roman" w:eastAsia="宋体" w:cs="Times New Roman"/>
                <w:color w:val="auto"/>
                <w:spacing w:val="-4"/>
                <w:lang w:val="en-US" w:eastAsia="zh-CN"/>
              </w:rPr>
              <w:t>（2）</w:t>
            </w:r>
            <w:r>
              <w:rPr>
                <w:rFonts w:hint="default" w:ascii="Times New Roman" w:hAnsi="Times New Roman" w:eastAsia="宋体" w:cs="Times New Roman"/>
                <w:color w:val="auto"/>
                <w:spacing w:val="-4"/>
                <w:lang w:val="en-US" w:eastAsia="zh-CN"/>
              </w:rPr>
              <w:t>风蚀扬尘</w:t>
            </w:r>
          </w:p>
          <w:p w14:paraId="272B27A5">
            <w:pPr>
              <w:keepNext w:val="0"/>
              <w:keepLines w:val="0"/>
              <w:pageBreakBefore w:val="0"/>
              <w:widowControl w:val="0"/>
              <w:kinsoku/>
              <w:wordWrap/>
              <w:overflowPunct/>
              <w:topLinePunct w:val="0"/>
              <w:autoSpaceDE/>
              <w:autoSpaceDN/>
              <w:bidi w:val="0"/>
              <w:adjustRightInd/>
              <w:snapToGrid/>
              <w:spacing w:line="360" w:lineRule="auto"/>
              <w:ind w:left="0" w:firstLine="476" w:firstLineChars="200"/>
              <w:textAlignment w:val="auto"/>
              <w:rPr>
                <w:rFonts w:hint="default"/>
                <w:color w:val="auto"/>
                <w:spacing w:val="-1"/>
                <w:sz w:val="24"/>
                <w:szCs w:val="32"/>
                <w:lang w:val="en-US" w:eastAsia="zh-CN"/>
              </w:rPr>
            </w:pPr>
            <w:r>
              <w:rPr>
                <w:rFonts w:hint="eastAsia"/>
                <w:color w:val="auto"/>
                <w:spacing w:val="-1"/>
                <w:sz w:val="24"/>
                <w:szCs w:val="32"/>
                <w:lang w:val="en-US" w:eastAsia="zh-CN"/>
              </w:rPr>
              <w:t>项目原料为散装储存，储存过程中会产生风蚀扬尘，</w:t>
            </w:r>
            <w:r>
              <w:rPr>
                <w:color w:val="auto"/>
                <w:spacing w:val="-1"/>
                <w:sz w:val="24"/>
                <w:szCs w:val="32"/>
              </w:rPr>
              <w:t>参照《</w:t>
            </w:r>
            <w:r>
              <w:rPr>
                <w:rFonts w:hint="eastAsia"/>
                <w:color w:val="auto"/>
                <w:spacing w:val="-1"/>
                <w:sz w:val="24"/>
                <w:szCs w:val="32"/>
              </w:rPr>
              <w:t>逸散性工业粉尘控制技术》（中国环境科学出版社，1989.12，J.A.奥里蒙、G.A.久兹等编著张良璧等编译）</w:t>
            </w:r>
            <w:r>
              <w:rPr>
                <w:rFonts w:hint="eastAsia"/>
                <w:color w:val="auto"/>
                <w:spacing w:val="-1"/>
                <w:sz w:val="24"/>
                <w:szCs w:val="32"/>
                <w:lang w:val="en-US" w:eastAsia="zh-CN"/>
              </w:rPr>
              <w:t>第十三章水泥厂中原料储存粉尘产生系数0.025kg/t、项目碎石及机制砂10660t/a为散装储存，则原料储存粉尘产生量为0.267t/a。</w:t>
            </w:r>
          </w:p>
          <w:p w14:paraId="118B01D0">
            <w:pPr>
              <w:keepNext w:val="0"/>
              <w:keepLines w:val="0"/>
              <w:pageBreakBefore w:val="0"/>
              <w:widowControl w:val="0"/>
              <w:kinsoku/>
              <w:wordWrap/>
              <w:overflowPunct/>
              <w:topLinePunct w:val="0"/>
              <w:autoSpaceDE/>
              <w:autoSpaceDN/>
              <w:bidi w:val="0"/>
              <w:adjustRightInd/>
              <w:snapToGrid/>
              <w:spacing w:line="360" w:lineRule="auto"/>
              <w:ind w:left="0" w:firstLine="476" w:firstLineChars="200"/>
              <w:textAlignment w:val="auto"/>
              <w:rPr>
                <w:rFonts w:hint="eastAsia"/>
                <w:color w:val="auto"/>
                <w:spacing w:val="-1"/>
                <w:sz w:val="24"/>
                <w:szCs w:val="32"/>
                <w:lang w:val="en-US" w:eastAsia="zh-CN"/>
              </w:rPr>
            </w:pPr>
            <w:r>
              <w:rPr>
                <w:rFonts w:hint="eastAsia"/>
                <w:color w:val="auto"/>
                <w:spacing w:val="-1"/>
                <w:sz w:val="24"/>
                <w:szCs w:val="32"/>
                <w:lang w:val="en-US" w:eastAsia="zh-CN"/>
              </w:rPr>
              <w:t>项目原料进厂后储存为在密闭车间1#/内散装堆放，参考工业源固体物料堆场颗粒物核算系数手册中附录4及附录5，密闭式堆场粉尘控制效率为99%，控制措施控制效率中洒水效率为74%，项目采取洒水降尘及出入车辆冲洗方式降尘，则风蚀扬尘粉尘无组织排放量为0.267*（1-99%）*（1-74%）=0.0007t/a(0.0003kg/h）。</w:t>
            </w:r>
          </w:p>
          <w:p w14:paraId="50C77044">
            <w:pPr>
              <w:pStyle w:val="144"/>
              <w:keepNext w:val="0"/>
              <w:keepLines w:val="0"/>
              <w:pageBreakBefore w:val="0"/>
              <w:widowControl w:val="0"/>
              <w:numPr>
                <w:ilvl w:val="0"/>
                <w:numId w:val="0"/>
              </w:numPr>
              <w:tabs>
                <w:tab w:val="left" w:pos="75"/>
              </w:tabs>
              <w:kinsoku/>
              <w:wordWrap/>
              <w:overflowPunct/>
              <w:topLinePunct w:val="0"/>
              <w:autoSpaceDE/>
              <w:autoSpaceDN/>
              <w:bidi w:val="0"/>
              <w:adjustRightInd/>
              <w:snapToGrid/>
              <w:spacing w:line="360" w:lineRule="auto"/>
              <w:ind w:firstLine="464" w:firstLineChars="200"/>
              <w:textAlignment w:val="auto"/>
              <w:rPr>
                <w:rFonts w:hint="eastAsia"/>
                <w:color w:val="auto"/>
                <w:spacing w:val="-4"/>
                <w:lang w:val="en-US" w:eastAsia="zh-CN"/>
              </w:rPr>
            </w:pPr>
            <w:r>
              <w:rPr>
                <w:rFonts w:hint="default" w:ascii="Times New Roman" w:hAnsi="Times New Roman" w:cs="Times New Roman"/>
                <w:color w:val="auto"/>
                <w:spacing w:val="-4"/>
                <w:lang w:val="en-US" w:eastAsia="zh-CN"/>
              </w:rPr>
              <w:t>（</w:t>
            </w:r>
            <w:r>
              <w:rPr>
                <w:rFonts w:hint="eastAsia" w:ascii="Times New Roman" w:hAnsi="Times New Roman" w:cs="Times New Roman"/>
                <w:color w:val="auto"/>
                <w:spacing w:val="-4"/>
                <w:lang w:val="en-US" w:eastAsia="zh-CN"/>
              </w:rPr>
              <w:t>3</w:t>
            </w:r>
            <w:r>
              <w:rPr>
                <w:rFonts w:hint="default" w:ascii="Times New Roman" w:hAnsi="Times New Roman" w:cs="Times New Roman"/>
                <w:color w:val="auto"/>
                <w:spacing w:val="-4"/>
                <w:lang w:val="en-US" w:eastAsia="zh-CN"/>
              </w:rPr>
              <w:t>）</w:t>
            </w:r>
            <w:r>
              <w:rPr>
                <w:rFonts w:hint="eastAsia"/>
                <w:color w:val="auto"/>
                <w:spacing w:val="-4"/>
                <w:lang w:val="en-US" w:eastAsia="zh-CN"/>
              </w:rPr>
              <w:t>投料粉尘</w:t>
            </w:r>
          </w:p>
          <w:p w14:paraId="1A557629">
            <w:pPr>
              <w:keepNext w:val="0"/>
              <w:keepLines w:val="0"/>
              <w:pageBreakBefore w:val="0"/>
              <w:widowControl w:val="0"/>
              <w:kinsoku/>
              <w:wordWrap/>
              <w:overflowPunct/>
              <w:topLinePunct w:val="0"/>
              <w:autoSpaceDE/>
              <w:autoSpaceDN/>
              <w:bidi w:val="0"/>
              <w:adjustRightInd/>
              <w:snapToGrid/>
              <w:spacing w:line="360" w:lineRule="auto"/>
              <w:ind w:left="0" w:firstLine="476" w:firstLineChars="200"/>
              <w:textAlignment w:val="auto"/>
              <w:rPr>
                <w:rFonts w:hint="default"/>
                <w:color w:val="auto"/>
                <w:spacing w:val="-1"/>
                <w:sz w:val="24"/>
                <w:szCs w:val="32"/>
                <w:lang w:val="en-US" w:eastAsia="zh-CN"/>
              </w:rPr>
            </w:pPr>
            <w:r>
              <w:rPr>
                <w:rFonts w:hint="eastAsia"/>
                <w:color w:val="FF0000"/>
                <w:spacing w:val="-1"/>
                <w:sz w:val="24"/>
                <w:szCs w:val="32"/>
                <w:lang w:val="en-US" w:eastAsia="zh-CN"/>
              </w:rPr>
              <w:t>项目利用铲车将碎石及机制砂装入喂料口，同步混凝土减水剂为人工投料，碎石及机制砂、混凝土减水剂</w:t>
            </w:r>
            <w:r>
              <w:rPr>
                <w:rFonts w:hint="eastAsia"/>
                <w:color w:val="FF0000"/>
                <w:spacing w:val="-1"/>
                <w:sz w:val="24"/>
                <w:szCs w:val="32"/>
                <w:highlight w:val="none"/>
                <w:lang w:val="en-US" w:eastAsia="zh-CN"/>
              </w:rPr>
              <w:t>年</w:t>
            </w:r>
            <w:r>
              <w:rPr>
                <w:rFonts w:hint="eastAsia"/>
                <w:color w:val="FF0000"/>
                <w:spacing w:val="-1"/>
                <w:sz w:val="24"/>
                <w:szCs w:val="32"/>
                <w:lang w:val="en-US" w:eastAsia="zh-CN"/>
              </w:rPr>
              <w:t>用量约10662t，</w:t>
            </w:r>
            <w:r>
              <w:rPr>
                <w:color w:val="auto"/>
                <w:spacing w:val="-1"/>
                <w:sz w:val="24"/>
                <w:szCs w:val="32"/>
              </w:rPr>
              <w:t>参照《逸散性工业粉尘控制技术》</w:t>
            </w:r>
            <w:r>
              <w:rPr>
                <w:rFonts w:hint="eastAsia"/>
                <w:color w:val="auto"/>
                <w:spacing w:val="-1"/>
                <w:sz w:val="24"/>
                <w:szCs w:val="32"/>
                <w:lang w:val="en-US" w:eastAsia="zh-CN"/>
              </w:rPr>
              <w:t>第十三章水泥厂原料装入一级破碎机粉尘产生系数为0.00015~0.02kg/t，本项目以0.02kg/t计，则装料粉尘产生量为0.213t/a，项目在喂料口顶部设置集气罩废气进行收集后由布袋除尘器处理，集气罩收集效率以90%计，</w:t>
            </w:r>
            <w:r>
              <w:rPr>
                <w:rFonts w:hint="eastAsia"/>
                <w:color w:val="FF0000"/>
                <w:spacing w:val="-4"/>
                <w:sz w:val="24"/>
                <w:szCs w:val="32"/>
                <w:lang w:val="en-US" w:eastAsia="zh-CN"/>
              </w:rPr>
              <w:t>布袋除尘</w:t>
            </w:r>
            <w:r>
              <w:rPr>
                <w:color w:val="FF0000"/>
                <w:spacing w:val="-4"/>
                <w:sz w:val="24"/>
                <w:szCs w:val="32"/>
              </w:rPr>
              <w:t>去除效率</w:t>
            </w:r>
            <w:r>
              <w:rPr>
                <w:rFonts w:hint="eastAsia"/>
                <w:color w:val="FF0000"/>
                <w:spacing w:val="-4"/>
                <w:sz w:val="24"/>
                <w:szCs w:val="32"/>
                <w:lang w:val="en-US" w:eastAsia="zh-CN"/>
              </w:rPr>
              <w:t>以</w:t>
            </w:r>
            <w:r>
              <w:rPr>
                <w:rFonts w:ascii="Times New Roman" w:hAnsi="Times New Roman" w:eastAsia="Times New Roman" w:cs="Times New Roman"/>
                <w:color w:val="FF0000"/>
                <w:spacing w:val="-4"/>
                <w:sz w:val="24"/>
                <w:szCs w:val="32"/>
              </w:rPr>
              <w:t>99%</w:t>
            </w:r>
            <w:r>
              <w:rPr>
                <w:rFonts w:hint="eastAsia" w:eastAsia="宋体" w:cs="Times New Roman"/>
                <w:color w:val="FF0000"/>
                <w:spacing w:val="-4"/>
                <w:sz w:val="24"/>
                <w:szCs w:val="32"/>
                <w:lang w:val="en-US" w:eastAsia="zh-CN"/>
              </w:rPr>
              <w:t>计</w:t>
            </w:r>
            <w:r>
              <w:rPr>
                <w:rFonts w:hint="eastAsia" w:ascii="Times New Roman" w:hAnsi="Times New Roman" w:eastAsia="宋体" w:cs="Times New Roman"/>
                <w:color w:val="FF0000"/>
                <w:spacing w:val="-4"/>
                <w:sz w:val="24"/>
                <w:szCs w:val="32"/>
                <w:lang w:eastAsia="zh-CN"/>
              </w:rPr>
              <w:t>，</w:t>
            </w:r>
            <w:r>
              <w:rPr>
                <w:rFonts w:hint="eastAsia" w:ascii="Times New Roman" w:hAnsi="Times New Roman" w:eastAsia="宋体" w:cs="Times New Roman"/>
                <w:color w:val="FF0000"/>
                <w:spacing w:val="-4"/>
                <w:sz w:val="24"/>
                <w:szCs w:val="32"/>
                <w:lang w:val="en-US" w:eastAsia="zh-CN"/>
              </w:rPr>
              <w:t>粉尘经布袋除尘器处理后由15m</w:t>
            </w:r>
            <w:r>
              <w:rPr>
                <w:rFonts w:hint="eastAsia" w:cs="Times New Roman"/>
                <w:color w:val="FF0000"/>
                <w:spacing w:val="-4"/>
                <w:sz w:val="24"/>
                <w:szCs w:val="32"/>
                <w:lang w:val="en-US" w:eastAsia="zh-CN"/>
              </w:rPr>
              <w:t>高</w:t>
            </w:r>
            <w:r>
              <w:rPr>
                <w:rFonts w:hint="eastAsia" w:ascii="Times New Roman" w:hAnsi="Times New Roman" w:eastAsia="宋体" w:cs="Times New Roman"/>
                <w:color w:val="FF0000"/>
                <w:spacing w:val="-4"/>
                <w:sz w:val="24"/>
                <w:szCs w:val="32"/>
                <w:lang w:val="en-US" w:eastAsia="zh-CN"/>
              </w:rPr>
              <w:t>排气筒DA001有组织排放，颗粒物有组织排放量为</w:t>
            </w:r>
            <w:r>
              <w:rPr>
                <w:rFonts w:hint="eastAsia" w:cs="Times New Roman"/>
                <w:color w:val="FF0000"/>
                <w:spacing w:val="-4"/>
                <w:sz w:val="24"/>
                <w:szCs w:val="32"/>
                <w:lang w:val="en-US" w:eastAsia="zh-CN"/>
              </w:rPr>
              <w:t>0.002</w:t>
            </w:r>
            <w:r>
              <w:rPr>
                <w:rFonts w:hint="eastAsia" w:ascii="Times New Roman" w:hAnsi="Times New Roman" w:eastAsia="宋体" w:cs="Times New Roman"/>
                <w:color w:val="FF0000"/>
                <w:spacing w:val="-4"/>
                <w:sz w:val="24"/>
                <w:szCs w:val="32"/>
                <w:lang w:val="en-US" w:eastAsia="zh-CN"/>
              </w:rPr>
              <w:t>t/a，</w:t>
            </w:r>
            <w:r>
              <w:rPr>
                <w:rFonts w:hint="eastAsia"/>
                <w:color w:val="auto"/>
                <w:spacing w:val="-1"/>
                <w:sz w:val="24"/>
                <w:szCs w:val="32"/>
                <w:lang w:val="en-US" w:eastAsia="zh-CN"/>
              </w:rPr>
              <w:t>投料粉尘无组织产生量为0.021t/a，在车间内无组织排放。</w:t>
            </w:r>
          </w:p>
          <w:p w14:paraId="11DA18C4">
            <w:pPr>
              <w:pStyle w:val="144"/>
              <w:keepNext w:val="0"/>
              <w:keepLines w:val="0"/>
              <w:pageBreakBefore w:val="0"/>
              <w:widowControl w:val="0"/>
              <w:numPr>
                <w:ilvl w:val="0"/>
                <w:numId w:val="0"/>
              </w:numPr>
              <w:tabs>
                <w:tab w:val="left" w:pos="75"/>
              </w:tabs>
              <w:kinsoku/>
              <w:wordWrap/>
              <w:overflowPunct/>
              <w:topLinePunct w:val="0"/>
              <w:autoSpaceDE/>
              <w:autoSpaceDN/>
              <w:bidi w:val="0"/>
              <w:adjustRightInd/>
              <w:snapToGrid/>
              <w:spacing w:line="240" w:lineRule="auto"/>
              <w:ind w:firstLine="464" w:firstLineChars="200"/>
              <w:textAlignment w:val="auto"/>
              <w:rPr>
                <w:rFonts w:hint="eastAsia" w:ascii="Times New Roman" w:hAnsi="Times New Roman" w:eastAsia="宋体" w:cs="Times New Roman"/>
                <w:color w:val="FF0000"/>
                <w:sz w:val="24"/>
                <w:szCs w:val="24"/>
                <w:lang w:eastAsia="zh-CN"/>
              </w:rPr>
            </w:pPr>
            <w:r>
              <w:rPr>
                <w:rFonts w:hint="default" w:ascii="Times New Roman" w:hAnsi="Times New Roman" w:cs="Times New Roman"/>
                <w:color w:val="FF0000"/>
                <w:spacing w:val="-4"/>
                <w:sz w:val="24"/>
                <w:szCs w:val="24"/>
                <w:lang w:val="en-US" w:eastAsia="zh-CN"/>
              </w:rPr>
              <w:t>（</w:t>
            </w:r>
            <w:r>
              <w:rPr>
                <w:rFonts w:hint="eastAsia" w:ascii="Times New Roman" w:hAnsi="Times New Roman" w:cs="Times New Roman"/>
                <w:color w:val="FF0000"/>
                <w:spacing w:val="-4"/>
                <w:sz w:val="24"/>
                <w:szCs w:val="24"/>
                <w:lang w:val="en-US" w:eastAsia="zh-CN"/>
              </w:rPr>
              <w:t>4</w:t>
            </w:r>
            <w:r>
              <w:rPr>
                <w:rFonts w:hint="default" w:ascii="Times New Roman" w:hAnsi="Times New Roman" w:cs="Times New Roman"/>
                <w:color w:val="FF0000"/>
                <w:spacing w:val="-4"/>
                <w:sz w:val="24"/>
                <w:szCs w:val="24"/>
                <w:lang w:val="en-US" w:eastAsia="zh-CN"/>
              </w:rPr>
              <w:t>）</w:t>
            </w:r>
            <w:r>
              <w:rPr>
                <w:rFonts w:hint="eastAsia" w:ascii="宋体" w:hAnsi="宋体" w:eastAsia="宋体" w:cs="宋体"/>
                <w:color w:val="FF0000"/>
                <w:sz w:val="24"/>
                <w:szCs w:val="24"/>
              </w:rPr>
              <w:t>物料输送储存</w:t>
            </w:r>
            <w:r>
              <w:rPr>
                <w:color w:val="FF0000"/>
                <w:spacing w:val="-4"/>
                <w:sz w:val="24"/>
                <w:szCs w:val="24"/>
              </w:rPr>
              <w:t>粉尘</w:t>
            </w:r>
            <w:r>
              <w:rPr>
                <w:rFonts w:hint="eastAsia"/>
                <w:color w:val="FF0000"/>
                <w:spacing w:val="-4"/>
                <w:sz w:val="24"/>
                <w:szCs w:val="24"/>
                <w:lang w:eastAsia="zh-CN"/>
              </w:rPr>
              <w:t>、</w:t>
            </w:r>
            <w:r>
              <w:rPr>
                <w:rFonts w:hint="eastAsia"/>
                <w:color w:val="FF0000"/>
                <w:spacing w:val="-1"/>
                <w:sz w:val="24"/>
                <w:szCs w:val="32"/>
                <w:lang w:val="en-US" w:eastAsia="zh-CN"/>
              </w:rPr>
              <w:t>混合搅拌粉尘</w:t>
            </w:r>
          </w:p>
          <w:p w14:paraId="6DE4B62F">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color w:val="FF0000"/>
                <w:sz w:val="24"/>
                <w:szCs w:val="24"/>
              </w:rPr>
            </w:pPr>
            <w:r>
              <w:rPr>
                <w:rFonts w:hint="eastAsia"/>
                <w:color w:val="FF0000"/>
                <w:sz w:val="24"/>
                <w:szCs w:val="24"/>
              </w:rPr>
              <w:t>本项目设有</w:t>
            </w:r>
            <w:r>
              <w:rPr>
                <w:rFonts w:hint="eastAsia"/>
                <w:color w:val="FF0000"/>
                <w:sz w:val="24"/>
                <w:szCs w:val="24"/>
                <w:lang w:val="en-US" w:eastAsia="zh-CN"/>
              </w:rPr>
              <w:t>2个水泥</w:t>
            </w:r>
            <w:r>
              <w:rPr>
                <w:rFonts w:hint="eastAsia"/>
                <w:color w:val="FF0000"/>
                <w:sz w:val="24"/>
                <w:szCs w:val="24"/>
              </w:rPr>
              <w:t>筒仓（</w:t>
            </w:r>
            <w:r>
              <w:rPr>
                <w:rFonts w:hint="eastAsia"/>
                <w:color w:val="FF0000"/>
                <w:sz w:val="24"/>
                <w:szCs w:val="24"/>
                <w:lang w:val="en-US" w:eastAsia="zh-CN"/>
              </w:rPr>
              <w:t>100</w:t>
            </w:r>
            <w:r>
              <w:rPr>
                <w:rFonts w:hint="eastAsia"/>
                <w:color w:val="FF0000"/>
                <w:sz w:val="24"/>
                <w:szCs w:val="24"/>
              </w:rPr>
              <w:t>吨），水泥罐装车通过气力输送将水泥送至筒仓</w:t>
            </w:r>
            <w:r>
              <w:rPr>
                <w:rFonts w:hint="eastAsia"/>
                <w:color w:val="FF0000"/>
                <w:sz w:val="24"/>
                <w:szCs w:val="24"/>
                <w:lang w:eastAsia="zh-CN"/>
              </w:rPr>
              <w:t>，</w:t>
            </w:r>
            <w:r>
              <w:rPr>
                <w:color w:val="FF0000"/>
                <w:sz w:val="24"/>
                <w:szCs w:val="24"/>
              </w:rPr>
              <w:t>本项目水泥用量为</w:t>
            </w:r>
            <w:r>
              <w:rPr>
                <w:rFonts w:hint="eastAsia"/>
                <w:color w:val="FF0000"/>
                <w:sz w:val="24"/>
                <w:szCs w:val="24"/>
                <w:lang w:val="en-US" w:eastAsia="zh-CN"/>
              </w:rPr>
              <w:t>2322</w:t>
            </w:r>
            <w:r>
              <w:rPr>
                <w:rFonts w:hint="eastAsia"/>
                <w:color w:val="FF0000"/>
                <w:sz w:val="24"/>
                <w:szCs w:val="24"/>
              </w:rPr>
              <w:t>t/a，</w:t>
            </w:r>
            <w:r>
              <w:rPr>
                <w:color w:val="FF0000"/>
                <w:spacing w:val="-1"/>
                <w:sz w:val="24"/>
                <w:szCs w:val="24"/>
              </w:rPr>
              <w:t>参照</w:t>
            </w:r>
            <w:r>
              <w:rPr>
                <w:rFonts w:hint="eastAsia"/>
                <w:color w:val="FF0000"/>
                <w:spacing w:val="-1"/>
                <w:sz w:val="24"/>
                <w:szCs w:val="24"/>
                <w:lang w:val="en-US" w:eastAsia="zh-CN"/>
              </w:rPr>
              <w:t>污染物排放系数手册中</w:t>
            </w:r>
            <w:r>
              <w:rPr>
                <w:color w:val="FF0000"/>
                <w:spacing w:val="-1"/>
                <w:sz w:val="24"/>
                <w:szCs w:val="24"/>
              </w:rPr>
              <w:t>《</w:t>
            </w:r>
            <w:r>
              <w:rPr>
                <w:rFonts w:hint="eastAsia"/>
                <w:color w:val="FF0000"/>
                <w:spacing w:val="-1"/>
                <w:sz w:val="24"/>
                <w:szCs w:val="24"/>
              </w:rPr>
              <w:t>水泥制品制造行业系数手册</w:t>
            </w:r>
            <w:r>
              <w:rPr>
                <w:color w:val="FF0000"/>
                <w:spacing w:val="-1"/>
                <w:sz w:val="24"/>
                <w:szCs w:val="24"/>
              </w:rPr>
              <w:t>》</w:t>
            </w:r>
            <w:r>
              <w:rPr>
                <w:rFonts w:hint="eastAsia"/>
                <w:color w:val="FF0000"/>
                <w:spacing w:val="-1"/>
                <w:sz w:val="24"/>
                <w:szCs w:val="24"/>
                <w:lang w:val="en-US" w:eastAsia="zh-CN"/>
              </w:rPr>
              <w:t>物料输送储存粉尘产生系数0.19kg/t</w:t>
            </w:r>
            <w:r>
              <w:rPr>
                <w:rFonts w:hint="eastAsia"/>
                <w:color w:val="FF0000"/>
                <w:sz w:val="24"/>
                <w:szCs w:val="24"/>
              </w:rPr>
              <w:t>，则水泥筒仓呼吸粉尘产生量约</w:t>
            </w:r>
            <w:r>
              <w:rPr>
                <w:rFonts w:hint="eastAsia"/>
                <w:color w:val="FF0000"/>
                <w:sz w:val="24"/>
                <w:szCs w:val="24"/>
                <w:lang w:val="en-US" w:eastAsia="zh-CN"/>
              </w:rPr>
              <w:t>0.441</w:t>
            </w:r>
            <w:r>
              <w:rPr>
                <w:rFonts w:hint="eastAsia"/>
                <w:color w:val="FF0000"/>
                <w:sz w:val="24"/>
                <w:szCs w:val="24"/>
              </w:rPr>
              <w:t>t/a。评价要求在水泥筒仓仓顶配置</w:t>
            </w:r>
            <w:r>
              <w:rPr>
                <w:rFonts w:hint="eastAsia"/>
                <w:color w:val="FF0000"/>
                <w:sz w:val="24"/>
                <w:szCs w:val="24"/>
                <w:lang w:val="en-US" w:eastAsia="zh-CN"/>
              </w:rPr>
              <w:t>布袋</w:t>
            </w:r>
            <w:r>
              <w:rPr>
                <w:rFonts w:hint="eastAsia"/>
                <w:color w:val="FF0000"/>
                <w:sz w:val="24"/>
                <w:szCs w:val="24"/>
              </w:rPr>
              <w:t>除尘器</w:t>
            </w:r>
            <w:r>
              <w:rPr>
                <w:rFonts w:hint="eastAsia"/>
                <w:color w:val="FF0000"/>
                <w:sz w:val="24"/>
                <w:szCs w:val="24"/>
                <w:lang w:val="en-US" w:eastAsia="zh-CN"/>
              </w:rPr>
              <w:t>处理后无组织排放，</w:t>
            </w:r>
            <w:r>
              <w:rPr>
                <w:rFonts w:hint="eastAsia"/>
                <w:color w:val="FF0000"/>
                <w:spacing w:val="-4"/>
                <w:sz w:val="24"/>
                <w:szCs w:val="32"/>
                <w:lang w:val="en-US" w:eastAsia="zh-CN"/>
              </w:rPr>
              <w:t>布袋除尘</w:t>
            </w:r>
            <w:r>
              <w:rPr>
                <w:color w:val="FF0000"/>
                <w:spacing w:val="-4"/>
                <w:sz w:val="24"/>
                <w:szCs w:val="32"/>
              </w:rPr>
              <w:t>去除效率</w:t>
            </w:r>
            <w:r>
              <w:rPr>
                <w:rFonts w:hint="eastAsia"/>
                <w:color w:val="FF0000"/>
                <w:spacing w:val="-4"/>
                <w:sz w:val="24"/>
                <w:szCs w:val="32"/>
                <w:lang w:val="en-US" w:eastAsia="zh-CN"/>
              </w:rPr>
              <w:t>以</w:t>
            </w:r>
            <w:r>
              <w:rPr>
                <w:rFonts w:ascii="Times New Roman" w:hAnsi="Times New Roman" w:eastAsia="Times New Roman" w:cs="Times New Roman"/>
                <w:color w:val="FF0000"/>
                <w:spacing w:val="-4"/>
                <w:sz w:val="24"/>
                <w:szCs w:val="32"/>
              </w:rPr>
              <w:t>99%</w:t>
            </w:r>
            <w:r>
              <w:rPr>
                <w:rFonts w:hint="eastAsia" w:eastAsia="宋体" w:cs="Times New Roman"/>
                <w:color w:val="FF0000"/>
                <w:spacing w:val="-4"/>
                <w:sz w:val="24"/>
                <w:szCs w:val="32"/>
                <w:lang w:val="en-US" w:eastAsia="zh-CN"/>
              </w:rPr>
              <w:t>计</w:t>
            </w:r>
            <w:r>
              <w:rPr>
                <w:rFonts w:hint="eastAsia" w:cs="Times New Roman"/>
                <w:color w:val="FF0000"/>
                <w:spacing w:val="-4"/>
                <w:sz w:val="24"/>
                <w:szCs w:val="32"/>
                <w:lang w:val="en-US" w:eastAsia="zh-CN"/>
              </w:rPr>
              <w:t>，则无组织排放量为0.004t/a</w:t>
            </w:r>
            <w:r>
              <w:rPr>
                <w:rFonts w:hint="eastAsia"/>
                <w:color w:val="FF0000"/>
                <w:sz w:val="24"/>
                <w:szCs w:val="24"/>
              </w:rPr>
              <w:t>。</w:t>
            </w:r>
          </w:p>
          <w:p w14:paraId="2FE88F8A">
            <w:pPr>
              <w:keepNext w:val="0"/>
              <w:keepLines w:val="0"/>
              <w:pageBreakBefore w:val="0"/>
              <w:widowControl w:val="0"/>
              <w:kinsoku/>
              <w:wordWrap/>
              <w:overflowPunct/>
              <w:topLinePunct w:val="0"/>
              <w:autoSpaceDE/>
              <w:autoSpaceDN/>
              <w:bidi w:val="0"/>
              <w:adjustRightInd/>
              <w:snapToGrid/>
              <w:spacing w:line="360" w:lineRule="auto"/>
              <w:ind w:left="0" w:firstLine="476" w:firstLineChars="200"/>
              <w:textAlignment w:val="auto"/>
              <w:rPr>
                <w:rFonts w:hint="eastAsia"/>
                <w:color w:val="FF0000"/>
                <w:sz w:val="24"/>
                <w:szCs w:val="32"/>
                <w:lang w:val="en-US" w:eastAsia="zh-CN"/>
              </w:rPr>
            </w:pPr>
            <w:r>
              <w:rPr>
                <w:rFonts w:hint="eastAsia"/>
                <w:color w:val="FF0000"/>
                <w:spacing w:val="-1"/>
                <w:sz w:val="24"/>
                <w:szCs w:val="24"/>
                <w:lang w:val="en-US" w:eastAsia="zh-CN"/>
              </w:rPr>
              <w:t>项目水泥、机制砂、碎石总用量约13000t/a，投料后在配料斗中搅拌混合，形成混凝土，</w:t>
            </w:r>
            <w:r>
              <w:rPr>
                <w:rFonts w:hint="eastAsia"/>
                <w:color w:val="FF0000"/>
                <w:spacing w:val="-1"/>
                <w:sz w:val="24"/>
                <w:szCs w:val="32"/>
                <w:lang w:val="en-US" w:eastAsia="zh-CN"/>
              </w:rPr>
              <w:t>混合搅拌粉尘产生系数0.523kg/t，则该过程粉尘产生量为6.799t，项目输送过程为管道输送、搅拌混合过程在搅拌机中进行，搅拌机</w:t>
            </w:r>
            <w:r>
              <w:rPr>
                <w:color w:val="FF0000"/>
                <w:sz w:val="24"/>
                <w:szCs w:val="32"/>
              </w:rPr>
              <w:t>与</w:t>
            </w:r>
            <w:r>
              <w:rPr>
                <w:rFonts w:hint="eastAsia"/>
                <w:color w:val="FF0000"/>
                <w:sz w:val="24"/>
                <w:szCs w:val="32"/>
                <w:lang w:val="en-US" w:eastAsia="zh-CN"/>
              </w:rPr>
              <w:t>1套</w:t>
            </w:r>
            <w:r>
              <w:rPr>
                <w:rFonts w:hint="eastAsia"/>
                <w:color w:val="FF0000"/>
                <w:sz w:val="24"/>
                <w:szCs w:val="32"/>
              </w:rPr>
              <w:t>高效布袋除尘器</w:t>
            </w:r>
            <w:r>
              <w:rPr>
                <w:color w:val="FF0000"/>
                <w:sz w:val="24"/>
                <w:szCs w:val="32"/>
              </w:rPr>
              <w:t>密闭相连</w:t>
            </w:r>
            <w:r>
              <w:rPr>
                <w:rFonts w:hint="eastAsia"/>
                <w:color w:val="FF0000"/>
                <w:sz w:val="24"/>
                <w:szCs w:val="32"/>
                <w:lang w:eastAsia="zh-CN"/>
              </w:rPr>
              <w:t>，</w:t>
            </w:r>
            <w:r>
              <w:rPr>
                <w:rFonts w:hint="eastAsia"/>
                <w:color w:val="FF0000"/>
                <w:sz w:val="24"/>
                <w:szCs w:val="32"/>
                <w:lang w:val="en-US" w:eastAsia="zh-CN"/>
              </w:rPr>
              <w:t>混凝土即拌即用，</w:t>
            </w:r>
            <w:r>
              <w:rPr>
                <w:rFonts w:hint="eastAsia"/>
                <w:color w:val="FF0000"/>
                <w:sz w:val="24"/>
                <w:szCs w:val="24"/>
              </w:rPr>
              <w:t>处理后废气经1根15m高的排气筒（DA001）排放</w:t>
            </w:r>
            <w:r>
              <w:rPr>
                <w:rFonts w:hint="eastAsia"/>
                <w:color w:val="FF0000"/>
                <w:sz w:val="24"/>
                <w:szCs w:val="32"/>
                <w:lang w:val="en-US" w:eastAsia="zh-CN"/>
              </w:rPr>
              <w:t>。</w:t>
            </w:r>
          </w:p>
          <w:p w14:paraId="18B75BA0">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Times New Roman" w:hAnsi="Times New Roman" w:eastAsia="宋体" w:cs="Times New Roman"/>
                <w:spacing w:val="-4"/>
                <w:sz w:val="24"/>
                <w:szCs w:val="32"/>
                <w:lang w:val="en-US" w:eastAsia="zh-CN"/>
              </w:rPr>
            </w:pPr>
            <w:r>
              <w:rPr>
                <w:rFonts w:hint="eastAsia"/>
                <w:color w:val="FF0000"/>
                <w:sz w:val="24"/>
                <w:szCs w:val="32"/>
                <w:lang w:val="en-US" w:eastAsia="zh-CN"/>
              </w:rPr>
              <w:t>项目物料存储及混合搅拌废气经处理后由管道排入15m高排气筒，废气</w:t>
            </w:r>
            <w:r>
              <w:rPr>
                <w:color w:val="FF0000"/>
                <w:spacing w:val="-2"/>
                <w:sz w:val="24"/>
                <w:szCs w:val="32"/>
              </w:rPr>
              <w:t>收集效</w:t>
            </w:r>
            <w:r>
              <w:rPr>
                <w:color w:val="FF0000"/>
                <w:spacing w:val="-3"/>
                <w:sz w:val="24"/>
                <w:szCs w:val="32"/>
              </w:rPr>
              <w:t>率为</w:t>
            </w:r>
            <w:r>
              <w:rPr>
                <w:rFonts w:hint="eastAsia" w:ascii="Times New Roman" w:hAnsi="Times New Roman" w:eastAsia="宋体" w:cs="Times New Roman"/>
                <w:color w:val="FF0000"/>
                <w:spacing w:val="-4"/>
                <w:sz w:val="24"/>
                <w:szCs w:val="32"/>
                <w:lang w:val="en-US" w:eastAsia="zh-CN"/>
              </w:rPr>
              <w:t>100</w:t>
            </w:r>
            <w:r>
              <w:rPr>
                <w:rFonts w:ascii="Times New Roman" w:hAnsi="Times New Roman" w:eastAsia="Times New Roman" w:cs="Times New Roman"/>
                <w:color w:val="FF0000"/>
                <w:spacing w:val="-4"/>
                <w:sz w:val="24"/>
                <w:szCs w:val="32"/>
              </w:rPr>
              <w:t>%</w:t>
            </w:r>
            <w:r>
              <w:rPr>
                <w:color w:val="FF0000"/>
                <w:spacing w:val="-4"/>
                <w:sz w:val="24"/>
                <w:szCs w:val="32"/>
              </w:rPr>
              <w:t>，</w:t>
            </w:r>
            <w:r>
              <w:rPr>
                <w:rFonts w:hint="eastAsia"/>
                <w:color w:val="FF0000"/>
                <w:spacing w:val="-4"/>
                <w:sz w:val="24"/>
                <w:szCs w:val="32"/>
                <w:lang w:val="en-US" w:eastAsia="zh-CN"/>
              </w:rPr>
              <w:t>布袋除尘</w:t>
            </w:r>
            <w:r>
              <w:rPr>
                <w:color w:val="FF0000"/>
                <w:spacing w:val="-4"/>
                <w:sz w:val="24"/>
                <w:szCs w:val="32"/>
              </w:rPr>
              <w:t>去除效率</w:t>
            </w:r>
            <w:r>
              <w:rPr>
                <w:rFonts w:hint="eastAsia"/>
                <w:color w:val="FF0000"/>
                <w:spacing w:val="-4"/>
                <w:sz w:val="24"/>
                <w:szCs w:val="32"/>
                <w:lang w:val="en-US" w:eastAsia="zh-CN"/>
              </w:rPr>
              <w:t>以</w:t>
            </w:r>
            <w:r>
              <w:rPr>
                <w:rFonts w:ascii="Times New Roman" w:hAnsi="Times New Roman" w:eastAsia="Times New Roman" w:cs="Times New Roman"/>
                <w:color w:val="FF0000"/>
                <w:spacing w:val="-4"/>
                <w:sz w:val="24"/>
                <w:szCs w:val="32"/>
              </w:rPr>
              <w:t>99%</w:t>
            </w:r>
            <w:r>
              <w:rPr>
                <w:rFonts w:hint="eastAsia" w:eastAsia="宋体" w:cs="Times New Roman"/>
                <w:color w:val="FF0000"/>
                <w:spacing w:val="-4"/>
                <w:sz w:val="24"/>
                <w:szCs w:val="32"/>
                <w:lang w:val="en-US" w:eastAsia="zh-CN"/>
              </w:rPr>
              <w:t>计</w:t>
            </w:r>
            <w:r>
              <w:rPr>
                <w:rFonts w:hint="eastAsia" w:ascii="Times New Roman" w:hAnsi="Times New Roman" w:eastAsia="宋体" w:cs="Times New Roman"/>
                <w:color w:val="FF0000"/>
                <w:spacing w:val="-4"/>
                <w:sz w:val="24"/>
                <w:szCs w:val="32"/>
                <w:lang w:eastAsia="zh-CN"/>
              </w:rPr>
              <w:t>，</w:t>
            </w:r>
            <w:r>
              <w:rPr>
                <w:rFonts w:hint="eastAsia" w:ascii="Times New Roman" w:hAnsi="Times New Roman" w:eastAsia="宋体" w:cs="Times New Roman"/>
                <w:color w:val="FF0000"/>
                <w:spacing w:val="-4"/>
                <w:sz w:val="24"/>
                <w:szCs w:val="32"/>
                <w:lang w:val="en-US" w:eastAsia="zh-CN"/>
              </w:rPr>
              <w:t>项目配料粉尘经布袋除尘器处理后由15m</w:t>
            </w:r>
            <w:r>
              <w:rPr>
                <w:rFonts w:hint="eastAsia" w:cs="Times New Roman"/>
                <w:color w:val="FF0000"/>
                <w:spacing w:val="-4"/>
                <w:sz w:val="24"/>
                <w:szCs w:val="32"/>
                <w:lang w:val="en-US" w:eastAsia="zh-CN"/>
              </w:rPr>
              <w:t>高</w:t>
            </w:r>
            <w:r>
              <w:rPr>
                <w:rFonts w:hint="eastAsia" w:ascii="Times New Roman" w:hAnsi="Times New Roman" w:eastAsia="宋体" w:cs="Times New Roman"/>
                <w:color w:val="FF0000"/>
                <w:spacing w:val="-4"/>
                <w:sz w:val="24"/>
                <w:szCs w:val="32"/>
                <w:lang w:val="en-US" w:eastAsia="zh-CN"/>
              </w:rPr>
              <w:t>排气筒DA001有组织排放，颗粒物有组织排放量为</w:t>
            </w:r>
            <w:r>
              <w:rPr>
                <w:rFonts w:hint="eastAsia" w:cs="Times New Roman"/>
                <w:color w:val="FF0000"/>
                <w:spacing w:val="-4"/>
                <w:sz w:val="24"/>
                <w:szCs w:val="32"/>
                <w:lang w:val="en-US" w:eastAsia="zh-CN"/>
              </w:rPr>
              <w:t>0.068</w:t>
            </w:r>
            <w:r>
              <w:rPr>
                <w:rFonts w:hint="eastAsia" w:ascii="Times New Roman" w:hAnsi="Times New Roman" w:eastAsia="宋体" w:cs="Times New Roman"/>
                <w:color w:val="FF0000"/>
                <w:spacing w:val="-4"/>
                <w:sz w:val="24"/>
                <w:szCs w:val="32"/>
                <w:lang w:val="en-US" w:eastAsia="zh-CN"/>
              </w:rPr>
              <w:t>t/a，排放速率</w:t>
            </w:r>
            <w:r>
              <w:rPr>
                <w:rFonts w:hint="eastAsia" w:cs="Times New Roman"/>
                <w:color w:val="FF0000"/>
                <w:spacing w:val="-4"/>
                <w:sz w:val="24"/>
                <w:szCs w:val="32"/>
                <w:lang w:val="en-US" w:eastAsia="zh-CN"/>
              </w:rPr>
              <w:t>0.028</w:t>
            </w:r>
            <w:r>
              <w:rPr>
                <w:rFonts w:hint="eastAsia" w:ascii="Times New Roman" w:hAnsi="Times New Roman" w:eastAsia="宋体" w:cs="Times New Roman"/>
                <w:color w:val="FF0000"/>
                <w:spacing w:val="-4"/>
                <w:sz w:val="24"/>
                <w:szCs w:val="32"/>
                <w:lang w:val="en-US" w:eastAsia="zh-CN"/>
              </w:rPr>
              <w:t>kg/h，风机风量为</w:t>
            </w:r>
            <w:r>
              <w:rPr>
                <w:rFonts w:hint="eastAsia" w:cs="Times New Roman"/>
                <w:color w:val="FF0000"/>
                <w:spacing w:val="-4"/>
                <w:sz w:val="24"/>
                <w:szCs w:val="32"/>
                <w:lang w:val="en-US" w:eastAsia="zh-CN"/>
              </w:rPr>
              <w:t>5000</w:t>
            </w:r>
            <w:r>
              <w:rPr>
                <w:rFonts w:hint="eastAsia" w:ascii="Times New Roman" w:hAnsi="Times New Roman" w:eastAsia="宋体" w:cs="Times New Roman"/>
                <w:color w:val="FF0000"/>
                <w:spacing w:val="-4"/>
                <w:sz w:val="24"/>
                <w:szCs w:val="32"/>
                <w:lang w:val="en-US" w:eastAsia="zh-CN"/>
              </w:rPr>
              <w:t>m</w:t>
            </w:r>
            <w:r>
              <w:rPr>
                <w:rFonts w:hint="eastAsia" w:ascii="Times New Roman" w:hAnsi="Times New Roman" w:eastAsia="宋体" w:cs="Times New Roman"/>
                <w:color w:val="FF0000"/>
                <w:spacing w:val="-4"/>
                <w:sz w:val="24"/>
                <w:szCs w:val="32"/>
                <w:vertAlign w:val="superscript"/>
                <w:lang w:val="en-US" w:eastAsia="zh-CN"/>
              </w:rPr>
              <w:t>3</w:t>
            </w:r>
            <w:r>
              <w:rPr>
                <w:rFonts w:hint="eastAsia" w:ascii="Times New Roman" w:hAnsi="Times New Roman" w:eastAsia="宋体" w:cs="Times New Roman"/>
                <w:color w:val="FF0000"/>
                <w:spacing w:val="-4"/>
                <w:sz w:val="24"/>
                <w:szCs w:val="32"/>
                <w:lang w:val="en-US" w:eastAsia="zh-CN"/>
              </w:rPr>
              <w:t>/h，则排放浓度为</w:t>
            </w:r>
            <w:r>
              <w:rPr>
                <w:rFonts w:hint="eastAsia" w:cs="Times New Roman"/>
                <w:color w:val="FF0000"/>
                <w:spacing w:val="-4"/>
                <w:sz w:val="24"/>
                <w:szCs w:val="32"/>
                <w:lang w:val="en-US" w:eastAsia="zh-CN"/>
              </w:rPr>
              <w:t>5.667</w:t>
            </w:r>
            <w:r>
              <w:rPr>
                <w:rFonts w:hint="eastAsia" w:ascii="Times New Roman" w:hAnsi="Times New Roman" w:eastAsia="宋体" w:cs="Times New Roman"/>
                <w:color w:val="FF0000"/>
                <w:spacing w:val="-4"/>
                <w:sz w:val="24"/>
                <w:szCs w:val="32"/>
                <w:lang w:val="en-US" w:eastAsia="zh-CN"/>
              </w:rPr>
              <w:t>mg/m</w:t>
            </w:r>
            <w:r>
              <w:rPr>
                <w:rFonts w:hint="eastAsia" w:ascii="Times New Roman" w:hAnsi="Times New Roman" w:eastAsia="宋体" w:cs="Times New Roman"/>
                <w:color w:val="FF0000"/>
                <w:spacing w:val="-4"/>
                <w:sz w:val="24"/>
                <w:szCs w:val="32"/>
                <w:vertAlign w:val="superscript"/>
                <w:lang w:val="en-US" w:eastAsia="zh-CN"/>
              </w:rPr>
              <w:t>3</w:t>
            </w:r>
            <w:r>
              <w:rPr>
                <w:rFonts w:hint="eastAsia" w:ascii="Times New Roman" w:hAnsi="Times New Roman" w:eastAsia="宋体" w:cs="Times New Roman"/>
                <w:color w:val="FF0000"/>
                <w:spacing w:val="-4"/>
                <w:sz w:val="24"/>
                <w:szCs w:val="32"/>
                <w:lang w:val="en-US" w:eastAsia="zh-CN"/>
              </w:rPr>
              <w:t>。</w:t>
            </w:r>
            <w:r>
              <w:rPr>
                <w:rFonts w:hint="eastAsia" w:cs="Times New Roman"/>
                <w:color w:val="FF0000"/>
                <w:spacing w:val="-4"/>
                <w:sz w:val="24"/>
                <w:szCs w:val="32"/>
                <w:lang w:val="en-US" w:eastAsia="zh-CN"/>
              </w:rPr>
              <w:t>（年工作2400h）</w:t>
            </w:r>
          </w:p>
          <w:p w14:paraId="16DB1E77">
            <w:pPr>
              <w:pStyle w:val="144"/>
              <w:keepNext w:val="0"/>
              <w:keepLines w:val="0"/>
              <w:pageBreakBefore w:val="0"/>
              <w:widowControl w:val="0"/>
              <w:kinsoku/>
              <w:wordWrap/>
              <w:overflowPunct/>
              <w:topLinePunct w:val="0"/>
              <w:autoSpaceDE/>
              <w:autoSpaceDN/>
              <w:bidi w:val="0"/>
              <w:adjustRightInd/>
              <w:snapToGrid/>
              <w:spacing w:line="360" w:lineRule="auto"/>
              <w:ind w:left="0" w:firstLine="464" w:firstLineChars="200"/>
              <w:textAlignment w:val="auto"/>
              <w:rPr>
                <w:rFonts w:hint="default" w:eastAsia="宋体"/>
                <w:color w:val="auto"/>
                <w:sz w:val="24"/>
                <w:szCs w:val="24"/>
                <w:lang w:val="en-US" w:eastAsia="zh-CN"/>
              </w:rPr>
            </w:pPr>
            <w:r>
              <w:rPr>
                <w:rFonts w:hint="default" w:ascii="Times New Roman" w:hAnsi="Times New Roman" w:eastAsia="宋体" w:cs="Times New Roman"/>
                <w:color w:val="auto"/>
                <w:spacing w:val="-4"/>
                <w:kern w:val="2"/>
                <w:sz w:val="24"/>
                <w:szCs w:val="24"/>
                <w:lang w:val="en-US" w:eastAsia="zh-CN" w:bidi="ar-SA"/>
              </w:rPr>
              <w:t>（</w:t>
            </w:r>
            <w:r>
              <w:rPr>
                <w:rFonts w:hint="eastAsia" w:ascii="Times New Roman" w:hAnsi="Times New Roman" w:cs="Times New Roman"/>
                <w:color w:val="auto"/>
                <w:spacing w:val="-4"/>
                <w:kern w:val="2"/>
                <w:sz w:val="24"/>
                <w:szCs w:val="24"/>
                <w:lang w:val="en-US" w:eastAsia="zh-CN" w:bidi="ar-SA"/>
              </w:rPr>
              <w:t>5</w:t>
            </w:r>
            <w:r>
              <w:rPr>
                <w:rFonts w:hint="default" w:ascii="Times New Roman" w:hAnsi="Times New Roman" w:eastAsia="宋体" w:cs="Times New Roman"/>
                <w:color w:val="auto"/>
                <w:spacing w:val="-4"/>
                <w:kern w:val="2"/>
                <w:sz w:val="24"/>
                <w:szCs w:val="24"/>
                <w:lang w:val="en-US" w:eastAsia="zh-CN" w:bidi="ar-SA"/>
              </w:rPr>
              <w:t>）</w:t>
            </w:r>
            <w:r>
              <w:rPr>
                <w:color w:val="auto"/>
                <w:spacing w:val="-3"/>
                <w:sz w:val="24"/>
                <w:szCs w:val="24"/>
              </w:rPr>
              <w:t>运输车辆粉尘</w:t>
            </w:r>
          </w:p>
          <w:p w14:paraId="70B3E441">
            <w:pPr>
              <w:keepNext w:val="0"/>
              <w:keepLines w:val="0"/>
              <w:pageBreakBefore w:val="0"/>
              <w:widowControl w:val="0"/>
              <w:kinsoku/>
              <w:wordWrap/>
              <w:overflowPunct/>
              <w:topLinePunct w:val="0"/>
              <w:autoSpaceDE/>
              <w:autoSpaceDN/>
              <w:bidi w:val="0"/>
              <w:adjustRightInd/>
              <w:snapToGrid/>
              <w:spacing w:line="360" w:lineRule="auto"/>
              <w:ind w:left="0" w:firstLine="476" w:firstLineChars="200"/>
              <w:textAlignment w:val="auto"/>
              <w:rPr>
                <w:rFonts w:hint="default" w:ascii="Times New Roman" w:hAnsi="Times New Roman" w:eastAsia="宋体" w:cs="Times New Roman"/>
                <w:b w:val="0"/>
                <w:bCs w:val="0"/>
                <w:spacing w:val="-1"/>
                <w:sz w:val="24"/>
                <w:szCs w:val="24"/>
                <w:lang w:val="en-US" w:eastAsia="zh-CN"/>
              </w:rPr>
            </w:pPr>
            <w:r>
              <w:rPr>
                <w:rFonts w:hint="default" w:ascii="Times New Roman" w:hAnsi="Times New Roman" w:eastAsia="宋体" w:cs="Times New Roman"/>
                <w:b w:val="0"/>
                <w:bCs w:val="0"/>
                <w:spacing w:val="-1"/>
                <w:sz w:val="24"/>
                <w:szCs w:val="24"/>
                <w:lang w:val="en-US" w:eastAsia="zh-CN"/>
              </w:rPr>
              <w:t>本项目原料需要运入和运出，运输工具为装载机、工作车等，运输扬尘包括物料洒落扬尘和汽车引起的道路二次扬尘。扬尘量的大小与车流量、道路状况、气候条件、汽车行驶速度等均有关系。根据汽车道路扬尘扩散规律，在大气干燥和地面风速低于4m/s条件下，汽车行驶时引起的路面扬尘量与汽车速度成正比，与汽车质量成正比，与道路表面扬尘量成正比，其汽车扬尘量预测经验公式为：</w:t>
            </w:r>
          </w:p>
          <w:p w14:paraId="76F13DF4">
            <w:pPr>
              <w:keepNext w:val="0"/>
              <w:keepLines w:val="0"/>
              <w:pageBreakBefore w:val="0"/>
              <w:widowControl w:val="0"/>
              <w:kinsoku/>
              <w:wordWrap/>
              <w:overflowPunct/>
              <w:topLinePunct w:val="0"/>
              <w:autoSpaceDE/>
              <w:autoSpaceDN/>
              <w:bidi w:val="0"/>
              <w:adjustRightInd w:val="0"/>
              <w:snapToGrid w:val="0"/>
              <w:spacing w:line="360" w:lineRule="auto"/>
              <w:ind w:firstLine="400" w:firstLineChars="200"/>
              <w:jc w:val="center"/>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color w:val="000000"/>
                <w:sz w:val="20"/>
              </w:rPr>
              <w:drawing>
                <wp:inline distT="0" distB="0" distL="114300" distR="114300">
                  <wp:extent cx="2896870" cy="720090"/>
                  <wp:effectExtent l="0" t="0" r="17780" b="3810"/>
                  <wp:docPr id="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pic:cNvPicPr>
                            <a:picLocks noChangeAspect="1"/>
                          </pic:cNvPicPr>
                        </pic:nvPicPr>
                        <pic:blipFill>
                          <a:blip r:embed="rId22"/>
                          <a:stretch>
                            <a:fillRect/>
                          </a:stretch>
                        </pic:blipFill>
                        <pic:spPr>
                          <a:xfrm>
                            <a:off x="0" y="0"/>
                            <a:ext cx="2896870" cy="720090"/>
                          </a:xfrm>
                          <a:prstGeom prst="rect">
                            <a:avLst/>
                          </a:prstGeom>
                          <a:noFill/>
                          <a:ln>
                            <a:noFill/>
                          </a:ln>
                        </pic:spPr>
                      </pic:pic>
                    </a:graphicData>
                  </a:graphic>
                </wp:inline>
              </w:drawing>
            </w:r>
          </w:p>
          <w:p w14:paraId="2891279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000000"/>
                <w:kern w:val="0"/>
                <w:sz w:val="24"/>
                <w:szCs w:val="24"/>
                <w:lang w:val="en-US" w:eastAsia="zh-CN" w:bidi="ar-SA"/>
              </w:rPr>
            </w:pPr>
            <w:r>
              <w:rPr>
                <w:rFonts w:hint="default" w:ascii="Times New Roman" w:hAnsi="Times New Roman" w:eastAsia="宋体" w:cs="Times New Roman"/>
                <w:color w:val="000000"/>
                <w:kern w:val="0"/>
                <w:sz w:val="24"/>
                <w:szCs w:val="24"/>
                <w:lang w:val="en-US" w:eastAsia="zh-CN" w:bidi="ar-SA"/>
              </w:rPr>
              <w:t>式中：</w:t>
            </w:r>
            <w:r>
              <w:rPr>
                <w:rFonts w:hint="eastAsia" w:ascii="Times New Roman" w:hAnsi="Times New Roman" w:eastAsia="宋体" w:cs="Times New Roman"/>
                <w:color w:val="000000"/>
                <w:kern w:val="0"/>
                <w:sz w:val="24"/>
                <w:szCs w:val="24"/>
                <w:lang w:val="en-US" w:eastAsia="zh-CN" w:bidi="ar-SA"/>
              </w:rPr>
              <w:t xml:space="preserve">  </w:t>
            </w:r>
            <w:r>
              <w:rPr>
                <w:rFonts w:hint="default" w:ascii="Times New Roman" w:hAnsi="Times New Roman" w:eastAsia="宋体" w:cs="Times New Roman"/>
                <w:color w:val="000000"/>
                <w:kern w:val="0"/>
                <w:sz w:val="24"/>
                <w:szCs w:val="24"/>
                <w:lang w:val="en-US" w:eastAsia="zh-CN" w:bidi="ar-SA"/>
              </w:rPr>
              <w:t>QP—汽车行驶扬尘量（kg/km，辆）；</w:t>
            </w:r>
          </w:p>
          <w:p w14:paraId="1BB6857C">
            <w:pPr>
              <w:keepNext w:val="0"/>
              <w:keepLines w:val="0"/>
              <w:pageBreakBefore w:val="0"/>
              <w:widowControl w:val="0"/>
              <w:kinsoku/>
              <w:wordWrap/>
              <w:overflowPunct/>
              <w:topLinePunct w:val="0"/>
              <w:autoSpaceDE/>
              <w:autoSpaceDN/>
              <w:bidi w:val="0"/>
              <w:adjustRightInd w:val="0"/>
              <w:snapToGrid w:val="0"/>
              <w:spacing w:line="360" w:lineRule="auto"/>
              <w:ind w:firstLine="1440" w:firstLineChars="600"/>
              <w:textAlignment w:val="auto"/>
              <w:rPr>
                <w:rFonts w:hint="default" w:ascii="Times New Roman" w:hAnsi="Times New Roman" w:eastAsia="宋体" w:cs="Times New Roman"/>
                <w:color w:val="000000"/>
                <w:kern w:val="0"/>
                <w:sz w:val="24"/>
                <w:szCs w:val="24"/>
                <w:lang w:val="en-US" w:eastAsia="zh-CN" w:bidi="ar-SA"/>
              </w:rPr>
            </w:pPr>
            <w:r>
              <w:rPr>
                <w:rFonts w:hint="default" w:ascii="Times New Roman" w:hAnsi="Times New Roman" w:eastAsia="宋体" w:cs="Times New Roman"/>
                <w:color w:val="000000"/>
                <w:kern w:val="0"/>
                <w:sz w:val="24"/>
                <w:szCs w:val="24"/>
                <w:lang w:val="en-US" w:eastAsia="zh-CN" w:bidi="ar-SA"/>
              </w:rPr>
              <w:t>V—汽车速度（km/h），15km/h；</w:t>
            </w:r>
          </w:p>
          <w:p w14:paraId="42FCFF81">
            <w:pPr>
              <w:keepNext w:val="0"/>
              <w:keepLines w:val="0"/>
              <w:pageBreakBefore w:val="0"/>
              <w:widowControl w:val="0"/>
              <w:kinsoku/>
              <w:wordWrap/>
              <w:overflowPunct/>
              <w:topLinePunct w:val="0"/>
              <w:autoSpaceDE/>
              <w:autoSpaceDN/>
              <w:bidi w:val="0"/>
              <w:adjustRightInd w:val="0"/>
              <w:snapToGrid w:val="0"/>
              <w:spacing w:line="360" w:lineRule="auto"/>
              <w:ind w:firstLine="1440" w:firstLineChars="600"/>
              <w:textAlignment w:val="auto"/>
              <w:rPr>
                <w:rFonts w:hint="default" w:ascii="Times New Roman" w:hAnsi="Times New Roman" w:eastAsia="宋体" w:cs="Times New Roman"/>
                <w:color w:val="000000"/>
                <w:kern w:val="0"/>
                <w:sz w:val="24"/>
                <w:szCs w:val="24"/>
                <w:lang w:val="en-US" w:eastAsia="zh-CN" w:bidi="ar-SA"/>
              </w:rPr>
            </w:pPr>
            <w:r>
              <w:rPr>
                <w:rFonts w:hint="default" w:ascii="Times New Roman" w:hAnsi="Times New Roman" w:eastAsia="宋体" w:cs="Times New Roman"/>
                <w:color w:val="000000"/>
                <w:kern w:val="0"/>
                <w:sz w:val="24"/>
                <w:szCs w:val="24"/>
                <w:lang w:val="en-US" w:eastAsia="zh-CN" w:bidi="ar-SA"/>
              </w:rPr>
              <w:t>W—汽车质量（t），</w:t>
            </w:r>
            <w:r>
              <w:rPr>
                <w:rFonts w:hint="eastAsia" w:ascii="Times New Roman" w:hAnsi="Times New Roman" w:eastAsia="宋体" w:cs="Times New Roman"/>
                <w:color w:val="000000"/>
                <w:kern w:val="0"/>
                <w:sz w:val="24"/>
                <w:szCs w:val="24"/>
                <w:lang w:val="en-US" w:eastAsia="zh-CN" w:bidi="ar-SA"/>
              </w:rPr>
              <w:t>30</w:t>
            </w:r>
            <w:r>
              <w:rPr>
                <w:rFonts w:hint="default" w:ascii="Times New Roman" w:hAnsi="Times New Roman" w:eastAsia="宋体" w:cs="Times New Roman"/>
                <w:color w:val="000000"/>
                <w:kern w:val="0"/>
                <w:sz w:val="24"/>
                <w:szCs w:val="24"/>
                <w:lang w:val="en-US" w:eastAsia="zh-CN" w:bidi="ar-SA"/>
              </w:rPr>
              <w:t>t；</w:t>
            </w:r>
          </w:p>
          <w:p w14:paraId="2A06899B">
            <w:pPr>
              <w:keepNext w:val="0"/>
              <w:keepLines w:val="0"/>
              <w:pageBreakBefore w:val="0"/>
              <w:widowControl w:val="0"/>
              <w:kinsoku/>
              <w:wordWrap/>
              <w:overflowPunct/>
              <w:topLinePunct w:val="0"/>
              <w:autoSpaceDE/>
              <w:autoSpaceDN/>
              <w:bidi w:val="0"/>
              <w:adjustRightInd w:val="0"/>
              <w:snapToGrid w:val="0"/>
              <w:spacing w:line="360" w:lineRule="auto"/>
              <w:ind w:firstLine="1440" w:firstLineChars="600"/>
              <w:textAlignment w:val="auto"/>
              <w:rPr>
                <w:rFonts w:hint="default" w:ascii="Times New Roman" w:hAnsi="Times New Roman" w:eastAsia="宋体" w:cs="Times New Roman"/>
                <w:color w:val="000000"/>
                <w:kern w:val="0"/>
                <w:sz w:val="24"/>
                <w:szCs w:val="24"/>
                <w:lang w:val="en-US" w:eastAsia="zh-CN" w:bidi="ar-SA"/>
              </w:rPr>
            </w:pPr>
            <w:r>
              <w:rPr>
                <w:rFonts w:hint="default" w:ascii="Times New Roman" w:hAnsi="Times New Roman" w:eastAsia="宋体" w:cs="Times New Roman"/>
                <w:color w:val="000000"/>
                <w:kern w:val="0"/>
                <w:sz w:val="24"/>
                <w:szCs w:val="24"/>
                <w:lang w:val="en-US" w:eastAsia="zh-CN" w:bidi="ar-SA"/>
              </w:rPr>
              <w:t>P——道路表面粉尘量（kg/m</w:t>
            </w:r>
            <w:r>
              <w:rPr>
                <w:rFonts w:hint="default" w:ascii="Times New Roman" w:hAnsi="Times New Roman" w:eastAsia="宋体" w:cs="Times New Roman"/>
                <w:color w:val="000000"/>
                <w:kern w:val="0"/>
                <w:sz w:val="24"/>
                <w:szCs w:val="24"/>
                <w:vertAlign w:val="superscript"/>
                <w:lang w:val="en-US" w:eastAsia="zh-CN" w:bidi="ar-SA"/>
              </w:rPr>
              <w:t>2</w:t>
            </w:r>
            <w:r>
              <w:rPr>
                <w:rFonts w:hint="default" w:ascii="Times New Roman" w:hAnsi="Times New Roman" w:eastAsia="宋体" w:cs="Times New Roman"/>
                <w:color w:val="000000"/>
                <w:kern w:val="0"/>
                <w:sz w:val="24"/>
                <w:szCs w:val="24"/>
                <w:lang w:val="en-US" w:eastAsia="zh-CN" w:bidi="ar-SA"/>
              </w:rPr>
              <w:t>），取0.10；</w:t>
            </w:r>
          </w:p>
          <w:p w14:paraId="703DC572">
            <w:pPr>
              <w:keepNext w:val="0"/>
              <w:keepLines w:val="0"/>
              <w:pageBreakBefore w:val="0"/>
              <w:widowControl w:val="0"/>
              <w:kinsoku/>
              <w:wordWrap/>
              <w:overflowPunct/>
              <w:topLinePunct w:val="0"/>
              <w:autoSpaceDE/>
              <w:autoSpaceDN/>
              <w:bidi w:val="0"/>
              <w:adjustRightInd w:val="0"/>
              <w:snapToGrid w:val="0"/>
              <w:spacing w:line="360" w:lineRule="auto"/>
              <w:ind w:firstLine="1440" w:firstLineChars="600"/>
              <w:textAlignment w:val="auto"/>
              <w:rPr>
                <w:rFonts w:hint="default" w:ascii="Times New Roman" w:hAnsi="Times New Roman" w:eastAsia="宋体" w:cs="Times New Roman"/>
                <w:color w:val="000000"/>
                <w:kern w:val="0"/>
                <w:sz w:val="24"/>
                <w:szCs w:val="24"/>
                <w:lang w:val="en-US" w:eastAsia="zh-CN" w:bidi="ar-SA"/>
              </w:rPr>
            </w:pPr>
            <w:r>
              <w:rPr>
                <w:rFonts w:hint="default" w:ascii="Times New Roman" w:hAnsi="Times New Roman" w:eastAsia="宋体" w:cs="Times New Roman"/>
                <w:color w:val="000000"/>
                <w:kern w:val="0"/>
                <w:sz w:val="24"/>
                <w:szCs w:val="24"/>
                <w:lang w:val="en-US" w:eastAsia="zh-CN" w:bidi="ar-SA"/>
              </w:rPr>
              <w:t>Q´p—总扬尘量，kg/a；</w:t>
            </w:r>
          </w:p>
          <w:p w14:paraId="4E3CE070">
            <w:pPr>
              <w:keepNext w:val="0"/>
              <w:keepLines w:val="0"/>
              <w:pageBreakBefore w:val="0"/>
              <w:widowControl w:val="0"/>
              <w:kinsoku/>
              <w:wordWrap/>
              <w:overflowPunct/>
              <w:topLinePunct w:val="0"/>
              <w:autoSpaceDE/>
              <w:autoSpaceDN/>
              <w:bidi w:val="0"/>
              <w:adjustRightInd w:val="0"/>
              <w:snapToGrid w:val="0"/>
              <w:spacing w:line="360" w:lineRule="auto"/>
              <w:ind w:firstLine="1440" w:firstLineChars="600"/>
              <w:textAlignment w:val="auto"/>
              <w:rPr>
                <w:rFonts w:hint="default" w:ascii="Times New Roman" w:hAnsi="Times New Roman" w:eastAsia="宋体" w:cs="Times New Roman"/>
                <w:color w:val="000000"/>
                <w:kern w:val="0"/>
                <w:sz w:val="24"/>
                <w:szCs w:val="24"/>
                <w:lang w:val="en-US" w:eastAsia="zh-CN" w:bidi="ar-SA"/>
              </w:rPr>
            </w:pPr>
            <w:r>
              <w:rPr>
                <w:rFonts w:hint="default" w:ascii="Times New Roman" w:hAnsi="Times New Roman" w:eastAsia="宋体" w:cs="Times New Roman"/>
                <w:color w:val="000000"/>
                <w:kern w:val="0"/>
                <w:sz w:val="24"/>
                <w:szCs w:val="24"/>
                <w:lang w:val="en-US" w:eastAsia="zh-CN" w:bidi="ar-SA"/>
              </w:rPr>
              <w:t>Q—运输量，t/a，</w:t>
            </w:r>
            <w:r>
              <w:rPr>
                <w:rFonts w:hint="eastAsia" w:cs="Times New Roman"/>
                <w:color w:val="000000"/>
                <w:kern w:val="0"/>
                <w:sz w:val="24"/>
                <w:szCs w:val="24"/>
                <w:lang w:val="en-US" w:eastAsia="zh-CN" w:bidi="ar-SA"/>
              </w:rPr>
              <w:t>4.748</w:t>
            </w:r>
            <w:r>
              <w:rPr>
                <w:rFonts w:hint="default" w:ascii="Times New Roman" w:hAnsi="Times New Roman" w:eastAsia="宋体" w:cs="Times New Roman"/>
                <w:color w:val="000000"/>
                <w:kern w:val="0"/>
                <w:sz w:val="24"/>
                <w:szCs w:val="24"/>
                <w:lang w:val="en-US" w:eastAsia="zh-CN" w:bidi="ar-SA"/>
              </w:rPr>
              <w:t>万t/a；</w:t>
            </w:r>
          </w:p>
          <w:p w14:paraId="3F4E855F">
            <w:pPr>
              <w:keepNext w:val="0"/>
              <w:keepLines w:val="0"/>
              <w:pageBreakBefore w:val="0"/>
              <w:widowControl w:val="0"/>
              <w:kinsoku/>
              <w:wordWrap/>
              <w:overflowPunct/>
              <w:topLinePunct w:val="0"/>
              <w:autoSpaceDE/>
              <w:autoSpaceDN/>
              <w:bidi w:val="0"/>
              <w:adjustRightInd w:val="0"/>
              <w:snapToGrid w:val="0"/>
              <w:spacing w:line="360" w:lineRule="auto"/>
              <w:ind w:firstLine="1440" w:firstLineChars="600"/>
              <w:textAlignment w:val="auto"/>
              <w:rPr>
                <w:rFonts w:hint="default" w:ascii="Times New Roman" w:hAnsi="Times New Roman" w:eastAsia="宋体" w:cs="Times New Roman"/>
                <w:color w:val="000000"/>
                <w:kern w:val="0"/>
                <w:sz w:val="24"/>
                <w:szCs w:val="24"/>
                <w:lang w:val="en-US" w:eastAsia="zh-CN" w:bidi="ar-SA"/>
              </w:rPr>
            </w:pPr>
            <w:r>
              <w:rPr>
                <w:rFonts w:hint="default" w:ascii="Times New Roman" w:hAnsi="Times New Roman" w:eastAsia="宋体" w:cs="Times New Roman"/>
                <w:color w:val="000000"/>
                <w:kern w:val="0"/>
                <w:sz w:val="24"/>
                <w:szCs w:val="24"/>
                <w:lang w:val="en-US" w:eastAsia="zh-CN" w:bidi="ar-SA"/>
              </w:rPr>
              <w:t>M—车辆载重，t/辆，</w:t>
            </w:r>
            <w:r>
              <w:rPr>
                <w:rFonts w:hint="eastAsia" w:ascii="Times New Roman" w:hAnsi="Times New Roman" w:eastAsia="宋体" w:cs="Times New Roman"/>
                <w:color w:val="000000"/>
                <w:kern w:val="0"/>
                <w:sz w:val="24"/>
                <w:szCs w:val="24"/>
                <w:lang w:val="en-US" w:eastAsia="zh-CN" w:bidi="ar-SA"/>
              </w:rPr>
              <w:t>30</w:t>
            </w:r>
            <w:r>
              <w:rPr>
                <w:rFonts w:hint="default" w:ascii="Times New Roman" w:hAnsi="Times New Roman" w:eastAsia="宋体" w:cs="Times New Roman"/>
                <w:color w:val="000000"/>
                <w:kern w:val="0"/>
                <w:sz w:val="24"/>
                <w:szCs w:val="24"/>
                <w:lang w:val="en-US" w:eastAsia="zh-CN" w:bidi="ar-SA"/>
              </w:rPr>
              <w:t>t/辆。</w:t>
            </w:r>
          </w:p>
          <w:p w14:paraId="01BBC79E">
            <w:pPr>
              <w:spacing w:line="360" w:lineRule="auto"/>
              <w:ind w:firstLine="480" w:firstLineChars="200"/>
              <w:rPr>
                <w:rFonts w:hint="default" w:ascii="Times New Roman" w:hAnsi="Times New Roman" w:eastAsia="宋体" w:cs="Times New Roman"/>
                <w:color w:val="FF0000"/>
                <w:kern w:val="0"/>
                <w:sz w:val="24"/>
                <w:szCs w:val="24"/>
                <w:lang w:val="en-US" w:eastAsia="zh-CN" w:bidi="ar-SA"/>
              </w:rPr>
            </w:pPr>
            <w:r>
              <w:rPr>
                <w:rFonts w:hint="default" w:ascii="Times New Roman" w:hAnsi="Times New Roman" w:eastAsia="宋体" w:cs="Times New Roman"/>
                <w:color w:val="FF0000"/>
                <w:kern w:val="0"/>
                <w:sz w:val="24"/>
                <w:szCs w:val="24"/>
                <w:lang w:val="en-US" w:eastAsia="zh-CN" w:bidi="ar-SA"/>
              </w:rPr>
              <w:t>计算可得本项目汽车起尘量为0.</w:t>
            </w:r>
            <w:r>
              <w:rPr>
                <w:rFonts w:hint="eastAsia" w:ascii="Times New Roman" w:hAnsi="Times New Roman" w:eastAsia="宋体" w:cs="Times New Roman"/>
                <w:color w:val="FF0000"/>
                <w:kern w:val="0"/>
                <w:sz w:val="24"/>
                <w:szCs w:val="24"/>
                <w:lang w:val="en-US" w:eastAsia="zh-CN" w:bidi="ar-SA"/>
              </w:rPr>
              <w:t>409</w:t>
            </w:r>
            <w:r>
              <w:rPr>
                <w:rFonts w:hint="default" w:ascii="Times New Roman" w:hAnsi="Times New Roman" w:eastAsia="宋体" w:cs="Times New Roman"/>
                <w:color w:val="FF0000"/>
                <w:kern w:val="0"/>
                <w:sz w:val="24"/>
                <w:szCs w:val="24"/>
                <w:lang w:val="en-US" w:eastAsia="zh-CN" w:bidi="ar-SA"/>
              </w:rPr>
              <w:t>kg/km辆，项目厂区进出</w:t>
            </w:r>
            <w:r>
              <w:rPr>
                <w:rFonts w:hint="eastAsia" w:ascii="Times New Roman" w:hAnsi="Times New Roman" w:eastAsia="宋体" w:cs="Times New Roman"/>
                <w:color w:val="FF0000"/>
                <w:kern w:val="0"/>
                <w:sz w:val="24"/>
                <w:szCs w:val="24"/>
                <w:lang w:val="en-US" w:eastAsia="zh-CN" w:bidi="ar-SA"/>
              </w:rPr>
              <w:t>及车间</w:t>
            </w:r>
            <w:r>
              <w:rPr>
                <w:rFonts w:hint="default" w:ascii="Times New Roman" w:hAnsi="Times New Roman" w:eastAsia="宋体" w:cs="Times New Roman"/>
                <w:color w:val="FF0000"/>
                <w:kern w:val="0"/>
                <w:sz w:val="24"/>
                <w:szCs w:val="24"/>
                <w:lang w:val="en-US" w:eastAsia="zh-CN" w:bidi="ar-SA"/>
              </w:rPr>
              <w:t>道路约</w:t>
            </w:r>
            <w:r>
              <w:rPr>
                <w:rFonts w:hint="eastAsia" w:ascii="Times New Roman" w:hAnsi="Times New Roman" w:eastAsia="宋体" w:cs="Times New Roman"/>
                <w:color w:val="FF0000"/>
                <w:kern w:val="0"/>
                <w:sz w:val="24"/>
                <w:szCs w:val="24"/>
                <w:lang w:val="en-US" w:eastAsia="zh-CN" w:bidi="ar-SA"/>
              </w:rPr>
              <w:t>300</w:t>
            </w:r>
            <w:r>
              <w:rPr>
                <w:rFonts w:hint="default" w:ascii="Times New Roman" w:hAnsi="Times New Roman" w:eastAsia="宋体" w:cs="Times New Roman"/>
                <w:color w:val="FF0000"/>
                <w:kern w:val="0"/>
                <w:sz w:val="24"/>
                <w:szCs w:val="24"/>
                <w:lang w:val="en-US" w:eastAsia="zh-CN" w:bidi="ar-SA"/>
              </w:rPr>
              <w:t>m，年运输量约</w:t>
            </w:r>
            <w:r>
              <w:rPr>
                <w:rFonts w:hint="eastAsia" w:cs="Times New Roman"/>
                <w:color w:val="FF0000"/>
                <w:kern w:val="0"/>
                <w:sz w:val="24"/>
                <w:szCs w:val="24"/>
                <w:lang w:val="en-US" w:eastAsia="zh-CN" w:bidi="ar-SA"/>
              </w:rPr>
              <w:t>1583</w:t>
            </w:r>
            <w:r>
              <w:rPr>
                <w:rFonts w:hint="default" w:ascii="Times New Roman" w:hAnsi="Times New Roman" w:eastAsia="宋体" w:cs="Times New Roman"/>
                <w:color w:val="FF0000"/>
                <w:kern w:val="0"/>
                <w:sz w:val="24"/>
                <w:szCs w:val="24"/>
                <w:lang w:val="en-US" w:eastAsia="zh-CN" w:bidi="ar-SA"/>
              </w:rPr>
              <w:t>次，则运输扬尘产生量约为</w:t>
            </w:r>
            <w:r>
              <w:rPr>
                <w:rFonts w:hint="eastAsia" w:ascii="Times New Roman" w:hAnsi="Times New Roman" w:eastAsia="宋体" w:cs="Times New Roman"/>
                <w:color w:val="FF0000"/>
                <w:kern w:val="0"/>
                <w:sz w:val="24"/>
                <w:szCs w:val="24"/>
                <w:lang w:val="en-US" w:eastAsia="zh-CN" w:bidi="ar-SA"/>
              </w:rPr>
              <w:t>0.</w:t>
            </w:r>
            <w:r>
              <w:rPr>
                <w:rFonts w:hint="eastAsia" w:cs="Times New Roman"/>
                <w:color w:val="FF0000"/>
                <w:kern w:val="0"/>
                <w:sz w:val="24"/>
                <w:szCs w:val="24"/>
                <w:lang w:val="en-US" w:eastAsia="zh-CN" w:bidi="ar-SA"/>
              </w:rPr>
              <w:t>194</w:t>
            </w:r>
            <w:r>
              <w:rPr>
                <w:rFonts w:hint="default" w:ascii="Times New Roman" w:hAnsi="Times New Roman" w:eastAsia="宋体" w:cs="Times New Roman"/>
                <w:color w:val="FF0000"/>
                <w:kern w:val="0"/>
                <w:sz w:val="24"/>
                <w:szCs w:val="24"/>
                <w:lang w:val="en-US" w:eastAsia="zh-CN" w:bidi="ar-SA"/>
              </w:rPr>
              <w:t>t/a。该项目道路及停车场地面做硬化处理，每天洒水，同时对厂区内进行喷淋降尘，对运输车辆进行加盖帆布并限制车速，满载车辆要覆盖冲洗，空载车辆要确保车厢内冲洗干净，厂区进出口设置车辆冲洗平台，采取以上措施后，可使粉尘降低95%左右，即汽车运输扬尘排放量约为</w:t>
            </w:r>
            <w:r>
              <w:rPr>
                <w:rFonts w:hint="eastAsia" w:cs="Times New Roman"/>
                <w:color w:val="FF0000"/>
                <w:kern w:val="0"/>
                <w:sz w:val="24"/>
                <w:szCs w:val="24"/>
                <w:lang w:val="en-US" w:eastAsia="zh-CN" w:bidi="ar-SA"/>
              </w:rPr>
              <w:t>0.01</w:t>
            </w:r>
            <w:r>
              <w:rPr>
                <w:rFonts w:hint="default" w:ascii="Times New Roman" w:hAnsi="Times New Roman" w:eastAsia="宋体" w:cs="Times New Roman"/>
                <w:color w:val="FF0000"/>
                <w:kern w:val="0"/>
                <w:sz w:val="24"/>
                <w:szCs w:val="24"/>
                <w:lang w:val="en-US" w:eastAsia="zh-CN" w:bidi="ar-SA"/>
              </w:rPr>
              <w:t>t/a，排放速率为</w:t>
            </w:r>
            <w:r>
              <w:rPr>
                <w:rFonts w:hint="eastAsia" w:ascii="Times New Roman" w:hAnsi="Times New Roman" w:eastAsia="宋体" w:cs="Times New Roman"/>
                <w:color w:val="FF0000"/>
                <w:kern w:val="0"/>
                <w:sz w:val="24"/>
                <w:szCs w:val="24"/>
                <w:lang w:val="en-US" w:eastAsia="zh-CN" w:bidi="ar-SA"/>
              </w:rPr>
              <w:t>0.00</w:t>
            </w:r>
            <w:r>
              <w:rPr>
                <w:rFonts w:hint="eastAsia" w:cs="Times New Roman"/>
                <w:color w:val="FF0000"/>
                <w:kern w:val="0"/>
                <w:sz w:val="24"/>
                <w:szCs w:val="24"/>
                <w:lang w:val="en-US" w:eastAsia="zh-CN" w:bidi="ar-SA"/>
              </w:rPr>
              <w:t>4</w:t>
            </w:r>
            <w:r>
              <w:rPr>
                <w:rFonts w:hint="default" w:ascii="Times New Roman" w:hAnsi="Times New Roman" w:eastAsia="宋体" w:cs="Times New Roman"/>
                <w:color w:val="FF0000"/>
                <w:kern w:val="0"/>
                <w:sz w:val="24"/>
                <w:szCs w:val="24"/>
                <w:lang w:val="en-US" w:eastAsia="zh-CN" w:bidi="ar-SA"/>
              </w:rPr>
              <w:t>kg/h。</w:t>
            </w:r>
          </w:p>
          <w:p w14:paraId="4AA205C6">
            <w:pPr>
              <w:numPr>
                <w:ilvl w:val="0"/>
                <w:numId w:val="7"/>
              </w:numPr>
              <w:spacing w:line="360" w:lineRule="auto"/>
              <w:ind w:firstLine="480"/>
              <w:rPr>
                <w:rFonts w:hint="eastAsia"/>
                <w:lang w:val="en-US" w:eastAsia="zh-CN"/>
              </w:rPr>
            </w:pPr>
            <w:r>
              <w:rPr>
                <w:rFonts w:hint="eastAsia"/>
                <w:lang w:val="en-US" w:eastAsia="zh-CN"/>
              </w:rPr>
              <w:t>焊接烟尘</w:t>
            </w:r>
          </w:p>
          <w:p w14:paraId="6751FE81">
            <w:pPr>
              <w:spacing w:line="360" w:lineRule="auto"/>
              <w:ind w:firstLine="480" w:firstLineChars="200"/>
              <w:rPr>
                <w:rStyle w:val="88"/>
                <w:rFonts w:hint="default" w:ascii="Times New Roman" w:hAnsi="Times New Roman" w:eastAsia="宋体" w:cs="Times New Roman"/>
                <w:b w:val="0"/>
                <w:bCs w:val="0"/>
                <w:i w:val="0"/>
                <w:iCs w:val="0"/>
                <w:color w:val="auto"/>
                <w:kern w:val="2"/>
                <w:sz w:val="24"/>
                <w:szCs w:val="24"/>
                <w:lang w:val="en-US" w:eastAsia="zh-CN" w:bidi="ar-SA"/>
              </w:rPr>
            </w:pPr>
            <w:r>
              <w:rPr>
                <w:rFonts w:hint="eastAsia"/>
                <w:color w:val="auto"/>
                <w:sz w:val="24"/>
                <w:szCs w:val="24"/>
                <w:lang w:val="en-US" w:eastAsia="zh-CN"/>
              </w:rPr>
              <w:t>项目焊接过程中采用焊丝进行焊接，根据</w:t>
            </w:r>
            <w:r>
              <w:rPr>
                <w:rStyle w:val="88"/>
                <w:rFonts w:hint="default" w:ascii="Times New Roman" w:hAnsi="Times New Roman" w:eastAsia="宋体" w:cs="Times New Roman"/>
                <w:b w:val="0"/>
                <w:bCs w:val="0"/>
                <w:i w:val="0"/>
                <w:iCs w:val="0"/>
                <w:color w:val="auto"/>
                <w:kern w:val="2"/>
                <w:sz w:val="24"/>
                <w:szCs w:val="24"/>
                <w:lang w:val="en-US" w:eastAsia="zh-CN" w:bidi="ar-SA"/>
              </w:rPr>
              <w:t>《排放源统计调查产排污核算方法和系数手册》，“33金属制品业、34通用设备制造业（不包括电镀工艺）”行业系数表中C431-C434修理行业</w:t>
            </w:r>
            <w:r>
              <w:rPr>
                <w:rStyle w:val="88"/>
                <w:rFonts w:hint="eastAsia" w:ascii="Times New Roman" w:hAnsi="Times New Roman" w:eastAsia="宋体" w:cs="Times New Roman"/>
                <w:b w:val="0"/>
                <w:bCs w:val="0"/>
                <w:i w:val="0"/>
                <w:iCs w:val="0"/>
                <w:color w:val="auto"/>
                <w:kern w:val="2"/>
                <w:sz w:val="24"/>
                <w:szCs w:val="24"/>
                <w:lang w:val="en-US" w:eastAsia="zh-CN" w:bidi="ar-SA"/>
              </w:rPr>
              <w:t>焊接件实心焊丝颗粒物产生系数为</w:t>
            </w:r>
            <w:r>
              <w:rPr>
                <w:rStyle w:val="88"/>
                <w:rFonts w:hint="default" w:ascii="Times New Roman" w:hAnsi="Times New Roman" w:eastAsia="宋体" w:cs="Times New Roman"/>
                <w:b w:val="0"/>
                <w:bCs w:val="0"/>
                <w:i w:val="0"/>
                <w:iCs w:val="0"/>
                <w:color w:val="auto"/>
                <w:kern w:val="2"/>
                <w:sz w:val="24"/>
                <w:szCs w:val="24"/>
                <w:lang w:val="en-US" w:eastAsia="zh-CN" w:bidi="ar-SA"/>
              </w:rPr>
              <w:t>产污系数为：</w:t>
            </w:r>
            <w:r>
              <w:rPr>
                <w:rStyle w:val="88"/>
                <w:rFonts w:hint="eastAsia" w:ascii="Times New Roman" w:hAnsi="Times New Roman" w:eastAsia="宋体" w:cs="Times New Roman"/>
                <w:b w:val="0"/>
                <w:bCs w:val="0"/>
                <w:i w:val="0"/>
                <w:iCs w:val="0"/>
                <w:color w:val="auto"/>
                <w:kern w:val="2"/>
                <w:sz w:val="24"/>
                <w:szCs w:val="24"/>
                <w:lang w:val="en-US" w:eastAsia="zh-CN" w:bidi="ar-SA"/>
              </w:rPr>
              <w:t>9.19</w:t>
            </w:r>
            <w:r>
              <w:rPr>
                <w:rStyle w:val="88"/>
                <w:rFonts w:hint="default" w:ascii="Times New Roman" w:hAnsi="Times New Roman" w:eastAsia="宋体" w:cs="Times New Roman"/>
                <w:b w:val="0"/>
                <w:bCs w:val="0"/>
                <w:i w:val="0"/>
                <w:iCs w:val="0"/>
                <w:color w:val="auto"/>
                <w:kern w:val="2"/>
                <w:sz w:val="24"/>
                <w:szCs w:val="24"/>
                <w:lang w:val="en-US" w:eastAsia="zh-CN" w:bidi="ar-SA"/>
              </w:rPr>
              <w:t>千克/吨</w:t>
            </w:r>
            <w:r>
              <w:rPr>
                <w:rStyle w:val="88"/>
                <w:rFonts w:hint="eastAsia" w:ascii="Times New Roman" w:hAnsi="Times New Roman" w:eastAsia="宋体" w:cs="Times New Roman"/>
                <w:b w:val="0"/>
                <w:bCs w:val="0"/>
                <w:i w:val="0"/>
                <w:iCs w:val="0"/>
                <w:color w:val="auto"/>
                <w:kern w:val="2"/>
                <w:sz w:val="24"/>
                <w:szCs w:val="24"/>
                <w:lang w:val="en-US" w:eastAsia="zh-CN" w:bidi="ar-SA"/>
              </w:rPr>
              <w:t>－原料（焊丝），项目焊丝用量为1t/a，则颗粒物产生量为0.009t/a（0.004kg/h），焊接过程中采用移动式焊烟净化器对焊烟进行处理，处理效率以80%计算，则排放量为0.002t/a(0.0008kg/h</w:t>
            </w:r>
            <w:r>
              <w:rPr>
                <w:rStyle w:val="88"/>
                <w:rFonts w:hint="eastAsia" w:cs="Times New Roman"/>
                <w:b w:val="0"/>
                <w:bCs w:val="0"/>
                <w:i w:val="0"/>
                <w:iCs w:val="0"/>
                <w:color w:val="auto"/>
                <w:kern w:val="2"/>
                <w:sz w:val="24"/>
                <w:szCs w:val="24"/>
                <w:lang w:val="en-US" w:eastAsia="zh-CN" w:bidi="ar-SA"/>
              </w:rPr>
              <w:t>）</w:t>
            </w:r>
            <w:r>
              <w:rPr>
                <w:rStyle w:val="88"/>
                <w:rFonts w:hint="eastAsia" w:ascii="Times New Roman" w:hAnsi="Times New Roman" w:eastAsia="宋体" w:cs="Times New Roman"/>
                <w:b w:val="0"/>
                <w:bCs w:val="0"/>
                <w:i w:val="0"/>
                <w:iCs w:val="0"/>
                <w:color w:val="auto"/>
                <w:kern w:val="2"/>
                <w:sz w:val="24"/>
                <w:szCs w:val="24"/>
                <w:lang w:val="en-US" w:eastAsia="zh-CN" w:bidi="ar-SA"/>
              </w:rPr>
              <w:t>，在车间内无组织排放。（年工作2400h）</w:t>
            </w:r>
            <w:r>
              <w:rPr>
                <w:rStyle w:val="88"/>
                <w:rFonts w:hint="eastAsia" w:cs="Times New Roman"/>
                <w:b w:val="0"/>
                <w:bCs w:val="0"/>
                <w:i w:val="0"/>
                <w:iCs w:val="0"/>
                <w:color w:val="auto"/>
                <w:kern w:val="2"/>
                <w:sz w:val="24"/>
                <w:szCs w:val="24"/>
                <w:lang w:val="en-US" w:eastAsia="zh-CN" w:bidi="ar-SA"/>
              </w:rPr>
              <w:t>，1#车间及2#车间排放量各约</w:t>
            </w:r>
            <w:r>
              <w:rPr>
                <w:rStyle w:val="88"/>
                <w:rFonts w:hint="eastAsia" w:ascii="Times New Roman" w:hAnsi="Times New Roman" w:eastAsia="宋体" w:cs="Times New Roman"/>
                <w:b w:val="0"/>
                <w:bCs w:val="0"/>
                <w:i w:val="0"/>
                <w:iCs w:val="0"/>
                <w:color w:val="auto"/>
                <w:kern w:val="2"/>
                <w:sz w:val="24"/>
                <w:szCs w:val="24"/>
                <w:lang w:val="en-US" w:eastAsia="zh-CN" w:bidi="ar-SA"/>
              </w:rPr>
              <w:t>0.00</w:t>
            </w:r>
            <w:r>
              <w:rPr>
                <w:rStyle w:val="88"/>
                <w:rFonts w:hint="eastAsia" w:cs="Times New Roman"/>
                <w:b w:val="0"/>
                <w:bCs w:val="0"/>
                <w:i w:val="0"/>
                <w:iCs w:val="0"/>
                <w:color w:val="auto"/>
                <w:kern w:val="2"/>
                <w:sz w:val="24"/>
                <w:szCs w:val="24"/>
                <w:lang w:val="en-US" w:eastAsia="zh-CN" w:bidi="ar-SA"/>
              </w:rPr>
              <w:t>1</w:t>
            </w:r>
            <w:r>
              <w:rPr>
                <w:rStyle w:val="88"/>
                <w:rFonts w:hint="eastAsia" w:ascii="Times New Roman" w:hAnsi="Times New Roman" w:eastAsia="宋体" w:cs="Times New Roman"/>
                <w:b w:val="0"/>
                <w:bCs w:val="0"/>
                <w:i w:val="0"/>
                <w:iCs w:val="0"/>
                <w:color w:val="auto"/>
                <w:kern w:val="2"/>
                <w:sz w:val="24"/>
                <w:szCs w:val="24"/>
                <w:lang w:val="en-US" w:eastAsia="zh-CN" w:bidi="ar-SA"/>
              </w:rPr>
              <w:t>t/a(0.000</w:t>
            </w:r>
            <w:r>
              <w:rPr>
                <w:rStyle w:val="88"/>
                <w:rFonts w:hint="eastAsia" w:cs="Times New Roman"/>
                <w:b w:val="0"/>
                <w:bCs w:val="0"/>
                <w:i w:val="0"/>
                <w:iCs w:val="0"/>
                <w:color w:val="auto"/>
                <w:kern w:val="2"/>
                <w:sz w:val="24"/>
                <w:szCs w:val="24"/>
                <w:lang w:val="en-US" w:eastAsia="zh-CN" w:bidi="ar-SA"/>
              </w:rPr>
              <w:t>4</w:t>
            </w:r>
            <w:r>
              <w:rPr>
                <w:rStyle w:val="88"/>
                <w:rFonts w:hint="eastAsia" w:ascii="Times New Roman" w:hAnsi="Times New Roman" w:eastAsia="宋体" w:cs="Times New Roman"/>
                <w:b w:val="0"/>
                <w:bCs w:val="0"/>
                <w:i w:val="0"/>
                <w:iCs w:val="0"/>
                <w:color w:val="auto"/>
                <w:kern w:val="2"/>
                <w:sz w:val="24"/>
                <w:szCs w:val="24"/>
                <w:lang w:val="en-US" w:eastAsia="zh-CN" w:bidi="ar-SA"/>
              </w:rPr>
              <w:t>kg/h</w:t>
            </w:r>
            <w:r>
              <w:rPr>
                <w:rStyle w:val="88"/>
                <w:rFonts w:hint="eastAsia" w:cs="Times New Roman"/>
                <w:b w:val="0"/>
                <w:bCs w:val="0"/>
                <w:i w:val="0"/>
                <w:iCs w:val="0"/>
                <w:color w:val="auto"/>
                <w:kern w:val="2"/>
                <w:sz w:val="24"/>
                <w:szCs w:val="24"/>
                <w:lang w:val="en-US" w:eastAsia="zh-CN" w:bidi="ar-SA"/>
              </w:rPr>
              <w:t>）</w:t>
            </w:r>
            <w:r>
              <w:rPr>
                <w:rStyle w:val="88"/>
                <w:rFonts w:hint="eastAsia" w:ascii="Times New Roman" w:hAnsi="Times New Roman" w:eastAsia="宋体" w:cs="Times New Roman"/>
                <w:b w:val="0"/>
                <w:bCs w:val="0"/>
                <w:i w:val="0"/>
                <w:iCs w:val="0"/>
                <w:color w:val="auto"/>
                <w:kern w:val="2"/>
                <w:sz w:val="24"/>
                <w:szCs w:val="24"/>
                <w:lang w:val="en-US" w:eastAsia="zh-CN" w:bidi="ar-SA"/>
              </w:rPr>
              <w:t>。</w:t>
            </w:r>
          </w:p>
          <w:p w14:paraId="194DE0B8">
            <w:pPr>
              <w:spacing w:line="360" w:lineRule="auto"/>
              <w:ind w:firstLine="480"/>
            </w:pPr>
            <w:r>
              <w:rPr>
                <w:rFonts w:hint="eastAsia"/>
                <w:lang w:val="en-US" w:eastAsia="zh-CN"/>
              </w:rPr>
              <w:t>3</w:t>
            </w:r>
            <w:r>
              <w:rPr>
                <w:rFonts w:hint="eastAsia"/>
              </w:rPr>
              <w:t>、废气治理</w:t>
            </w:r>
            <w:r>
              <w:t>措施可行性分析</w:t>
            </w:r>
          </w:p>
          <w:p w14:paraId="67FFD6F4">
            <w:pPr>
              <w:spacing w:line="360" w:lineRule="auto"/>
              <w:ind w:firstLine="480"/>
              <w:rPr>
                <w:rFonts w:hint="default" w:ascii="Times New Roman" w:hAnsi="Times New Roman" w:eastAsia="宋体" w:cs="Times New Roman"/>
                <w:kern w:val="2"/>
                <w:sz w:val="24"/>
                <w:szCs w:val="24"/>
                <w:lang w:val="en-US" w:eastAsia="zh-CN"/>
              </w:rPr>
            </w:pPr>
            <w:r>
              <w:rPr>
                <w:rFonts w:hint="default" w:ascii="Times New Roman" w:hAnsi="Times New Roman" w:eastAsia="宋体" w:cs="Times New Roman"/>
                <w:kern w:val="2"/>
                <w:sz w:val="24"/>
                <w:szCs w:val="24"/>
                <w:lang w:val="en-US" w:eastAsia="zh-CN"/>
              </w:rPr>
              <w:t>项目属于</w:t>
            </w:r>
            <w:r>
              <w:rPr>
                <w:rFonts w:hint="eastAsia" w:cs="Times New Roman"/>
                <w:kern w:val="2"/>
                <w:sz w:val="24"/>
                <w:szCs w:val="24"/>
                <w:lang w:val="en-US" w:eastAsia="zh-CN"/>
              </w:rPr>
              <w:t>砼结构制造</w:t>
            </w:r>
            <w:r>
              <w:rPr>
                <w:rFonts w:hint="eastAsia" w:ascii="Times New Roman" w:hAnsi="Times New Roman" w:eastAsia="宋体" w:cs="Times New Roman"/>
                <w:kern w:val="2"/>
                <w:sz w:val="24"/>
                <w:szCs w:val="24"/>
                <w:lang w:val="en-US" w:eastAsia="zh-CN"/>
              </w:rPr>
              <w:t>制造</w:t>
            </w:r>
            <w:r>
              <w:rPr>
                <w:rFonts w:hint="default" w:ascii="Times New Roman" w:hAnsi="Times New Roman" w:eastAsia="宋体" w:cs="Times New Roman"/>
                <w:kern w:val="2"/>
                <w:sz w:val="24"/>
                <w:szCs w:val="24"/>
                <w:lang w:val="en-US" w:eastAsia="zh-CN"/>
              </w:rPr>
              <w:t>，执行</w:t>
            </w:r>
            <w:r>
              <w:rPr>
                <w:rFonts w:hint="default" w:ascii="Times New Roman" w:hAnsi="Times New Roman" w:eastAsia="宋体" w:cs="Times New Roman"/>
                <w:sz w:val="24"/>
                <w:lang w:val="en-US" w:eastAsia="zh-CN"/>
              </w:rPr>
              <w:t xml:space="preserve">《排污许可证申请与核发技术规范 水泥工业》（HJ847-2017），根据《排污许可证申请与核发技术规范 水泥工业》（HJ847-2017）6.2.1 </w:t>
            </w:r>
            <w:r>
              <w:rPr>
                <w:rFonts w:hint="eastAsia" w:ascii="宋体" w:hAnsi="宋体" w:eastAsia="宋体" w:cs="宋体"/>
                <w:sz w:val="24"/>
                <w:lang w:val="en-US" w:eastAsia="zh-CN"/>
              </w:rPr>
              <w:t>对于水泥生产过程中产生的有组织排放颗粒物，一般采用袋式除尘器、电除尘器、电袋复合除尘器即可满足排放标准限值要求。本项目粉尘处理工艺采</w:t>
            </w:r>
            <w:r>
              <w:rPr>
                <w:rFonts w:hint="eastAsia" w:ascii="宋体" w:hAnsi="宋体" w:eastAsia="宋体" w:cs="宋体"/>
                <w:color w:val="auto"/>
                <w:sz w:val="24"/>
                <w:lang w:val="en-US" w:eastAsia="zh-CN"/>
              </w:rPr>
              <w:t>用高效布袋除尘器除尘，</w:t>
            </w:r>
            <w:r>
              <w:rPr>
                <w:rFonts w:hint="eastAsia" w:ascii="宋体" w:hAnsi="宋体" w:eastAsia="宋体" w:cs="宋体"/>
                <w:sz w:val="24"/>
                <w:lang w:val="en-US" w:eastAsia="zh-CN"/>
              </w:rPr>
              <w:t>布袋除尘器是一种净化设备，它采用布袋过滤技术，通过物理方法去除颗粒物和粉尘。当含尘气体从布袋除尘器入口进入后，由导流管进入各单元室，在导流装置的作用下，大颗粒粉尘分离后直接落入灰斗，其余粉尘随气流均匀进入各舱室过滤区中的滤袋，当含尘气体穿过滤袋时，粉尘即被吸附在滤袋上，而被净化的气体从滤袋内排除，布袋过滤器上有许多细小的孔隙，可以阻挡颗粒物，而允许气体通过。它由净化室、风机、布袋过滤器、清灰装置等组成。它具有移动灵活、高效过滤、低运行成本等优点，并广泛应用于工业领域。</w:t>
            </w:r>
            <w:r>
              <w:rPr>
                <w:rFonts w:hint="default" w:ascii="Times New Roman" w:hAnsi="Times New Roman" w:eastAsia="宋体" w:cs="Times New Roman"/>
                <w:kern w:val="2"/>
                <w:sz w:val="24"/>
                <w:szCs w:val="24"/>
                <w:lang w:val="en-US" w:eastAsia="zh-CN"/>
              </w:rPr>
              <w:t>本项目废气处理工艺与</w:t>
            </w:r>
            <w:r>
              <w:rPr>
                <w:rFonts w:hint="default" w:ascii="Times New Roman" w:hAnsi="Times New Roman" w:eastAsia="宋体" w:cs="Times New Roman"/>
                <w:sz w:val="24"/>
                <w:lang w:val="en-US" w:eastAsia="zh-CN"/>
              </w:rPr>
              <w:t>HJ847-2017</w:t>
            </w:r>
            <w:r>
              <w:rPr>
                <w:rFonts w:hint="default" w:ascii="Times New Roman" w:hAnsi="Times New Roman" w:eastAsia="宋体" w:cs="Times New Roman"/>
                <w:kern w:val="2"/>
                <w:sz w:val="24"/>
                <w:szCs w:val="24"/>
                <w:lang w:val="en-US" w:eastAsia="zh-CN"/>
              </w:rPr>
              <w:t>相同，且均可使得废气达标排放，因此治理措施可行。</w:t>
            </w:r>
          </w:p>
          <w:p w14:paraId="25D99590">
            <w:pPr>
              <w:ind w:firstLine="480"/>
            </w:pPr>
            <w:r>
              <w:rPr>
                <w:rFonts w:hint="eastAsia"/>
              </w:rPr>
              <w:t>4、</w:t>
            </w:r>
            <w:r>
              <w:t>废气监测要求</w:t>
            </w:r>
          </w:p>
          <w:p w14:paraId="27B61F0F">
            <w:pPr>
              <w:ind w:firstLine="480"/>
            </w:pPr>
            <w:r>
              <w:rPr>
                <w:rFonts w:hint="eastAsia"/>
              </w:rPr>
              <w:t>根据《排污单位自行监测技术指南 水泥工业》（HJ 848-2017），制定本项目运营期环境监测计划，详见表</w:t>
            </w:r>
            <w:r>
              <w:rPr>
                <w:rFonts w:hint="eastAsia"/>
                <w:lang w:val="en-US" w:eastAsia="zh-CN"/>
              </w:rPr>
              <w:t>4-5</w:t>
            </w:r>
            <w:r>
              <w:rPr>
                <w:rFonts w:hint="eastAsia"/>
              </w:rPr>
              <w:t>。</w:t>
            </w:r>
          </w:p>
          <w:p w14:paraId="024141B8">
            <w:pPr>
              <w:pStyle w:val="18"/>
              <w:keepNext w:val="0"/>
              <w:keepLines w:val="0"/>
              <w:pageBreakBefore w:val="0"/>
              <w:widowControl/>
              <w:kinsoku/>
              <w:wordWrap/>
              <w:overflowPunct/>
              <w:topLinePunct w:val="0"/>
              <w:autoSpaceDE/>
              <w:autoSpaceDN/>
              <w:bidi w:val="0"/>
              <w:adjustRightInd/>
              <w:snapToGrid w:val="0"/>
              <w:spacing w:before="0" w:after="0" w:line="240" w:lineRule="auto"/>
              <w:ind w:right="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kern w:val="0"/>
                <w:sz w:val="21"/>
                <w:szCs w:val="21"/>
                <w:vertAlign w:val="baseline"/>
                <w:lang w:val="en-US" w:eastAsia="zh-CN" w:bidi="ar-SA"/>
              </w:rPr>
              <w:t>表4-</w:t>
            </w:r>
            <w:r>
              <w:rPr>
                <w:rFonts w:hint="eastAsia" w:cs="Times New Roman"/>
                <w:b/>
                <w:bCs/>
                <w:color w:val="auto"/>
                <w:kern w:val="0"/>
                <w:sz w:val="21"/>
                <w:szCs w:val="21"/>
                <w:vertAlign w:val="baseline"/>
                <w:lang w:val="en-US" w:eastAsia="zh-CN" w:bidi="ar-SA"/>
              </w:rPr>
              <w:t>5</w:t>
            </w:r>
            <w:r>
              <w:rPr>
                <w:rFonts w:hint="eastAsia" w:ascii="Times New Roman" w:hAnsi="Times New Roman" w:eastAsia="宋体" w:cs="Times New Roman"/>
                <w:b/>
                <w:bCs/>
                <w:color w:val="auto"/>
                <w:kern w:val="0"/>
                <w:sz w:val="21"/>
                <w:szCs w:val="21"/>
                <w:vertAlign w:val="baseline"/>
                <w:lang w:val="en-US" w:eastAsia="zh-CN" w:bidi="ar-SA"/>
              </w:rPr>
              <w:t xml:space="preserve"> </w:t>
            </w:r>
            <w:r>
              <w:rPr>
                <w:rFonts w:hint="default" w:ascii="Times New Roman" w:hAnsi="Times New Roman" w:eastAsia="宋体" w:cs="Times New Roman"/>
                <w:b/>
                <w:bCs/>
                <w:color w:val="auto"/>
                <w:sz w:val="21"/>
                <w:szCs w:val="21"/>
                <w:lang w:val="en-US" w:eastAsia="zh-CN"/>
              </w:rPr>
              <w:t>废气监测计划一览表</w:t>
            </w:r>
          </w:p>
          <w:tbl>
            <w:tblPr>
              <w:tblStyle w:val="4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0"/>
              <w:gridCol w:w="933"/>
              <w:gridCol w:w="1682"/>
              <w:gridCol w:w="644"/>
              <w:gridCol w:w="908"/>
              <w:gridCol w:w="3652"/>
            </w:tblGrid>
            <w:tr w14:paraId="2C52FA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tcBorders>
                    <w:tl2br w:val="nil"/>
                    <w:tr2bl w:val="nil"/>
                  </w:tcBorders>
                  <w:noWrap w:val="0"/>
                  <w:vAlign w:val="center"/>
                </w:tcPr>
                <w:p w14:paraId="52782964">
                  <w:pPr>
                    <w:pStyle w:val="56"/>
                    <w:bidi w:val="0"/>
                    <w:rPr>
                      <w:rFonts w:hint="default" w:ascii="Times New Roman" w:hAnsi="Times New Roman" w:eastAsia="宋体" w:cs="Times New Roman"/>
                      <w:b/>
                      <w:bCs/>
                      <w:color w:val="auto"/>
                      <w:szCs w:val="21"/>
                      <w:vertAlign w:val="baseline"/>
                      <w:lang w:val="en-US" w:eastAsia="zh-CN"/>
                    </w:rPr>
                  </w:pPr>
                  <w:r>
                    <w:rPr>
                      <w:rFonts w:hint="default"/>
                      <w:lang w:eastAsia="zh-CN"/>
                    </w:rPr>
                    <w:t>序号</w:t>
                  </w:r>
                </w:p>
              </w:tc>
              <w:tc>
                <w:tcPr>
                  <w:tcW w:w="933" w:type="dxa"/>
                  <w:tcBorders>
                    <w:tl2br w:val="nil"/>
                    <w:tr2bl w:val="nil"/>
                  </w:tcBorders>
                  <w:noWrap w:val="0"/>
                  <w:vAlign w:val="center"/>
                </w:tcPr>
                <w:p w14:paraId="1911FCDC">
                  <w:pPr>
                    <w:pStyle w:val="56"/>
                    <w:bidi w:val="0"/>
                    <w:rPr>
                      <w:rFonts w:hint="default" w:ascii="Times New Roman" w:hAnsi="Times New Roman" w:eastAsia="宋体" w:cs="Times New Roman"/>
                      <w:b/>
                      <w:bCs/>
                      <w:color w:val="auto"/>
                      <w:szCs w:val="21"/>
                      <w:vertAlign w:val="baseline"/>
                      <w:lang w:val="en-US" w:eastAsia="zh-CN"/>
                    </w:rPr>
                  </w:pPr>
                  <w:r>
                    <w:rPr>
                      <w:rFonts w:hint="default"/>
                    </w:rPr>
                    <w:t>监测</w:t>
                  </w:r>
                  <w:r>
                    <w:rPr>
                      <w:rFonts w:hint="default"/>
                      <w:lang w:eastAsia="zh-CN"/>
                    </w:rPr>
                    <w:t>点位</w:t>
                  </w:r>
                </w:p>
              </w:tc>
              <w:tc>
                <w:tcPr>
                  <w:tcW w:w="1682" w:type="dxa"/>
                  <w:tcBorders>
                    <w:tl2br w:val="nil"/>
                    <w:tr2bl w:val="nil"/>
                  </w:tcBorders>
                  <w:noWrap w:val="0"/>
                  <w:vAlign w:val="center"/>
                </w:tcPr>
                <w:p w14:paraId="66841B97">
                  <w:pPr>
                    <w:pStyle w:val="56"/>
                    <w:bidi w:val="0"/>
                    <w:rPr>
                      <w:rFonts w:hint="default" w:ascii="Times New Roman" w:hAnsi="Times New Roman" w:eastAsia="宋体" w:cs="Times New Roman"/>
                      <w:b/>
                      <w:bCs/>
                      <w:color w:val="auto"/>
                      <w:szCs w:val="21"/>
                      <w:vertAlign w:val="baseline"/>
                      <w:lang w:val="en-US" w:eastAsia="zh-CN"/>
                    </w:rPr>
                  </w:pPr>
                  <w:r>
                    <w:rPr>
                      <w:rFonts w:hint="default"/>
                    </w:rPr>
                    <w:t>监测项目</w:t>
                  </w:r>
                </w:p>
              </w:tc>
              <w:tc>
                <w:tcPr>
                  <w:tcW w:w="644" w:type="dxa"/>
                  <w:tcBorders>
                    <w:tl2br w:val="nil"/>
                    <w:tr2bl w:val="nil"/>
                  </w:tcBorders>
                  <w:noWrap w:val="0"/>
                  <w:vAlign w:val="center"/>
                </w:tcPr>
                <w:p w14:paraId="730BF937">
                  <w:pPr>
                    <w:pStyle w:val="56"/>
                    <w:bidi w:val="0"/>
                    <w:rPr>
                      <w:rFonts w:hint="default" w:ascii="Times New Roman" w:hAnsi="Times New Roman" w:eastAsia="宋体" w:cs="Times New Roman"/>
                      <w:b/>
                      <w:bCs/>
                      <w:color w:val="auto"/>
                      <w:szCs w:val="21"/>
                      <w:vertAlign w:val="baseline"/>
                      <w:lang w:val="en-US" w:eastAsia="zh-CN"/>
                    </w:rPr>
                  </w:pPr>
                  <w:r>
                    <w:rPr>
                      <w:rFonts w:hint="default"/>
                    </w:rPr>
                    <w:t>监测频率</w:t>
                  </w:r>
                </w:p>
              </w:tc>
              <w:tc>
                <w:tcPr>
                  <w:tcW w:w="908" w:type="dxa"/>
                  <w:tcBorders>
                    <w:tl2br w:val="nil"/>
                    <w:tr2bl w:val="nil"/>
                  </w:tcBorders>
                  <w:noWrap w:val="0"/>
                  <w:vAlign w:val="center"/>
                </w:tcPr>
                <w:p w14:paraId="74F36D84">
                  <w:pPr>
                    <w:pStyle w:val="56"/>
                    <w:bidi w:val="0"/>
                    <w:rPr>
                      <w:rFonts w:hint="default" w:ascii="Times New Roman" w:hAnsi="Times New Roman" w:eastAsia="宋体" w:cs="Times New Roman"/>
                      <w:b/>
                      <w:bCs/>
                      <w:color w:val="auto"/>
                      <w:szCs w:val="21"/>
                      <w:vertAlign w:val="baseline"/>
                      <w:lang w:val="en-US" w:eastAsia="zh-CN"/>
                    </w:rPr>
                  </w:pPr>
                  <w:r>
                    <w:rPr>
                      <w:rFonts w:hint="default"/>
                    </w:rPr>
                    <w:t>监测时间</w:t>
                  </w:r>
                </w:p>
              </w:tc>
              <w:tc>
                <w:tcPr>
                  <w:tcW w:w="3652" w:type="dxa"/>
                  <w:tcBorders>
                    <w:tl2br w:val="nil"/>
                    <w:tr2bl w:val="nil"/>
                  </w:tcBorders>
                  <w:noWrap w:val="0"/>
                  <w:vAlign w:val="center"/>
                </w:tcPr>
                <w:p w14:paraId="062FD9C4">
                  <w:pPr>
                    <w:pStyle w:val="56"/>
                    <w:bidi w:val="0"/>
                    <w:rPr>
                      <w:rFonts w:hint="default" w:ascii="Times New Roman" w:hAnsi="Times New Roman" w:eastAsia="宋体" w:cs="Times New Roman"/>
                      <w:b/>
                      <w:bCs/>
                      <w:color w:val="auto"/>
                      <w:szCs w:val="21"/>
                      <w:vertAlign w:val="baseline"/>
                      <w:lang w:val="en-US" w:eastAsia="zh-CN"/>
                    </w:rPr>
                  </w:pPr>
                  <w:r>
                    <w:rPr>
                      <w:rFonts w:hint="default"/>
                      <w:lang w:eastAsia="zh-CN"/>
                    </w:rPr>
                    <w:t>执行标准</w:t>
                  </w:r>
                </w:p>
              </w:tc>
            </w:tr>
            <w:tr w14:paraId="4A6244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550" w:type="dxa"/>
                  <w:tcBorders>
                    <w:tl2br w:val="nil"/>
                    <w:tr2bl w:val="nil"/>
                  </w:tcBorders>
                  <w:noWrap w:val="0"/>
                  <w:vAlign w:val="center"/>
                </w:tcPr>
                <w:p w14:paraId="366DCD1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w:t>
                  </w:r>
                </w:p>
              </w:tc>
              <w:tc>
                <w:tcPr>
                  <w:tcW w:w="933" w:type="dxa"/>
                  <w:tcBorders>
                    <w:tl2br w:val="nil"/>
                    <w:tr2bl w:val="nil"/>
                  </w:tcBorders>
                  <w:noWrap w:val="0"/>
                  <w:vAlign w:val="center"/>
                </w:tcPr>
                <w:p w14:paraId="0C87FF84">
                  <w:pPr>
                    <w:pStyle w:val="56"/>
                    <w:bidi w:val="0"/>
                    <w:rPr>
                      <w:rFonts w:hint="default" w:ascii="Times New Roman" w:hAnsi="Times New Roman" w:eastAsia="宋体" w:cs="Times New Roman"/>
                      <w:b w:val="0"/>
                      <w:bCs w:val="0"/>
                      <w:color w:val="auto"/>
                      <w:szCs w:val="21"/>
                      <w:lang w:val="en-US" w:eastAsia="zh-CN"/>
                    </w:rPr>
                  </w:pPr>
                  <w:r>
                    <w:rPr>
                      <w:rFonts w:hint="default"/>
                      <w:lang w:val="en-US" w:eastAsia="zh-CN"/>
                    </w:rPr>
                    <w:t>DA001</w:t>
                  </w:r>
                </w:p>
              </w:tc>
              <w:tc>
                <w:tcPr>
                  <w:tcW w:w="1682" w:type="dxa"/>
                  <w:tcBorders>
                    <w:tl2br w:val="nil"/>
                    <w:tr2bl w:val="nil"/>
                  </w:tcBorders>
                  <w:noWrap w:val="0"/>
                  <w:vAlign w:val="center"/>
                </w:tcPr>
                <w:p w14:paraId="3314644B">
                  <w:pPr>
                    <w:pStyle w:val="56"/>
                    <w:bidi w:val="0"/>
                    <w:rPr>
                      <w:rFonts w:hint="default" w:ascii="Times New Roman" w:hAnsi="Times New Roman" w:eastAsia="宋体" w:cs="Times New Roman"/>
                      <w:b w:val="0"/>
                      <w:bCs w:val="0"/>
                      <w:color w:val="auto"/>
                      <w:szCs w:val="21"/>
                      <w:lang w:val="en-US" w:eastAsia="zh-CN"/>
                    </w:rPr>
                  </w:pPr>
                  <w:r>
                    <w:rPr>
                      <w:rFonts w:hint="default"/>
                    </w:rPr>
                    <w:t>颗粒物</w:t>
                  </w:r>
                </w:p>
              </w:tc>
              <w:tc>
                <w:tcPr>
                  <w:tcW w:w="644" w:type="dxa"/>
                  <w:tcBorders>
                    <w:tl2br w:val="nil"/>
                    <w:tr2bl w:val="nil"/>
                  </w:tcBorders>
                  <w:noWrap w:val="0"/>
                  <w:vAlign w:val="center"/>
                </w:tcPr>
                <w:p w14:paraId="659BF54E">
                  <w:pPr>
                    <w:pStyle w:val="56"/>
                    <w:bidi w:val="0"/>
                    <w:rPr>
                      <w:rFonts w:hint="eastAsia" w:ascii="Times New Roman" w:hAnsi="Times New Roman" w:eastAsia="宋体" w:cs="Times New Roman"/>
                      <w:b w:val="0"/>
                      <w:bCs w:val="0"/>
                      <w:spacing w:val="7"/>
                      <w:szCs w:val="21"/>
                      <w:lang w:val="en-US" w:eastAsia="zh-CN"/>
                    </w:rPr>
                  </w:pPr>
                  <w:r>
                    <w:rPr>
                      <w:rFonts w:hint="default"/>
                    </w:rPr>
                    <w:t>1次/</w:t>
                  </w:r>
                  <w:r>
                    <w:rPr>
                      <w:rFonts w:hint="eastAsia"/>
                      <w:lang w:val="en-US" w:eastAsia="zh-CN"/>
                    </w:rPr>
                    <w:t>半年</w:t>
                  </w:r>
                </w:p>
              </w:tc>
              <w:tc>
                <w:tcPr>
                  <w:tcW w:w="908" w:type="dxa"/>
                  <w:tcBorders>
                    <w:tl2br w:val="nil"/>
                    <w:tr2bl w:val="nil"/>
                  </w:tcBorders>
                  <w:noWrap w:val="0"/>
                  <w:vAlign w:val="center"/>
                </w:tcPr>
                <w:p w14:paraId="4AA2EE51">
                  <w:pPr>
                    <w:pStyle w:val="56"/>
                    <w:bidi w:val="0"/>
                    <w:rPr>
                      <w:rFonts w:hint="default" w:ascii="Times New Roman" w:hAnsi="Times New Roman" w:eastAsia="宋体" w:cs="Times New Roman"/>
                      <w:b w:val="0"/>
                      <w:bCs w:val="0"/>
                      <w:color w:val="auto"/>
                      <w:szCs w:val="21"/>
                    </w:rPr>
                  </w:pPr>
                  <w:r>
                    <w:rPr>
                      <w:rFonts w:hint="default"/>
                    </w:rPr>
                    <w:t>正常工况</w:t>
                  </w:r>
                </w:p>
              </w:tc>
              <w:tc>
                <w:tcPr>
                  <w:tcW w:w="3652" w:type="dxa"/>
                  <w:tcBorders>
                    <w:tl2br w:val="nil"/>
                    <w:tr2bl w:val="nil"/>
                  </w:tcBorders>
                  <w:noWrap w:val="0"/>
                  <w:vAlign w:val="center"/>
                </w:tcPr>
                <w:p w14:paraId="6B387FFD">
                  <w:pPr>
                    <w:pStyle w:val="56"/>
                    <w:bidi w:val="0"/>
                    <w:rPr>
                      <w:rFonts w:hint="default" w:ascii="Times New Roman" w:hAnsi="Times New Roman" w:eastAsia="宋体" w:cs="Times New Roman"/>
                      <w:b w:val="0"/>
                      <w:bCs w:val="0"/>
                      <w:color w:val="auto"/>
                      <w:szCs w:val="21"/>
                      <w:lang w:val="en-US" w:eastAsia="zh-CN"/>
                    </w:rPr>
                  </w:pPr>
                  <w:r>
                    <w:rPr>
                      <w:rFonts w:hint="default"/>
                      <w:lang w:val="en-US" w:eastAsia="zh-CN"/>
                    </w:rPr>
                    <w:t>《水泥工业大气污染物排放标准》（GB4915-2013）</w:t>
                  </w:r>
                </w:p>
              </w:tc>
            </w:tr>
            <w:tr w14:paraId="4DAE75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0" w:type="dxa"/>
                  <w:tcBorders>
                    <w:tl2br w:val="nil"/>
                    <w:tr2bl w:val="nil"/>
                  </w:tcBorders>
                  <w:noWrap w:val="0"/>
                  <w:vAlign w:val="center"/>
                </w:tcPr>
                <w:p w14:paraId="259526C5">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lang w:val="en-US" w:eastAsia="zh-CN"/>
                    </w:rPr>
                    <w:t>2</w:t>
                  </w:r>
                </w:p>
              </w:tc>
              <w:tc>
                <w:tcPr>
                  <w:tcW w:w="933" w:type="dxa"/>
                  <w:tcBorders>
                    <w:tl2br w:val="nil"/>
                    <w:tr2bl w:val="nil"/>
                  </w:tcBorders>
                  <w:noWrap w:val="0"/>
                  <w:vAlign w:val="center"/>
                </w:tcPr>
                <w:p w14:paraId="3AAB86AE">
                  <w:pPr>
                    <w:pStyle w:val="56"/>
                    <w:bidi w:val="0"/>
                    <w:rPr>
                      <w:rFonts w:hint="default" w:ascii="Times New Roman" w:hAnsi="Times New Roman" w:eastAsia="宋体" w:cs="Times New Roman"/>
                      <w:b w:val="0"/>
                      <w:bCs w:val="0"/>
                      <w:color w:val="auto"/>
                      <w:szCs w:val="21"/>
                      <w:vertAlign w:val="baseline"/>
                      <w:lang w:val="en-US" w:eastAsia="zh-CN"/>
                    </w:rPr>
                  </w:pPr>
                  <w:r>
                    <w:rPr>
                      <w:rFonts w:hint="default"/>
                      <w:color w:val="auto"/>
                      <w:lang w:val="en-US" w:eastAsia="zh-CN"/>
                    </w:rPr>
                    <w:t>厂界</w:t>
                  </w:r>
                </w:p>
              </w:tc>
              <w:tc>
                <w:tcPr>
                  <w:tcW w:w="1682" w:type="dxa"/>
                  <w:tcBorders>
                    <w:tl2br w:val="nil"/>
                    <w:tr2bl w:val="nil"/>
                  </w:tcBorders>
                  <w:noWrap w:val="0"/>
                  <w:vAlign w:val="center"/>
                </w:tcPr>
                <w:p w14:paraId="24F469B6">
                  <w:pPr>
                    <w:pStyle w:val="56"/>
                    <w:bidi w:val="0"/>
                    <w:rPr>
                      <w:rFonts w:hint="default" w:ascii="Times New Roman" w:hAnsi="Times New Roman" w:eastAsia="宋体" w:cs="Times New Roman"/>
                      <w:b w:val="0"/>
                      <w:bCs w:val="0"/>
                      <w:color w:val="auto"/>
                      <w:szCs w:val="21"/>
                      <w:vertAlign w:val="baseline"/>
                      <w:lang w:val="en-US" w:eastAsia="zh-CN"/>
                    </w:rPr>
                  </w:pPr>
                  <w:r>
                    <w:rPr>
                      <w:rFonts w:hint="default"/>
                      <w:color w:val="auto"/>
                      <w:lang w:val="en-US" w:eastAsia="zh-CN"/>
                    </w:rPr>
                    <w:t>颗粒物</w:t>
                  </w:r>
                </w:p>
              </w:tc>
              <w:tc>
                <w:tcPr>
                  <w:tcW w:w="644" w:type="dxa"/>
                  <w:tcBorders>
                    <w:tl2br w:val="nil"/>
                    <w:tr2bl w:val="nil"/>
                  </w:tcBorders>
                  <w:noWrap w:val="0"/>
                  <w:vAlign w:val="center"/>
                </w:tcPr>
                <w:p w14:paraId="215173E6">
                  <w:pPr>
                    <w:pStyle w:val="56"/>
                    <w:bidi w:val="0"/>
                    <w:rPr>
                      <w:rFonts w:hint="default" w:ascii="Times New Roman" w:hAnsi="Times New Roman" w:eastAsia="宋体" w:cs="Times New Roman"/>
                      <w:b w:val="0"/>
                      <w:bCs w:val="0"/>
                      <w:color w:val="auto"/>
                      <w:szCs w:val="21"/>
                      <w:vertAlign w:val="baseline"/>
                      <w:lang w:val="en-US" w:eastAsia="zh-CN"/>
                    </w:rPr>
                  </w:pPr>
                  <w:r>
                    <w:rPr>
                      <w:rFonts w:hint="default"/>
                      <w:color w:val="auto"/>
                    </w:rPr>
                    <w:t>1次/</w:t>
                  </w:r>
                  <w:r>
                    <w:rPr>
                      <w:rFonts w:hint="default"/>
                      <w:color w:val="auto"/>
                      <w:lang w:val="en-US" w:eastAsia="zh-CN"/>
                    </w:rPr>
                    <w:t>季度</w:t>
                  </w:r>
                </w:p>
              </w:tc>
              <w:tc>
                <w:tcPr>
                  <w:tcW w:w="908" w:type="dxa"/>
                  <w:tcBorders>
                    <w:tl2br w:val="nil"/>
                    <w:tr2bl w:val="nil"/>
                  </w:tcBorders>
                  <w:noWrap w:val="0"/>
                  <w:vAlign w:val="center"/>
                </w:tcPr>
                <w:p w14:paraId="319F31A2">
                  <w:pPr>
                    <w:pStyle w:val="56"/>
                    <w:bidi w:val="0"/>
                    <w:rPr>
                      <w:rFonts w:hint="default" w:ascii="Times New Roman" w:hAnsi="Times New Roman" w:eastAsia="宋体" w:cs="Times New Roman"/>
                      <w:b w:val="0"/>
                      <w:bCs w:val="0"/>
                      <w:color w:val="FF0000"/>
                      <w:szCs w:val="21"/>
                      <w:vertAlign w:val="baseline"/>
                      <w:lang w:val="en-US" w:eastAsia="zh-CN"/>
                    </w:rPr>
                  </w:pPr>
                  <w:r>
                    <w:rPr>
                      <w:rFonts w:hint="default"/>
                    </w:rPr>
                    <w:t>正常工况</w:t>
                  </w:r>
                </w:p>
              </w:tc>
              <w:tc>
                <w:tcPr>
                  <w:tcW w:w="3652" w:type="dxa"/>
                  <w:tcBorders>
                    <w:tl2br w:val="nil"/>
                    <w:tr2bl w:val="nil"/>
                  </w:tcBorders>
                  <w:noWrap w:val="0"/>
                  <w:vAlign w:val="center"/>
                </w:tcPr>
                <w:p w14:paraId="6BCD7C35">
                  <w:pPr>
                    <w:pStyle w:val="56"/>
                    <w:bidi w:val="0"/>
                    <w:rPr>
                      <w:rFonts w:hint="default" w:ascii="Times New Roman" w:hAnsi="Times New Roman" w:eastAsia="宋体" w:cs="Times New Roman"/>
                      <w:b w:val="0"/>
                      <w:bCs w:val="0"/>
                      <w:color w:val="FF0000"/>
                      <w:szCs w:val="21"/>
                      <w:lang w:val="en-US" w:eastAsia="zh-CN"/>
                    </w:rPr>
                  </w:pPr>
                  <w:r>
                    <w:rPr>
                      <w:rFonts w:hint="default"/>
                      <w:lang w:val="en-US" w:eastAsia="zh-CN"/>
                    </w:rPr>
                    <w:t>《水泥工业大气污染物排放标准》（GB4915-2013）</w:t>
                  </w:r>
                </w:p>
              </w:tc>
            </w:tr>
          </w:tbl>
          <w:p w14:paraId="2514C9B0">
            <w:pPr>
              <w:ind w:firstLine="480"/>
              <w:jc w:val="left"/>
              <w:rPr>
                <w:rFonts w:eastAsiaTheme="minorEastAsia"/>
              </w:rPr>
            </w:pPr>
            <w:r>
              <w:rPr>
                <w:rFonts w:eastAsiaTheme="minorEastAsia"/>
              </w:rPr>
              <w:t>5、卫生环境防护距离</w:t>
            </w:r>
          </w:p>
          <w:p w14:paraId="74BDF25C">
            <w:pPr>
              <w:ind w:firstLine="480"/>
              <w:jc w:val="left"/>
              <w:rPr>
                <w:rFonts w:eastAsiaTheme="minorEastAsia"/>
              </w:rPr>
            </w:pPr>
            <w:r>
              <w:rPr>
                <w:rFonts w:eastAsiaTheme="minorEastAsia"/>
              </w:rPr>
              <w:t>卫生防护距离是指产生有害因素的部门（车间或工段）的边界至居住区边界的最小距离。根据《大气有害物质无组织排放卫生防护距离推导技术导则》（GB/T39499-2020），当目标企业无组织排放存在多种有毒有害污染物时，基于单个污染物的等标排放量计算结果，优先选择等标排放量最大的污染物为企业无组织排放的主要特征大气有害物质，当前两种污染物的等标排放量相差在10%以内时，需要同时选择这两种特征大气有害物质分别计算卫生防护距离初值。等标排放量计算公式如下：</w:t>
            </w:r>
          </w:p>
          <w:p w14:paraId="1ED96554">
            <w:pPr>
              <w:pStyle w:val="25"/>
              <w:ind w:left="0" w:leftChars="0" w:firstLine="0" w:firstLineChars="0"/>
              <w:jc w:val="center"/>
            </w:pPr>
            <w:r>
              <w:rPr>
                <w:rFonts w:hint="eastAsia"/>
                <w:position w:val="-16"/>
              </w:rPr>
              <w:object>
                <v:shape id="_x0000_i1026" o:spt="75" type="#_x0000_t75" style="height:26pt;width:107pt;" o:ole="t" filled="f" o:preferrelative="t" stroked="f" coordsize="21600,21600">
                  <v:path/>
                  <v:fill on="f" focussize="0,0"/>
                  <v:stroke on="f" joinstyle="miter"/>
                  <v:imagedata r:id="rId24" o:title=""/>
                  <o:lock v:ext="edit" aspectratio="t"/>
                  <w10:wrap type="none"/>
                  <w10:anchorlock/>
                </v:shape>
                <o:OLEObject Type="Embed" ProgID="Equation.KSEE3" ShapeID="_x0000_i1026" DrawAspect="Content" ObjectID="_1468075726" r:id="rId23">
                  <o:LockedField>false</o:LockedField>
                </o:OLEObject>
              </w:object>
            </w:r>
          </w:p>
          <w:p w14:paraId="2DFC44AE">
            <w:pPr>
              <w:spacing w:line="360" w:lineRule="auto"/>
              <w:ind w:firstLine="0" w:firstLineChars="0"/>
            </w:pPr>
            <w:r>
              <w:rPr>
                <w:rFonts w:hint="eastAsia"/>
              </w:rPr>
              <w:t>式中：P</w:t>
            </w:r>
            <w:r>
              <w:rPr>
                <w:rFonts w:hint="eastAsia"/>
                <w:vertAlign w:val="subscript"/>
              </w:rPr>
              <w:t>0</w:t>
            </w:r>
            <w:r>
              <w:rPr>
                <w:rFonts w:hint="eastAsia"/>
              </w:rPr>
              <w:t>——污染物等标排放量，m³/h；</w:t>
            </w:r>
          </w:p>
          <w:p w14:paraId="4040864B">
            <w:pPr>
              <w:spacing w:line="360" w:lineRule="auto"/>
              <w:ind w:firstLine="480"/>
            </w:pPr>
            <w:r>
              <w:rPr>
                <w:rFonts w:hint="eastAsia"/>
              </w:rPr>
              <w:t>Qc——污染源排放污染物的小时排放量，kg/h；</w:t>
            </w:r>
          </w:p>
          <w:p w14:paraId="6709AE7F">
            <w:pPr>
              <w:spacing w:line="360" w:lineRule="auto"/>
              <w:ind w:firstLine="480"/>
              <w:rPr>
                <w:rFonts w:hint="eastAsia" w:eastAsia="宋体"/>
                <w:lang w:eastAsia="zh-CN"/>
              </w:rPr>
            </w:pPr>
            <w:r>
              <w:rPr>
                <w:rFonts w:hint="eastAsia"/>
              </w:rPr>
              <w:t>Cm——污染物的环境空气质量浓度标准，mg/m³</w:t>
            </w:r>
            <w:r>
              <w:rPr>
                <w:rFonts w:hint="eastAsia"/>
                <w:lang w:eastAsia="zh-CN"/>
              </w:rPr>
              <w:t>。</w:t>
            </w:r>
          </w:p>
          <w:p w14:paraId="561B5B80">
            <w:pPr>
              <w:widowControl/>
              <w:spacing w:line="360" w:lineRule="auto"/>
              <w:ind w:firstLine="480"/>
              <w:jc w:val="left"/>
              <w:rPr>
                <w:rFonts w:ascii="宋体" w:hAnsi="宋体" w:cs="宋体"/>
                <w:kern w:val="0"/>
                <w:lang w:bidi="ar"/>
              </w:rPr>
            </w:pPr>
            <w:r>
              <w:rPr>
                <w:rFonts w:hint="eastAsia" w:ascii="宋体" w:hAnsi="宋体" w:cs="宋体"/>
                <w:kern w:val="0"/>
                <w:lang w:bidi="ar"/>
              </w:rPr>
              <w:t>大气有害物质的无组织排放量及等标排放量（</w:t>
            </w:r>
            <w:r>
              <w:rPr>
                <w:kern w:val="0"/>
                <w:lang w:bidi="ar"/>
              </w:rPr>
              <w:t>Qc/C</w:t>
            </w:r>
            <w:r>
              <w:rPr>
                <w:kern w:val="0"/>
                <w:sz w:val="15"/>
                <w:szCs w:val="15"/>
                <w:lang w:bidi="ar"/>
              </w:rPr>
              <w:t>m</w:t>
            </w:r>
            <w:r>
              <w:rPr>
                <w:rFonts w:hint="eastAsia" w:ascii="宋体" w:hAnsi="宋体" w:cs="宋体"/>
                <w:kern w:val="0"/>
                <w:lang w:bidi="ar"/>
              </w:rPr>
              <w:t>）如下：</w:t>
            </w:r>
          </w:p>
          <w:p w14:paraId="7CCBC378">
            <w:pPr>
              <w:pStyle w:val="59"/>
              <w:numPr>
                <w:ilvl w:val="0"/>
                <w:numId w:val="0"/>
              </w:numPr>
              <w:tabs>
                <w:tab w:val="left" w:pos="0"/>
              </w:tabs>
              <w:spacing w:line="240" w:lineRule="auto"/>
              <w:ind w:leftChars="0"/>
              <w:jc w:val="center"/>
              <w:rPr>
                <w:b/>
                <w:bCs/>
                <w:sz w:val="21"/>
                <w:szCs w:val="21"/>
              </w:rPr>
            </w:pPr>
            <w:r>
              <w:rPr>
                <w:rFonts w:hint="eastAsia"/>
                <w:b/>
                <w:bCs/>
                <w:sz w:val="21"/>
                <w:szCs w:val="21"/>
                <w:lang w:val="en-US" w:eastAsia="zh-CN"/>
              </w:rPr>
              <w:t xml:space="preserve">表4-6 </w:t>
            </w:r>
            <w:r>
              <w:rPr>
                <w:rFonts w:hint="eastAsia"/>
                <w:b/>
                <w:bCs/>
                <w:sz w:val="21"/>
                <w:szCs w:val="21"/>
              </w:rPr>
              <w:t>车间大气有害物质的无组织排放量及等标排放量对比表</w:t>
            </w:r>
          </w:p>
          <w:tbl>
            <w:tblPr>
              <w:tblStyle w:val="4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6"/>
              <w:gridCol w:w="1844"/>
              <w:gridCol w:w="1464"/>
              <w:gridCol w:w="1416"/>
              <w:gridCol w:w="1682"/>
            </w:tblGrid>
            <w:tr w14:paraId="307C7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pct"/>
                  <w:vAlign w:val="center"/>
                </w:tcPr>
                <w:p w14:paraId="7D8C3D55">
                  <w:pPr>
                    <w:pStyle w:val="56"/>
                    <w:bidi w:val="0"/>
                  </w:pPr>
                  <w:r>
                    <w:rPr>
                      <w:rFonts w:hint="eastAsia"/>
                    </w:rPr>
                    <w:t>污染物</w:t>
                  </w:r>
                </w:p>
              </w:tc>
              <w:tc>
                <w:tcPr>
                  <w:tcW w:w="1097" w:type="pct"/>
                  <w:vAlign w:val="center"/>
                </w:tcPr>
                <w:p w14:paraId="5BD32FC7">
                  <w:pPr>
                    <w:pStyle w:val="56"/>
                    <w:bidi w:val="0"/>
                  </w:pPr>
                  <w:r>
                    <w:rPr>
                      <w:rFonts w:hint="eastAsia"/>
                    </w:rPr>
                    <w:t>单位排放量（</w:t>
                  </w:r>
                  <w:r>
                    <w:t>kg/h</w:t>
                  </w:r>
                  <w:r>
                    <w:rPr>
                      <w:rFonts w:hint="eastAsia"/>
                    </w:rPr>
                    <w:t>）</w:t>
                  </w:r>
                </w:p>
              </w:tc>
              <w:tc>
                <w:tcPr>
                  <w:tcW w:w="871" w:type="pct"/>
                  <w:vAlign w:val="center"/>
                </w:tcPr>
                <w:p w14:paraId="5CDD8E9F">
                  <w:pPr>
                    <w:pStyle w:val="56"/>
                    <w:bidi w:val="0"/>
                  </w:pPr>
                  <w:r>
                    <w:rPr>
                      <w:rFonts w:hint="eastAsia"/>
                    </w:rPr>
                    <w:t>标准限值</w:t>
                  </w:r>
                  <w:r>
                    <w:t>mg/</w:t>
                  </w:r>
                  <w:r>
                    <w:rPr>
                      <w:rFonts w:hint="eastAsia"/>
                    </w:rPr>
                    <w:t>m³</w:t>
                  </w:r>
                </w:p>
              </w:tc>
              <w:tc>
                <w:tcPr>
                  <w:tcW w:w="842" w:type="pct"/>
                  <w:vAlign w:val="center"/>
                </w:tcPr>
                <w:p w14:paraId="1F99BD80">
                  <w:pPr>
                    <w:pStyle w:val="56"/>
                    <w:bidi w:val="0"/>
                    <w:rPr>
                      <w:rFonts w:hint="eastAsia" w:eastAsia="宋体"/>
                      <w:lang w:eastAsia="zh-CN"/>
                    </w:rPr>
                  </w:pPr>
                  <w:r>
                    <w:rPr>
                      <w:rFonts w:hint="eastAsia"/>
                    </w:rPr>
                    <w:t>等标排放量</w:t>
                  </w:r>
                  <w:r>
                    <w:rPr>
                      <w:rFonts w:hint="eastAsia"/>
                      <w:lang w:eastAsia="zh-CN"/>
                    </w:rPr>
                    <w:t>（</w:t>
                  </w:r>
                  <w:r>
                    <w:rPr>
                      <w:rFonts w:hint="eastAsia"/>
                      <w:lang w:val="en-US" w:eastAsia="zh-CN"/>
                    </w:rPr>
                    <w:t>m³/h</w:t>
                  </w:r>
                  <w:r>
                    <w:rPr>
                      <w:rFonts w:hint="eastAsia"/>
                      <w:lang w:eastAsia="zh-CN"/>
                    </w:rPr>
                    <w:t>）</w:t>
                  </w:r>
                </w:p>
              </w:tc>
              <w:tc>
                <w:tcPr>
                  <w:tcW w:w="1000" w:type="pct"/>
                  <w:vAlign w:val="center"/>
                </w:tcPr>
                <w:p w14:paraId="3DD7AAC5">
                  <w:pPr>
                    <w:pStyle w:val="56"/>
                    <w:bidi w:val="0"/>
                    <w:rPr>
                      <w:rFonts w:hint="eastAsia" w:eastAsia="宋体"/>
                      <w:lang w:val="en-US" w:eastAsia="zh-CN"/>
                    </w:rPr>
                  </w:pPr>
                  <w:r>
                    <w:rPr>
                      <w:rFonts w:hint="eastAsia"/>
                      <w:lang w:val="en-US" w:eastAsia="zh-CN"/>
                    </w:rPr>
                    <w:t>污染源</w:t>
                  </w:r>
                </w:p>
              </w:tc>
            </w:tr>
            <w:tr w14:paraId="26D1D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pct"/>
                  <w:shd w:val="clear" w:color="auto" w:fill="auto"/>
                  <w:vAlign w:val="center"/>
                </w:tcPr>
                <w:p w14:paraId="45776F91">
                  <w:pPr>
                    <w:pStyle w:val="56"/>
                    <w:bidi w:val="0"/>
                  </w:pPr>
                  <w:r>
                    <w:rPr>
                      <w:rFonts w:hint="eastAsia"/>
                    </w:rPr>
                    <w:t>颗粒物（以TSP计）</w:t>
                  </w:r>
                </w:p>
              </w:tc>
              <w:tc>
                <w:tcPr>
                  <w:tcW w:w="1097" w:type="pct"/>
                  <w:vAlign w:val="center"/>
                </w:tcPr>
                <w:p w14:paraId="3ADDE268">
                  <w:pPr>
                    <w:pStyle w:val="56"/>
                    <w:bidi w:val="0"/>
                    <w:rPr>
                      <w:rFonts w:hint="default" w:eastAsia="宋体"/>
                      <w:highlight w:val="none"/>
                      <w:lang w:val="en-US" w:eastAsia="zh-CN"/>
                    </w:rPr>
                  </w:pPr>
                  <w:r>
                    <w:rPr>
                      <w:rFonts w:hint="eastAsia"/>
                      <w:lang w:val="en-US" w:eastAsia="zh-CN"/>
                    </w:rPr>
                    <w:t>0.0181</w:t>
                  </w:r>
                </w:p>
              </w:tc>
              <w:tc>
                <w:tcPr>
                  <w:tcW w:w="871" w:type="pct"/>
                  <w:vAlign w:val="center"/>
                </w:tcPr>
                <w:p w14:paraId="731BAC64">
                  <w:pPr>
                    <w:pStyle w:val="56"/>
                    <w:bidi w:val="0"/>
                  </w:pPr>
                  <w:r>
                    <w:rPr>
                      <w:rFonts w:hint="eastAsia"/>
                    </w:rPr>
                    <w:t>0.9</w:t>
                  </w:r>
                </w:p>
              </w:tc>
              <w:tc>
                <w:tcPr>
                  <w:tcW w:w="842" w:type="pct"/>
                  <w:vAlign w:val="center"/>
                </w:tcPr>
                <w:p w14:paraId="3C96B771">
                  <w:pPr>
                    <w:pStyle w:val="56"/>
                    <w:bidi w:val="0"/>
                    <w:rPr>
                      <w:rFonts w:hint="default"/>
                      <w:color w:val="FF0000"/>
                      <w:lang w:val="en-US" w:eastAsia="zh-CN"/>
                    </w:rPr>
                  </w:pPr>
                  <w:r>
                    <w:rPr>
                      <w:rFonts w:hint="eastAsia"/>
                      <w:lang w:val="en-US" w:eastAsia="zh-CN"/>
                    </w:rPr>
                    <w:t>20111</w:t>
                  </w:r>
                </w:p>
              </w:tc>
              <w:tc>
                <w:tcPr>
                  <w:tcW w:w="1000" w:type="pct"/>
                  <w:vAlign w:val="center"/>
                </w:tcPr>
                <w:p w14:paraId="6952D922">
                  <w:pPr>
                    <w:pStyle w:val="56"/>
                    <w:bidi w:val="0"/>
                    <w:rPr>
                      <w:rFonts w:hint="default" w:eastAsia="宋体"/>
                      <w:lang w:val="en-US" w:eastAsia="zh-CN"/>
                    </w:rPr>
                  </w:pPr>
                  <w:r>
                    <w:rPr>
                      <w:rFonts w:hint="eastAsia"/>
                      <w:lang w:val="en-US" w:eastAsia="zh-CN"/>
                    </w:rPr>
                    <w:t>厂区</w:t>
                  </w:r>
                </w:p>
              </w:tc>
            </w:tr>
          </w:tbl>
          <w:p w14:paraId="5AC35B83">
            <w:pPr>
              <w:widowControl/>
              <w:ind w:firstLine="480"/>
              <w:jc w:val="left"/>
            </w:pPr>
            <w:r>
              <w:rPr>
                <w:rFonts w:hint="eastAsia" w:ascii="宋体" w:hAnsi="宋体" w:cs="宋体"/>
                <w:kern w:val="0"/>
                <w:lang w:bidi="ar"/>
              </w:rPr>
              <w:t>本项目</w:t>
            </w:r>
            <w:r>
              <w:rPr>
                <w:rFonts w:hint="eastAsia" w:ascii="宋体" w:hAnsi="宋体" w:cs="宋体"/>
                <w:kern w:val="0"/>
                <w:lang w:val="en-US" w:eastAsia="zh-CN" w:bidi="ar"/>
              </w:rPr>
              <w:t>厂区</w:t>
            </w:r>
            <w:r>
              <w:rPr>
                <w:rFonts w:hint="eastAsia" w:ascii="宋体" w:hAnsi="宋体" w:cs="宋体"/>
                <w:kern w:val="0"/>
                <w:lang w:bidi="ar"/>
              </w:rPr>
              <w:t>最终确定卫生防护距离相关的主要特征大气有害物质为</w:t>
            </w:r>
            <w:r>
              <w:rPr>
                <w:rFonts w:hint="eastAsia"/>
              </w:rPr>
              <w:t>颗粒物</w:t>
            </w:r>
            <w:r>
              <w:rPr>
                <w:rFonts w:hint="eastAsia" w:ascii="宋体" w:hAnsi="宋体" w:cs="宋体"/>
                <w:kern w:val="0"/>
                <w:lang w:bidi="ar"/>
              </w:rPr>
              <w:t>。</w:t>
            </w:r>
          </w:p>
          <w:p w14:paraId="2EB8B066">
            <w:pPr>
              <w:ind w:firstLine="480"/>
            </w:pPr>
            <w:r>
              <w:t>项目采用《大气有害物质无组织排放卫生防护距离推导技术导则》GB/T39499-2020中关于有害气体无组织排放控制与工业企业卫生防护距离标准制定方法的计算公式，计算本项目生产车间需要设置的卫生防护距离。计算公式为：</w:t>
            </w:r>
          </w:p>
          <w:p w14:paraId="6563D5F6">
            <w:pPr>
              <w:spacing w:line="240" w:lineRule="auto"/>
              <w:ind w:firstLine="480"/>
            </w:pPr>
            <w:r>
              <w:rPr>
                <w:kern w:val="18"/>
              </w:rPr>
              <w:object>
                <v:shape id="_x0000_i1027" o:spt="75" type="#_x0000_t75" style="height:32.25pt;width:169.5pt;" o:ole="t" filled="f" o:preferrelative="t" stroked="f" coordsize="21600,21600">
                  <v:path/>
                  <v:fill on="f" focussize="0,0"/>
                  <v:stroke on="f" joinstyle="miter"/>
                  <v:imagedata r:id="rId26" o:title=""/>
                  <o:lock v:ext="edit" aspectratio="t"/>
                  <w10:wrap type="none"/>
                  <w10:anchorlock/>
                </v:shape>
                <o:OLEObject Type="Embed" ProgID="Equations" ShapeID="_x0000_i1027" DrawAspect="Content" ObjectID="_1468075727" r:id="rId25">
                  <o:LockedField>false</o:LockedField>
                </o:OLEObject>
              </w:object>
            </w:r>
          </w:p>
          <w:p w14:paraId="1FC3AE48">
            <w:pPr>
              <w:ind w:firstLine="0" w:firstLineChars="0"/>
            </w:pPr>
            <w:r>
              <w:t>式中：Cm——标准浓度限值，mg/</w:t>
            </w:r>
            <w:r>
              <w:rPr>
                <w:rFonts w:hint="eastAsia"/>
              </w:rPr>
              <w:t>m³</w:t>
            </w:r>
            <w:r>
              <w:t>；</w:t>
            </w:r>
          </w:p>
          <w:p w14:paraId="2334A85C">
            <w:pPr>
              <w:ind w:firstLine="480"/>
            </w:pPr>
            <w:r>
              <w:t>L——工业企业所需卫生防护距离，m；</w:t>
            </w:r>
          </w:p>
          <w:p w14:paraId="6CEF73AC">
            <w:pPr>
              <w:ind w:firstLine="480"/>
            </w:pPr>
            <w:r>
              <w:t>Qc——有害气体无组织排放量，kg/h；</w:t>
            </w:r>
          </w:p>
          <w:p w14:paraId="7ACE14F1">
            <w:pPr>
              <w:ind w:firstLine="480"/>
            </w:pPr>
            <w:r>
              <w:t>r——有害气体无组织排放源所在单元的等效半径，m；</w:t>
            </w:r>
          </w:p>
          <w:p w14:paraId="3FCBDE10">
            <w:pPr>
              <w:ind w:firstLine="480"/>
            </w:pPr>
            <w:r>
              <w:t>A、B、C、D——卫生防护距离计算系数。</w:t>
            </w:r>
          </w:p>
          <w:p w14:paraId="14836BF2">
            <w:pPr>
              <w:ind w:firstLine="480"/>
            </w:pPr>
            <w:r>
              <w:t>根据污染物源强及当地的</w:t>
            </w:r>
            <w:r>
              <w:rPr>
                <w:rFonts w:hint="eastAsia"/>
                <w:lang w:val="en-US" w:eastAsia="zh-CN"/>
              </w:rPr>
              <w:t>近5年</w:t>
            </w:r>
            <w:r>
              <w:t>均风速（</w:t>
            </w:r>
            <w:r>
              <w:rPr>
                <w:rFonts w:hint="eastAsia"/>
              </w:rPr>
              <w:t>1.</w:t>
            </w:r>
            <w:r>
              <w:rPr>
                <w:rFonts w:hint="eastAsia"/>
                <w:lang w:val="en-US" w:eastAsia="zh-CN"/>
              </w:rPr>
              <w:t>7</w:t>
            </w:r>
            <w:r>
              <w:t>m/s），由卫生防护距离计算模式计算得出该拟建项目的卫生防护距离如表</w:t>
            </w:r>
            <w:r>
              <w:rPr>
                <w:rFonts w:hint="eastAsia"/>
              </w:rPr>
              <w:t>4-</w:t>
            </w:r>
            <w:r>
              <w:rPr>
                <w:rFonts w:hint="eastAsia"/>
                <w:lang w:val="en-US" w:eastAsia="zh-CN"/>
              </w:rPr>
              <w:t>7</w:t>
            </w:r>
            <w:r>
              <w:t>。</w:t>
            </w:r>
          </w:p>
          <w:p w14:paraId="379FD5E3">
            <w:pPr>
              <w:pStyle w:val="59"/>
              <w:numPr>
                <w:ilvl w:val="0"/>
                <w:numId w:val="0"/>
              </w:numPr>
              <w:tabs>
                <w:tab w:val="left" w:pos="0"/>
              </w:tabs>
              <w:ind w:leftChars="0"/>
              <w:jc w:val="center"/>
              <w:rPr>
                <w:b/>
                <w:bCs/>
                <w:sz w:val="21"/>
                <w:szCs w:val="21"/>
                <w:lang w:val="zh-CN"/>
              </w:rPr>
            </w:pPr>
            <w:r>
              <w:rPr>
                <w:rFonts w:hint="eastAsia"/>
                <w:b/>
                <w:bCs/>
                <w:sz w:val="21"/>
                <w:szCs w:val="21"/>
                <w:lang w:val="en-US" w:eastAsia="zh-CN"/>
              </w:rPr>
              <w:t>表4-7</w:t>
            </w:r>
            <w:r>
              <w:rPr>
                <w:rFonts w:hint="eastAsia"/>
                <w:b/>
                <w:bCs/>
                <w:sz w:val="21"/>
                <w:szCs w:val="21"/>
                <w:lang w:val="zh-CN"/>
              </w:rPr>
              <w:t>卫生防护距离计算表</w:t>
            </w:r>
          </w:p>
          <w:tbl>
            <w:tblPr>
              <w:tblStyle w:val="41"/>
              <w:tblW w:w="4992"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1" w:type="dxa"/>
                <w:bottom w:w="0" w:type="dxa"/>
                <w:right w:w="11" w:type="dxa"/>
              </w:tblCellMar>
            </w:tblPr>
            <w:tblGrid>
              <w:gridCol w:w="660"/>
              <w:gridCol w:w="1015"/>
              <w:gridCol w:w="818"/>
              <w:gridCol w:w="709"/>
              <w:gridCol w:w="1154"/>
              <w:gridCol w:w="694"/>
              <w:gridCol w:w="1042"/>
              <w:gridCol w:w="1405"/>
              <w:gridCol w:w="897"/>
            </w:tblGrid>
            <w:tr w14:paraId="72E2AFA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1" w:type="dxa"/>
                  <w:bottom w:w="0" w:type="dxa"/>
                  <w:right w:w="11" w:type="dxa"/>
                </w:tblCellMar>
              </w:tblPrEx>
              <w:tc>
                <w:tcPr>
                  <w:tcW w:w="393" w:type="pct"/>
                  <w:tcBorders>
                    <w:tl2br w:val="nil"/>
                    <w:tr2bl w:val="nil"/>
                  </w:tcBorders>
                  <w:vAlign w:val="center"/>
                </w:tcPr>
                <w:p w14:paraId="7F9C87BB">
                  <w:pPr>
                    <w:pStyle w:val="56"/>
                    <w:bidi w:val="0"/>
                    <w:rPr>
                      <w:rFonts w:hint="default" w:eastAsia="宋体"/>
                      <w:lang w:val="en-US" w:eastAsia="zh-CN"/>
                    </w:rPr>
                  </w:pPr>
                  <w:r>
                    <w:rPr>
                      <w:rFonts w:hint="eastAsia"/>
                      <w:lang w:val="en-US" w:eastAsia="zh-CN"/>
                    </w:rPr>
                    <w:t>污染源</w:t>
                  </w:r>
                </w:p>
              </w:tc>
              <w:tc>
                <w:tcPr>
                  <w:tcW w:w="604" w:type="pct"/>
                  <w:tcBorders>
                    <w:tl2br w:val="nil"/>
                    <w:tr2bl w:val="nil"/>
                  </w:tcBorders>
                  <w:vAlign w:val="center"/>
                </w:tcPr>
                <w:p w14:paraId="1014F0D8">
                  <w:pPr>
                    <w:pStyle w:val="56"/>
                    <w:bidi w:val="0"/>
                  </w:pPr>
                  <w:r>
                    <w:t>名称</w:t>
                  </w:r>
                </w:p>
              </w:tc>
              <w:tc>
                <w:tcPr>
                  <w:tcW w:w="487" w:type="pct"/>
                  <w:tcBorders>
                    <w:tl2br w:val="nil"/>
                    <w:tr2bl w:val="nil"/>
                  </w:tcBorders>
                  <w:vAlign w:val="center"/>
                </w:tcPr>
                <w:p w14:paraId="6AD6339D">
                  <w:pPr>
                    <w:pStyle w:val="56"/>
                    <w:bidi w:val="0"/>
                  </w:pPr>
                  <w:r>
                    <w:t>排放量</w:t>
                  </w:r>
                </w:p>
                <w:p w14:paraId="60AFB44B">
                  <w:pPr>
                    <w:pStyle w:val="56"/>
                    <w:bidi w:val="0"/>
                  </w:pPr>
                  <w:r>
                    <w:t>（kg/h）</w:t>
                  </w:r>
                </w:p>
              </w:tc>
              <w:tc>
                <w:tcPr>
                  <w:tcW w:w="422" w:type="pct"/>
                  <w:tcBorders>
                    <w:tl2br w:val="nil"/>
                    <w:tr2bl w:val="nil"/>
                  </w:tcBorders>
                  <w:vAlign w:val="center"/>
                </w:tcPr>
                <w:p w14:paraId="7D7438EA">
                  <w:pPr>
                    <w:pStyle w:val="56"/>
                    <w:bidi w:val="0"/>
                  </w:pPr>
                  <w:r>
                    <w:t>面源长度</w:t>
                  </w:r>
                </w:p>
                <w:p w14:paraId="7382B7CD">
                  <w:pPr>
                    <w:pStyle w:val="56"/>
                    <w:bidi w:val="0"/>
                  </w:pPr>
                  <w:r>
                    <w:t>（m）</w:t>
                  </w:r>
                </w:p>
              </w:tc>
              <w:tc>
                <w:tcPr>
                  <w:tcW w:w="687" w:type="pct"/>
                  <w:tcBorders>
                    <w:tl2br w:val="nil"/>
                    <w:tr2bl w:val="nil"/>
                  </w:tcBorders>
                  <w:vAlign w:val="center"/>
                </w:tcPr>
                <w:p w14:paraId="1B3F82E9">
                  <w:pPr>
                    <w:pStyle w:val="56"/>
                    <w:bidi w:val="0"/>
                  </w:pPr>
                  <w:r>
                    <w:t>面源宽度</w:t>
                  </w:r>
                </w:p>
                <w:p w14:paraId="219CDE62">
                  <w:pPr>
                    <w:pStyle w:val="56"/>
                    <w:bidi w:val="0"/>
                  </w:pPr>
                  <w:r>
                    <w:t>（m）</w:t>
                  </w:r>
                </w:p>
              </w:tc>
              <w:tc>
                <w:tcPr>
                  <w:tcW w:w="413" w:type="pct"/>
                  <w:tcBorders>
                    <w:tl2br w:val="nil"/>
                    <w:tr2bl w:val="nil"/>
                  </w:tcBorders>
                  <w:vAlign w:val="center"/>
                </w:tcPr>
                <w:p w14:paraId="3FA88AD4">
                  <w:pPr>
                    <w:pStyle w:val="56"/>
                    <w:bidi w:val="0"/>
                  </w:pPr>
                  <w:r>
                    <w:t>面源高度</w:t>
                  </w:r>
                </w:p>
                <w:p w14:paraId="31D78E0A">
                  <w:pPr>
                    <w:pStyle w:val="56"/>
                    <w:bidi w:val="0"/>
                  </w:pPr>
                  <w:r>
                    <w:t>（m）</w:t>
                  </w:r>
                </w:p>
              </w:tc>
              <w:tc>
                <w:tcPr>
                  <w:tcW w:w="620" w:type="pct"/>
                  <w:tcBorders>
                    <w:tl2br w:val="nil"/>
                    <w:tr2bl w:val="nil"/>
                  </w:tcBorders>
                  <w:vAlign w:val="center"/>
                </w:tcPr>
                <w:p w14:paraId="18808FA3">
                  <w:pPr>
                    <w:pStyle w:val="56"/>
                    <w:bidi w:val="0"/>
                  </w:pPr>
                  <w:r>
                    <w:t>标准浓度限制</w:t>
                  </w:r>
                </w:p>
                <w:p w14:paraId="61BB5DE4">
                  <w:pPr>
                    <w:pStyle w:val="56"/>
                    <w:bidi w:val="0"/>
                  </w:pPr>
                  <w:r>
                    <w:t>（mg/</w:t>
                  </w:r>
                  <w:r>
                    <w:rPr>
                      <w:rFonts w:hint="eastAsia"/>
                    </w:rPr>
                    <w:t>m³</w:t>
                  </w:r>
                  <w:r>
                    <w:t>）</w:t>
                  </w:r>
                </w:p>
              </w:tc>
              <w:tc>
                <w:tcPr>
                  <w:tcW w:w="836" w:type="pct"/>
                  <w:tcBorders>
                    <w:tl2br w:val="nil"/>
                    <w:tr2bl w:val="nil"/>
                  </w:tcBorders>
                  <w:vAlign w:val="center"/>
                </w:tcPr>
                <w:p w14:paraId="76C10377">
                  <w:pPr>
                    <w:pStyle w:val="56"/>
                    <w:bidi w:val="0"/>
                  </w:pPr>
                  <w:r>
                    <w:t>卫生防护</w:t>
                  </w:r>
                </w:p>
                <w:p w14:paraId="28641299">
                  <w:pPr>
                    <w:pStyle w:val="56"/>
                    <w:bidi w:val="0"/>
                  </w:pPr>
                  <w:r>
                    <w:t>距离</w:t>
                  </w:r>
                  <w:r>
                    <w:rPr>
                      <w:rFonts w:hint="eastAsia"/>
                    </w:rPr>
                    <w:t>计算值</w:t>
                  </w:r>
                  <w:r>
                    <w:t>（m）</w:t>
                  </w:r>
                </w:p>
              </w:tc>
              <w:tc>
                <w:tcPr>
                  <w:tcW w:w="533" w:type="pct"/>
                  <w:tcBorders>
                    <w:tl2br w:val="nil"/>
                    <w:tr2bl w:val="nil"/>
                  </w:tcBorders>
                  <w:vAlign w:val="center"/>
                </w:tcPr>
                <w:p w14:paraId="11BF3851">
                  <w:pPr>
                    <w:pStyle w:val="56"/>
                    <w:bidi w:val="0"/>
                  </w:pPr>
                  <w:r>
                    <w:rPr>
                      <w:rFonts w:hint="eastAsia"/>
                    </w:rPr>
                    <w:t>卫生防护距离（m）</w:t>
                  </w:r>
                </w:p>
              </w:tc>
            </w:tr>
            <w:tr w14:paraId="4309AB2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1" w:type="dxa"/>
                  <w:bottom w:w="0" w:type="dxa"/>
                  <w:right w:w="11" w:type="dxa"/>
                </w:tblCellMar>
              </w:tblPrEx>
              <w:trPr>
                <w:trHeight w:val="340" w:hRule="atLeast"/>
              </w:trPr>
              <w:tc>
                <w:tcPr>
                  <w:tcW w:w="393" w:type="pct"/>
                  <w:tcBorders>
                    <w:tl2br w:val="nil"/>
                    <w:tr2bl w:val="nil"/>
                  </w:tcBorders>
                  <w:vAlign w:val="center"/>
                </w:tcPr>
                <w:p w14:paraId="144F6C96">
                  <w:pPr>
                    <w:pStyle w:val="56"/>
                    <w:bidi w:val="0"/>
                    <w:rPr>
                      <w:rFonts w:hint="eastAsia" w:eastAsia="宋体"/>
                      <w:lang w:val="en-US" w:eastAsia="zh-CN"/>
                    </w:rPr>
                  </w:pPr>
                  <w:r>
                    <w:rPr>
                      <w:rFonts w:hint="eastAsia"/>
                      <w:lang w:val="en-US" w:eastAsia="zh-CN"/>
                    </w:rPr>
                    <w:t>厂区</w:t>
                  </w:r>
                </w:p>
              </w:tc>
              <w:tc>
                <w:tcPr>
                  <w:tcW w:w="604" w:type="pct"/>
                  <w:tcBorders>
                    <w:tl2br w:val="nil"/>
                    <w:tr2bl w:val="nil"/>
                  </w:tcBorders>
                  <w:vAlign w:val="center"/>
                </w:tcPr>
                <w:p w14:paraId="4ADF073F">
                  <w:pPr>
                    <w:pStyle w:val="56"/>
                    <w:bidi w:val="0"/>
                  </w:pPr>
                  <w:r>
                    <w:rPr>
                      <w:rFonts w:hint="eastAsia"/>
                    </w:rPr>
                    <w:t>颗粒物</w:t>
                  </w:r>
                </w:p>
              </w:tc>
              <w:tc>
                <w:tcPr>
                  <w:tcW w:w="487" w:type="pct"/>
                  <w:tcBorders>
                    <w:tl2br w:val="nil"/>
                    <w:tr2bl w:val="nil"/>
                  </w:tcBorders>
                  <w:vAlign w:val="center"/>
                </w:tcPr>
                <w:p w14:paraId="02F74011">
                  <w:pPr>
                    <w:pStyle w:val="56"/>
                    <w:bidi w:val="0"/>
                    <w:rPr>
                      <w:rFonts w:hint="default" w:eastAsia="宋体"/>
                      <w:lang w:val="en-US" w:eastAsia="zh-CN"/>
                    </w:rPr>
                  </w:pPr>
                  <w:r>
                    <w:rPr>
                      <w:rFonts w:hint="eastAsia"/>
                      <w:lang w:val="en-US" w:eastAsia="zh-CN"/>
                    </w:rPr>
                    <w:t>0.0181</w:t>
                  </w:r>
                </w:p>
              </w:tc>
              <w:tc>
                <w:tcPr>
                  <w:tcW w:w="422" w:type="pct"/>
                  <w:tcBorders>
                    <w:tl2br w:val="nil"/>
                    <w:tr2bl w:val="nil"/>
                  </w:tcBorders>
                  <w:shd w:val="clear" w:color="auto" w:fill="auto"/>
                  <w:vAlign w:val="center"/>
                </w:tcPr>
                <w:p w14:paraId="1132D183">
                  <w:pPr>
                    <w:pStyle w:val="56"/>
                    <w:bidi w:val="0"/>
                    <w:rPr>
                      <w:rFonts w:hint="default" w:eastAsia="宋体"/>
                      <w:lang w:val="en-US" w:eastAsia="zh-CN"/>
                    </w:rPr>
                  </w:pPr>
                  <w:r>
                    <w:rPr>
                      <w:rFonts w:hint="eastAsia"/>
                      <w:lang w:val="en-US" w:eastAsia="zh-CN"/>
                    </w:rPr>
                    <w:t>211</w:t>
                  </w:r>
                </w:p>
              </w:tc>
              <w:tc>
                <w:tcPr>
                  <w:tcW w:w="687" w:type="pct"/>
                  <w:tcBorders>
                    <w:tl2br w:val="nil"/>
                    <w:tr2bl w:val="nil"/>
                  </w:tcBorders>
                  <w:shd w:val="clear" w:color="auto" w:fill="auto"/>
                  <w:vAlign w:val="center"/>
                </w:tcPr>
                <w:p w14:paraId="107E9356">
                  <w:pPr>
                    <w:pStyle w:val="56"/>
                    <w:bidi w:val="0"/>
                    <w:rPr>
                      <w:rFonts w:hint="default" w:eastAsia="宋体"/>
                      <w:lang w:val="en-US" w:eastAsia="zh-CN"/>
                    </w:rPr>
                  </w:pPr>
                  <w:r>
                    <w:rPr>
                      <w:rFonts w:hint="eastAsia"/>
                      <w:lang w:val="en-US" w:eastAsia="zh-CN"/>
                    </w:rPr>
                    <w:t>136</w:t>
                  </w:r>
                </w:p>
              </w:tc>
              <w:tc>
                <w:tcPr>
                  <w:tcW w:w="413" w:type="pct"/>
                  <w:tcBorders>
                    <w:tl2br w:val="nil"/>
                    <w:tr2bl w:val="nil"/>
                  </w:tcBorders>
                  <w:shd w:val="clear" w:color="auto" w:fill="auto"/>
                  <w:vAlign w:val="center"/>
                </w:tcPr>
                <w:p w14:paraId="56EBE2CA">
                  <w:pPr>
                    <w:pStyle w:val="56"/>
                    <w:bidi w:val="0"/>
                    <w:rPr>
                      <w:rFonts w:hint="default" w:eastAsia="宋体"/>
                      <w:lang w:val="en-US" w:eastAsia="zh-CN"/>
                    </w:rPr>
                  </w:pPr>
                  <w:r>
                    <w:rPr>
                      <w:rFonts w:hint="eastAsia"/>
                      <w:lang w:val="en-US" w:eastAsia="zh-CN"/>
                    </w:rPr>
                    <w:t>9.25</w:t>
                  </w:r>
                </w:p>
              </w:tc>
              <w:tc>
                <w:tcPr>
                  <w:tcW w:w="620" w:type="pct"/>
                  <w:tcBorders>
                    <w:tl2br w:val="nil"/>
                    <w:tr2bl w:val="nil"/>
                  </w:tcBorders>
                  <w:vAlign w:val="center"/>
                </w:tcPr>
                <w:p w14:paraId="7A519E6E">
                  <w:pPr>
                    <w:pStyle w:val="56"/>
                    <w:bidi w:val="0"/>
                  </w:pPr>
                  <w:r>
                    <w:rPr>
                      <w:rFonts w:hint="eastAsia"/>
                    </w:rPr>
                    <w:t>0.9</w:t>
                  </w:r>
                </w:p>
              </w:tc>
              <w:tc>
                <w:tcPr>
                  <w:tcW w:w="836" w:type="pct"/>
                  <w:tcBorders>
                    <w:tl2br w:val="nil"/>
                    <w:tr2bl w:val="nil"/>
                  </w:tcBorders>
                  <w:vAlign w:val="center"/>
                </w:tcPr>
                <w:p w14:paraId="03AB5150">
                  <w:pPr>
                    <w:pStyle w:val="56"/>
                    <w:bidi w:val="0"/>
                    <w:rPr>
                      <w:rFonts w:hint="default" w:eastAsia="宋体"/>
                      <w:color w:val="FF0000"/>
                      <w:lang w:val="en-US" w:eastAsia="zh-CN"/>
                    </w:rPr>
                  </w:pPr>
                  <w:r>
                    <w:rPr>
                      <w:rFonts w:hint="eastAsia"/>
                      <w:lang w:val="en-US" w:eastAsia="zh-CN"/>
                    </w:rPr>
                    <w:t>0.102</w:t>
                  </w:r>
                </w:p>
              </w:tc>
              <w:tc>
                <w:tcPr>
                  <w:tcW w:w="533" w:type="pct"/>
                  <w:tcBorders>
                    <w:tl2br w:val="nil"/>
                    <w:tr2bl w:val="nil"/>
                  </w:tcBorders>
                  <w:vAlign w:val="center"/>
                </w:tcPr>
                <w:p w14:paraId="3DA77124">
                  <w:pPr>
                    <w:pStyle w:val="56"/>
                    <w:bidi w:val="0"/>
                    <w:rPr>
                      <w:rFonts w:hint="default" w:eastAsia="宋体"/>
                      <w:color w:val="FF0000"/>
                      <w:lang w:val="en-US" w:eastAsia="zh-CN"/>
                    </w:rPr>
                  </w:pPr>
                  <w:r>
                    <w:rPr>
                      <w:rFonts w:hint="eastAsia"/>
                      <w:lang w:val="en-US" w:eastAsia="zh-CN"/>
                    </w:rPr>
                    <w:t>50</w:t>
                  </w:r>
                </w:p>
              </w:tc>
            </w:tr>
          </w:tbl>
          <w:p w14:paraId="0B879948">
            <w:pPr>
              <w:spacing w:line="240" w:lineRule="auto"/>
              <w:ind w:firstLine="0" w:firstLineChars="0"/>
              <w:jc w:val="center"/>
            </w:pPr>
            <w:r>
              <w:drawing>
                <wp:inline distT="0" distB="0" distL="114300" distR="114300">
                  <wp:extent cx="5332730" cy="3604260"/>
                  <wp:effectExtent l="0" t="0" r="1270" b="7620"/>
                  <wp:docPr id="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pic:cNvPicPr>
                            <a:picLocks noChangeAspect="1"/>
                          </pic:cNvPicPr>
                        </pic:nvPicPr>
                        <pic:blipFill>
                          <a:blip r:embed="rId27"/>
                          <a:stretch>
                            <a:fillRect/>
                          </a:stretch>
                        </pic:blipFill>
                        <pic:spPr>
                          <a:xfrm>
                            <a:off x="0" y="0"/>
                            <a:ext cx="5332730" cy="3604260"/>
                          </a:xfrm>
                          <a:prstGeom prst="rect">
                            <a:avLst/>
                          </a:prstGeom>
                          <a:noFill/>
                          <a:ln>
                            <a:noFill/>
                          </a:ln>
                        </pic:spPr>
                      </pic:pic>
                    </a:graphicData>
                  </a:graphic>
                </wp:inline>
              </w:drawing>
            </w:r>
          </w:p>
          <w:p w14:paraId="14F73E9D">
            <w:pPr>
              <w:pStyle w:val="74"/>
              <w:jc w:val="center"/>
              <w:rPr>
                <w:b/>
                <w:color w:val="auto"/>
                <w:sz w:val="21"/>
                <w:szCs w:val="18"/>
              </w:rPr>
            </w:pPr>
            <w:r>
              <w:rPr>
                <w:rFonts w:hint="eastAsia"/>
                <w:b/>
                <w:color w:val="auto"/>
                <w:sz w:val="21"/>
                <w:szCs w:val="18"/>
                <w:lang w:val="en-US" w:eastAsia="zh-CN"/>
              </w:rPr>
              <w:t xml:space="preserve">图4-1 </w:t>
            </w:r>
            <w:r>
              <w:rPr>
                <w:b/>
                <w:color w:val="auto"/>
                <w:sz w:val="21"/>
                <w:szCs w:val="18"/>
              </w:rPr>
              <w:t>卫生防护距离计算结果</w:t>
            </w:r>
          </w:p>
          <w:p w14:paraId="6E963507">
            <w:pPr>
              <w:bidi w:val="0"/>
            </w:pPr>
            <w:r>
              <w:rPr>
                <w:rFonts w:hint="eastAsia"/>
                <w:lang w:val="en-US" w:eastAsia="zh-CN"/>
              </w:rPr>
              <w:t>经计算厂区需设置50m卫生防护距离</w:t>
            </w:r>
            <w:r>
              <w:t>。距离本项目最近的敏感点位于项目厂界西</w:t>
            </w:r>
            <w:r>
              <w:rPr>
                <w:rFonts w:hint="eastAsia"/>
                <w:lang w:val="en-US" w:eastAsia="zh-CN"/>
              </w:rPr>
              <w:t>北477</w:t>
            </w:r>
            <w:r>
              <w:t>m处的</w:t>
            </w:r>
            <w:r>
              <w:rPr>
                <w:rFonts w:hint="eastAsia"/>
                <w:lang w:val="en-US" w:eastAsia="zh-CN"/>
              </w:rPr>
              <w:t>衫林村</w:t>
            </w:r>
            <w:r>
              <w:t>，不在卫生防护距离范围内，卫生防护距离范围内无其它敏感点，满足卫生防护距离要求。</w:t>
            </w:r>
          </w:p>
          <w:p w14:paraId="531E128D">
            <w:pPr>
              <w:bidi w:val="0"/>
              <w:rPr>
                <w:rFonts w:hint="eastAsia" w:eastAsia="宋体"/>
                <w:lang w:val="en-US" w:eastAsia="zh-CN"/>
              </w:rPr>
            </w:pPr>
            <w:r>
              <w:rPr>
                <w:rFonts w:hint="eastAsia" w:eastAsia="宋体"/>
                <w:lang w:val="en-US" w:eastAsia="zh-CN"/>
              </w:rPr>
              <w:t>本次评价要求项目建设单位不得随便改变厂区内布局，无组织排放源布局应满足卫生防护距离的要求。同时，本环评要求在卫生防护距离范围内不得新建居民住宅、学校、医院等环境敏感目标。</w:t>
            </w:r>
          </w:p>
          <w:p w14:paraId="7C68545D">
            <w:pPr>
              <w:keepNext/>
              <w:keepLines/>
              <w:numPr>
                <w:ilvl w:val="3"/>
                <w:numId w:val="0"/>
              </w:numPr>
              <w:tabs>
                <w:tab w:val="left" w:pos="1048"/>
              </w:tabs>
              <w:spacing w:line="360" w:lineRule="auto"/>
              <w:jc w:val="left"/>
            </w:pPr>
          </w:p>
        </w:tc>
      </w:tr>
    </w:tbl>
    <w:p w14:paraId="2A358472">
      <w:pPr>
        <w:pStyle w:val="8"/>
        <w:sectPr>
          <w:pgSz w:w="11907" w:h="16840"/>
          <w:pgMar w:top="1440" w:right="1531" w:bottom="1440" w:left="1531" w:header="851" w:footer="851" w:gutter="0"/>
          <w:pgBorders>
            <w:top w:val="none" w:sz="0" w:space="0"/>
            <w:left w:val="none" w:sz="0" w:space="0"/>
            <w:bottom w:val="none" w:sz="0" w:space="0"/>
            <w:right w:val="none" w:sz="0" w:space="0"/>
          </w:pgBorders>
          <w:cols w:space="720" w:num="1"/>
          <w:docGrid w:linePitch="312" w:charSpace="0"/>
        </w:sectPr>
      </w:pPr>
    </w:p>
    <w:tbl>
      <w:tblPr>
        <w:tblStyle w:val="4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
        <w:gridCol w:w="8167"/>
      </w:tblGrid>
      <w:tr w14:paraId="182C2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3" w:hRule="atLeast"/>
          <w:jc w:val="center"/>
        </w:trPr>
        <w:tc>
          <w:tcPr>
            <w:tcW w:w="208" w:type="pct"/>
            <w:vAlign w:val="center"/>
          </w:tcPr>
          <w:p w14:paraId="208AA109">
            <w:pPr>
              <w:ind w:firstLine="0" w:firstLineChars="0"/>
              <w:jc w:val="center"/>
              <w:rPr>
                <w:rFonts w:ascii="宋体" w:hAnsi="宋体" w:cs="宋体"/>
                <w:b/>
              </w:rPr>
            </w:pPr>
            <w:r>
              <w:rPr>
                <w:rFonts w:hint="eastAsia" w:ascii="宋体" w:hAnsi="宋体" w:cs="宋体"/>
                <w:b/>
              </w:rPr>
              <w:t>运</w:t>
            </w:r>
          </w:p>
          <w:p w14:paraId="3A3FE748">
            <w:pPr>
              <w:ind w:firstLine="0" w:firstLineChars="0"/>
              <w:jc w:val="center"/>
              <w:rPr>
                <w:rFonts w:ascii="宋体" w:hAnsi="宋体" w:cs="宋体"/>
                <w:b/>
              </w:rPr>
            </w:pPr>
            <w:r>
              <w:rPr>
                <w:rFonts w:hint="eastAsia" w:ascii="宋体" w:hAnsi="宋体" w:cs="宋体"/>
                <w:b/>
              </w:rPr>
              <w:t>营</w:t>
            </w:r>
          </w:p>
          <w:p w14:paraId="54BF255F">
            <w:pPr>
              <w:ind w:firstLine="0" w:firstLineChars="0"/>
              <w:jc w:val="center"/>
              <w:rPr>
                <w:rFonts w:ascii="宋体" w:hAnsi="宋体" w:cs="宋体"/>
                <w:b/>
              </w:rPr>
            </w:pPr>
            <w:r>
              <w:rPr>
                <w:rFonts w:hint="eastAsia" w:ascii="宋体" w:hAnsi="宋体" w:cs="宋体"/>
                <w:b/>
              </w:rPr>
              <w:t>期</w:t>
            </w:r>
          </w:p>
          <w:p w14:paraId="0785E49E">
            <w:pPr>
              <w:ind w:firstLine="0" w:firstLineChars="0"/>
              <w:jc w:val="center"/>
              <w:rPr>
                <w:rFonts w:ascii="宋体" w:hAnsi="宋体" w:cs="宋体"/>
                <w:b/>
              </w:rPr>
            </w:pPr>
            <w:r>
              <w:rPr>
                <w:rFonts w:hint="eastAsia" w:ascii="宋体" w:hAnsi="宋体" w:cs="宋体"/>
                <w:b/>
              </w:rPr>
              <w:t>环</w:t>
            </w:r>
          </w:p>
          <w:p w14:paraId="002BC507">
            <w:pPr>
              <w:ind w:firstLine="0" w:firstLineChars="0"/>
              <w:jc w:val="center"/>
              <w:rPr>
                <w:rFonts w:ascii="宋体" w:hAnsi="宋体" w:cs="宋体"/>
                <w:b/>
              </w:rPr>
            </w:pPr>
            <w:r>
              <w:rPr>
                <w:rFonts w:hint="eastAsia" w:ascii="宋体" w:hAnsi="宋体" w:cs="宋体"/>
                <w:b/>
              </w:rPr>
              <w:t>境</w:t>
            </w:r>
          </w:p>
          <w:p w14:paraId="709AA89E">
            <w:pPr>
              <w:ind w:firstLine="0" w:firstLineChars="0"/>
              <w:jc w:val="center"/>
              <w:rPr>
                <w:rFonts w:ascii="宋体" w:hAnsi="宋体" w:cs="宋体"/>
                <w:b/>
              </w:rPr>
            </w:pPr>
            <w:r>
              <w:rPr>
                <w:rFonts w:hint="eastAsia" w:ascii="宋体" w:hAnsi="宋体" w:cs="宋体"/>
                <w:b/>
              </w:rPr>
              <w:t>影</w:t>
            </w:r>
          </w:p>
          <w:p w14:paraId="25947CD2">
            <w:pPr>
              <w:ind w:firstLine="0" w:firstLineChars="0"/>
              <w:jc w:val="center"/>
              <w:rPr>
                <w:rFonts w:ascii="宋体" w:hAnsi="宋体" w:cs="宋体"/>
                <w:b/>
              </w:rPr>
            </w:pPr>
            <w:r>
              <w:rPr>
                <w:rFonts w:hint="eastAsia" w:ascii="宋体" w:hAnsi="宋体" w:cs="宋体"/>
                <w:b/>
              </w:rPr>
              <w:t>响</w:t>
            </w:r>
          </w:p>
          <w:p w14:paraId="54C120C1">
            <w:pPr>
              <w:ind w:firstLine="0" w:firstLineChars="0"/>
              <w:jc w:val="center"/>
              <w:rPr>
                <w:rFonts w:ascii="宋体" w:hAnsi="宋体" w:cs="宋体"/>
                <w:b/>
              </w:rPr>
            </w:pPr>
            <w:r>
              <w:rPr>
                <w:rFonts w:hint="eastAsia" w:ascii="宋体" w:hAnsi="宋体" w:cs="宋体"/>
                <w:b/>
              </w:rPr>
              <w:t>和</w:t>
            </w:r>
          </w:p>
          <w:p w14:paraId="4B8CCFD7">
            <w:pPr>
              <w:ind w:firstLine="0" w:firstLineChars="0"/>
              <w:jc w:val="center"/>
              <w:rPr>
                <w:rFonts w:ascii="宋体" w:hAnsi="宋体" w:cs="宋体"/>
                <w:b/>
              </w:rPr>
            </w:pPr>
            <w:r>
              <w:rPr>
                <w:rFonts w:hint="eastAsia" w:ascii="宋体" w:hAnsi="宋体" w:cs="宋体"/>
                <w:b/>
              </w:rPr>
              <w:t>保</w:t>
            </w:r>
          </w:p>
          <w:p w14:paraId="4E08A8CE">
            <w:pPr>
              <w:ind w:firstLine="0" w:firstLineChars="0"/>
              <w:jc w:val="center"/>
              <w:rPr>
                <w:rFonts w:ascii="宋体" w:hAnsi="宋体" w:cs="宋体"/>
                <w:b/>
              </w:rPr>
            </w:pPr>
            <w:r>
              <w:rPr>
                <w:rFonts w:hint="eastAsia" w:ascii="宋体" w:hAnsi="宋体" w:cs="宋体"/>
                <w:b/>
              </w:rPr>
              <w:t>护</w:t>
            </w:r>
          </w:p>
          <w:p w14:paraId="2AC7B837">
            <w:pPr>
              <w:ind w:firstLine="0" w:firstLineChars="0"/>
              <w:jc w:val="center"/>
            </w:pPr>
            <w:r>
              <w:rPr>
                <w:rFonts w:hint="eastAsia" w:ascii="宋体" w:hAnsi="宋体" w:cs="宋体"/>
                <w:b/>
              </w:rPr>
              <w:t>措施</w:t>
            </w:r>
          </w:p>
        </w:tc>
        <w:tc>
          <w:tcPr>
            <w:tcW w:w="4791" w:type="pct"/>
          </w:tcPr>
          <w:p w14:paraId="1A465341">
            <w:pPr>
              <w:autoSpaceDE w:val="0"/>
              <w:autoSpaceDN w:val="0"/>
              <w:spacing w:line="360" w:lineRule="auto"/>
              <w:ind w:firstLine="482"/>
              <w:rPr>
                <w:b/>
                <w:bCs/>
              </w:rPr>
            </w:pPr>
            <w:r>
              <w:rPr>
                <w:rFonts w:hint="eastAsia"/>
                <w:b/>
                <w:bCs/>
                <w:lang w:val="en-US" w:eastAsia="zh-CN"/>
              </w:rPr>
              <w:t>二</w:t>
            </w:r>
            <w:r>
              <w:rPr>
                <w:b/>
                <w:bCs/>
              </w:rPr>
              <w:t>、废水</w:t>
            </w:r>
          </w:p>
          <w:p w14:paraId="6A6F211C">
            <w:pPr>
              <w:autoSpaceDE w:val="0"/>
              <w:autoSpaceDN w:val="0"/>
              <w:spacing w:line="360" w:lineRule="auto"/>
              <w:ind w:firstLine="480"/>
            </w:pPr>
            <w:r>
              <w:rPr>
                <w:rFonts w:hint="eastAsia"/>
                <w:lang w:val="en-US" w:eastAsia="zh-CN"/>
              </w:rPr>
              <w:t>1、</w:t>
            </w:r>
            <w:r>
              <w:rPr>
                <w:rFonts w:hint="eastAsia"/>
              </w:rPr>
              <w:t>废水污染源情况</w:t>
            </w:r>
          </w:p>
          <w:p w14:paraId="724E9CD1">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rFonts w:hint="eastAsia"/>
                <w:b/>
                <w:bCs w:val="0"/>
                <w:sz w:val="24"/>
                <w:szCs w:val="24"/>
              </w:rPr>
            </w:pPr>
            <w:r>
              <w:rPr>
                <w:rFonts w:hint="eastAsia"/>
                <w:b/>
                <w:bCs w:val="0"/>
                <w:sz w:val="24"/>
                <w:szCs w:val="24"/>
                <w:lang w:val="en-US" w:eastAsia="zh-CN"/>
              </w:rPr>
              <w:t>①</w:t>
            </w:r>
            <w:r>
              <w:rPr>
                <w:rFonts w:hint="eastAsia"/>
                <w:b/>
                <w:bCs w:val="0"/>
                <w:sz w:val="24"/>
                <w:szCs w:val="24"/>
              </w:rPr>
              <w:t>生活用水</w:t>
            </w:r>
          </w:p>
          <w:p w14:paraId="442D500B">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rFonts w:hint="eastAsia" w:ascii="Times New Roman" w:hAnsi="Times New Roman" w:eastAsia="宋体" w:cs="Times New Roman"/>
                <w:color w:val="auto"/>
                <w:sz w:val="24"/>
                <w:lang w:eastAsia="zh-CN"/>
              </w:rPr>
            </w:pPr>
            <w:r>
              <w:rPr>
                <w:rFonts w:hint="eastAsia"/>
                <w:color w:val="auto"/>
                <w:sz w:val="24"/>
                <w:lang w:eastAsia="zh-CN"/>
              </w:rPr>
              <w:t>员工生活用水参照</w:t>
            </w:r>
            <w:r>
              <w:rPr>
                <w:rFonts w:hint="eastAsia"/>
                <w:color w:val="auto"/>
                <w:sz w:val="24"/>
              </w:rPr>
              <w:t>《生活及服务业用水定额第2部分：服务业、居民生活和建筑业》（赣府发〔2024〕17号），本次环评职工</w:t>
            </w:r>
            <w:r>
              <w:rPr>
                <w:rFonts w:hint="eastAsia"/>
                <w:color w:val="auto"/>
                <w:sz w:val="24"/>
                <w:lang w:val="en-US" w:eastAsia="zh-CN"/>
              </w:rPr>
              <w:t>15人，</w:t>
            </w:r>
            <w:r>
              <w:rPr>
                <w:rFonts w:hint="eastAsia"/>
                <w:color w:val="auto"/>
                <w:sz w:val="24"/>
              </w:rPr>
              <w:t>用水量取</w:t>
            </w:r>
            <w:r>
              <w:rPr>
                <w:rFonts w:hint="eastAsia"/>
                <w:color w:val="auto"/>
                <w:sz w:val="24"/>
                <w:lang w:val="en-US" w:eastAsia="zh-CN"/>
              </w:rPr>
              <w:t>160</w:t>
            </w:r>
            <w:r>
              <w:rPr>
                <w:rFonts w:hint="eastAsia"/>
                <w:color w:val="auto"/>
                <w:sz w:val="24"/>
              </w:rPr>
              <w:t>L/人·d</w:t>
            </w:r>
            <w:r>
              <w:rPr>
                <w:color w:val="auto"/>
                <w:sz w:val="24"/>
              </w:rPr>
              <w:t>，则生活用水量为</w:t>
            </w:r>
            <w:r>
              <w:rPr>
                <w:rFonts w:hint="eastAsia"/>
                <w:color w:val="auto"/>
                <w:sz w:val="24"/>
                <w:lang w:val="en-US" w:eastAsia="zh-CN"/>
              </w:rPr>
              <w:t>2.4</w:t>
            </w:r>
            <w:r>
              <w:rPr>
                <w:color w:val="auto"/>
                <w:sz w:val="24"/>
              </w:rPr>
              <w:t>m</w:t>
            </w:r>
            <w:r>
              <w:rPr>
                <w:color w:val="auto"/>
                <w:sz w:val="24"/>
                <w:vertAlign w:val="superscript"/>
              </w:rPr>
              <w:t>3</w:t>
            </w:r>
            <w:r>
              <w:rPr>
                <w:color w:val="auto"/>
                <w:sz w:val="24"/>
              </w:rPr>
              <w:t>/d，</w:t>
            </w:r>
            <w:r>
              <w:rPr>
                <w:rFonts w:hint="eastAsia"/>
                <w:color w:val="auto"/>
                <w:sz w:val="24"/>
                <w:lang w:val="en-US" w:eastAsia="zh-CN"/>
              </w:rPr>
              <w:t>288</w:t>
            </w:r>
            <w:r>
              <w:rPr>
                <w:color w:val="auto"/>
                <w:sz w:val="24"/>
              </w:rPr>
              <w:t>m</w:t>
            </w:r>
            <w:r>
              <w:rPr>
                <w:color w:val="auto"/>
                <w:sz w:val="24"/>
                <w:vertAlign w:val="superscript"/>
              </w:rPr>
              <w:t>3</w:t>
            </w:r>
            <w:r>
              <w:rPr>
                <w:color w:val="auto"/>
                <w:sz w:val="24"/>
              </w:rPr>
              <w:t>/a</w:t>
            </w:r>
            <w:r>
              <w:rPr>
                <w:rFonts w:hint="default" w:ascii="Times New Roman" w:hAnsi="Times New Roman" w:eastAsia="宋体" w:cs="Times New Roman"/>
                <w:color w:val="auto"/>
                <w:sz w:val="24"/>
                <w:szCs w:val="24"/>
              </w:rPr>
              <w:t>。生活污水产排量按0.8计，则</w:t>
            </w:r>
            <w:r>
              <w:rPr>
                <w:rFonts w:hint="eastAsia" w:ascii="Times New Roman" w:hAnsi="Times New Roman" w:eastAsia="宋体" w:cs="Times New Roman"/>
                <w:color w:val="auto"/>
                <w:sz w:val="24"/>
                <w:szCs w:val="24"/>
                <w:lang w:eastAsia="zh-CN"/>
              </w:rPr>
              <w:t>生活污水</w:t>
            </w:r>
            <w:r>
              <w:rPr>
                <w:rFonts w:hint="default" w:ascii="Times New Roman" w:hAnsi="Times New Roman" w:eastAsia="宋体" w:cs="Times New Roman"/>
                <w:color w:val="auto"/>
                <w:sz w:val="24"/>
                <w:szCs w:val="24"/>
              </w:rPr>
              <w:t>产生量为</w:t>
            </w:r>
            <w:r>
              <w:rPr>
                <w:rFonts w:hint="eastAsia" w:ascii="Times New Roman" w:hAnsi="Times New Roman" w:eastAsia="宋体" w:cs="Times New Roman"/>
                <w:color w:val="auto"/>
                <w:sz w:val="24"/>
                <w:szCs w:val="24"/>
                <w:lang w:val="en-US" w:eastAsia="zh-CN"/>
              </w:rPr>
              <w:t>1.92</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w:t>
            </w:r>
            <w:r>
              <w:rPr>
                <w:rFonts w:hint="eastAsia" w:ascii="Times New Roman" w:hAnsi="Times New Roman" w:eastAsia="宋体" w:cs="Times New Roman"/>
                <w:color w:val="auto"/>
                <w:sz w:val="24"/>
                <w:szCs w:val="24"/>
                <w:lang w:val="en-US" w:eastAsia="zh-CN"/>
              </w:rPr>
              <w:t>230.4</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rPr>
              <w:t>/a），主要污染物为COD、BOD</w:t>
            </w:r>
            <w:r>
              <w:rPr>
                <w:rFonts w:hint="default" w:ascii="Times New Roman" w:hAnsi="Times New Roman" w:eastAsia="宋体" w:cs="Times New Roman"/>
                <w:color w:val="auto"/>
                <w:sz w:val="24"/>
                <w:szCs w:val="24"/>
                <w:vertAlign w:val="subscript"/>
              </w:rPr>
              <w:t>5</w:t>
            </w:r>
            <w:r>
              <w:rPr>
                <w:rFonts w:hint="default" w:ascii="Times New Roman" w:hAnsi="Times New Roman" w:eastAsia="宋体" w:cs="Times New Roman"/>
                <w:color w:val="auto"/>
                <w:sz w:val="24"/>
                <w:szCs w:val="24"/>
              </w:rPr>
              <w:t>、NH</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-N、SS和T</w:t>
            </w:r>
            <w:r>
              <w:rPr>
                <w:rFonts w:hint="eastAsia" w:ascii="Times New Roman" w:hAnsi="Times New Roman" w:eastAsia="宋体" w:cs="Times New Roman"/>
                <w:color w:val="auto"/>
                <w:sz w:val="24"/>
                <w:szCs w:val="24"/>
                <w:lang w:val="en-US" w:eastAsia="zh-CN"/>
              </w:rPr>
              <w:t>P、TN</w:t>
            </w:r>
            <w:r>
              <w:rPr>
                <w:rFonts w:hint="default" w:ascii="Times New Roman" w:hAnsi="Times New Roman" w:eastAsia="宋体" w:cs="Times New Roman"/>
                <w:color w:val="auto"/>
                <w:sz w:val="24"/>
                <w:szCs w:val="24"/>
              </w:rPr>
              <w:t>，初始浓度分别为CODcr：250mg/L、BOD</w:t>
            </w:r>
            <w:r>
              <w:rPr>
                <w:rFonts w:hint="default" w:ascii="Times New Roman" w:hAnsi="Times New Roman" w:eastAsia="宋体" w:cs="Times New Roman"/>
                <w:color w:val="auto"/>
                <w:sz w:val="24"/>
                <w:szCs w:val="24"/>
                <w:vertAlign w:val="subscript"/>
              </w:rPr>
              <w:t>5</w:t>
            </w:r>
            <w:r>
              <w:rPr>
                <w:rFonts w:hint="eastAsia" w:ascii="Times New Roman" w:hAnsi="Times New Roman" w:eastAsia="宋体" w:cs="Times New Roman"/>
                <w:color w:val="auto"/>
                <w:sz w:val="24"/>
                <w:szCs w:val="24"/>
                <w:vertAlign w:val="subscript"/>
                <w:lang w:eastAsia="zh-CN"/>
              </w:rPr>
              <w:t>:</w:t>
            </w:r>
            <w:r>
              <w:rPr>
                <w:rFonts w:hint="default" w:ascii="Times New Roman" w:hAnsi="Times New Roman" w:eastAsia="宋体" w:cs="Times New Roman"/>
                <w:color w:val="auto"/>
                <w:sz w:val="24"/>
                <w:szCs w:val="24"/>
              </w:rPr>
              <w:t>1</w:t>
            </w:r>
            <w:r>
              <w:rPr>
                <w:rFonts w:hint="eastAsia" w:eastAsia="宋体" w:cs="Times New Roman"/>
                <w:color w:val="auto"/>
                <w:sz w:val="24"/>
                <w:szCs w:val="24"/>
                <w:lang w:val="en-US" w:eastAsia="zh-CN"/>
              </w:rPr>
              <w:t>50</w:t>
            </w:r>
            <w:r>
              <w:rPr>
                <w:rFonts w:hint="default" w:ascii="Times New Roman" w:hAnsi="Times New Roman" w:eastAsia="宋体" w:cs="Times New Roman"/>
                <w:color w:val="auto"/>
                <w:sz w:val="24"/>
                <w:szCs w:val="24"/>
              </w:rPr>
              <w:t>mg/L、NH</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-N：25mg</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L、SS：</w:t>
            </w:r>
            <w:r>
              <w:rPr>
                <w:rFonts w:hint="eastAsia" w:eastAsia="宋体" w:cs="Times New Roman"/>
                <w:color w:val="auto"/>
                <w:sz w:val="24"/>
                <w:szCs w:val="24"/>
                <w:lang w:val="en-US" w:eastAsia="zh-CN"/>
              </w:rPr>
              <w:t>200</w:t>
            </w:r>
            <w:r>
              <w:rPr>
                <w:rFonts w:hint="default" w:ascii="Times New Roman" w:hAnsi="Times New Roman" w:eastAsia="宋体" w:cs="Times New Roman"/>
                <w:color w:val="auto"/>
                <w:sz w:val="24"/>
                <w:szCs w:val="24"/>
              </w:rPr>
              <w:t>mg/L、T</w:t>
            </w:r>
            <w:r>
              <w:rPr>
                <w:rFonts w:hint="default" w:ascii="Times New Roman" w:hAnsi="Times New Roman" w:eastAsia="宋体" w:cs="Times New Roman"/>
                <w:color w:val="auto"/>
                <w:sz w:val="24"/>
                <w:szCs w:val="24"/>
                <w:lang w:val="en-US" w:eastAsia="zh-CN"/>
              </w:rPr>
              <w:t>P</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mg/L</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动植物油：2</w:t>
            </w:r>
            <w:r>
              <w:rPr>
                <w:rFonts w:hint="eastAsia" w:ascii="Times New Roman" w:hAnsi="Times New Roman" w:eastAsia="宋体" w:cs="Times New Roman"/>
                <w:color w:val="auto"/>
                <w:sz w:val="24"/>
              </w:rPr>
              <w:t>0mg/L</w:t>
            </w:r>
            <w:r>
              <w:rPr>
                <w:rFonts w:hint="eastAsia" w:ascii="Times New Roman" w:hAnsi="Times New Roman" w:eastAsia="宋体" w:cs="Times New Roman"/>
                <w:color w:val="auto"/>
                <w:sz w:val="24"/>
                <w:lang w:eastAsia="zh-CN"/>
              </w:rPr>
              <w:t>。</w:t>
            </w:r>
          </w:p>
          <w:p w14:paraId="32E23FA2">
            <w:pPr>
              <w:keepNext w:val="0"/>
              <w:keepLines w:val="0"/>
              <w:pageBreakBefore w:val="0"/>
              <w:widowControl/>
              <w:suppressLineNumbers w:val="0"/>
              <w:kinsoku/>
              <w:wordWrap/>
              <w:overflowPunct/>
              <w:topLinePunct w:val="0"/>
              <w:autoSpaceDE/>
              <w:autoSpaceDN/>
              <w:bidi w:val="0"/>
              <w:adjustRightInd/>
              <w:snapToGrid/>
              <w:spacing w:line="360" w:lineRule="auto"/>
              <w:ind w:firstLine="462" w:firstLineChars="200"/>
              <w:jc w:val="both"/>
              <w:textAlignment w:val="auto"/>
              <w:rPr>
                <w:b/>
                <w:bCs/>
                <w:spacing w:val="-5"/>
                <w:sz w:val="24"/>
                <w:szCs w:val="24"/>
              </w:rPr>
            </w:pPr>
            <w:r>
              <w:rPr>
                <w:rFonts w:hint="eastAsia"/>
                <w:b/>
                <w:bCs/>
                <w:spacing w:val="-5"/>
                <w:sz w:val="24"/>
                <w:szCs w:val="24"/>
                <w:lang w:val="en-US" w:eastAsia="zh-CN"/>
              </w:rPr>
              <w:t>②</w:t>
            </w:r>
            <w:r>
              <w:rPr>
                <w:b/>
                <w:bCs/>
                <w:spacing w:val="-5"/>
                <w:sz w:val="24"/>
                <w:szCs w:val="24"/>
              </w:rPr>
              <w:t>初期雨水</w:t>
            </w:r>
          </w:p>
          <w:p w14:paraId="49BE42BE">
            <w:pPr>
              <w:keepNext w:val="0"/>
              <w:keepLines w:val="0"/>
              <w:pageBreakBefore w:val="0"/>
              <w:widowControl/>
              <w:suppressLineNumbers w:val="0"/>
              <w:kinsoku/>
              <w:wordWrap/>
              <w:overflowPunct/>
              <w:topLinePunct w:val="0"/>
              <w:autoSpaceDE/>
              <w:autoSpaceDN/>
              <w:bidi w:val="0"/>
              <w:adjustRightInd/>
              <w:snapToGrid/>
              <w:spacing w:line="360" w:lineRule="auto"/>
              <w:ind w:firstLine="460" w:firstLineChars="200"/>
              <w:jc w:val="both"/>
              <w:textAlignment w:val="auto"/>
              <w:rPr>
                <w:rFonts w:hint="default"/>
                <w:color w:val="000000" w:themeColor="text1"/>
                <w:sz w:val="24"/>
                <w:szCs w:val="24"/>
                <w:lang w:val="en-US"/>
                <w14:textFill>
                  <w14:solidFill>
                    <w14:schemeClr w14:val="tx1"/>
                  </w14:solidFill>
                </w14:textFill>
              </w:rPr>
            </w:pPr>
            <w:r>
              <w:rPr>
                <w:spacing w:val="-5"/>
                <w:sz w:val="24"/>
                <w:szCs w:val="24"/>
              </w:rPr>
              <w:t>初期雨水会将散落在厂区地面的粉尘及</w:t>
            </w:r>
            <w:r>
              <w:rPr>
                <w:spacing w:val="-6"/>
                <w:sz w:val="24"/>
                <w:szCs w:val="24"/>
              </w:rPr>
              <w:t>物料汇集，若不进行处理，</w:t>
            </w:r>
            <w:r>
              <w:rPr>
                <w:sz w:val="24"/>
                <w:szCs w:val="24"/>
              </w:rPr>
              <w:t>将对水环境造成一定的影响。</w:t>
            </w:r>
            <w:r>
              <w:rPr>
                <w:rFonts w:hint="eastAsia" w:ascii="宋体" w:hAnsi="宋体" w:eastAsia="宋体" w:cs="宋体"/>
                <w:color w:val="000000" w:themeColor="text1"/>
                <w:kern w:val="0"/>
                <w:sz w:val="24"/>
                <w:szCs w:val="24"/>
                <w:lang w:val="en-US" w:eastAsia="zh-CN" w:bidi="ar"/>
                <w14:textFill>
                  <w14:solidFill>
                    <w14:schemeClr w14:val="tx1"/>
                  </w14:solidFill>
                </w14:textFill>
              </w:rPr>
              <w:t>本厂区汇水面积约</w:t>
            </w:r>
            <w:r>
              <w:rPr>
                <w:rFonts w:hint="eastAsia" w:eastAsia="宋体" w:cs="Times New Roman"/>
                <w:color w:val="000000" w:themeColor="text1"/>
                <w:kern w:val="0"/>
                <w:sz w:val="24"/>
                <w:szCs w:val="24"/>
                <w:lang w:val="en-US" w:eastAsia="zh-CN" w:bidi="ar"/>
                <w14:textFill>
                  <w14:solidFill>
                    <w14:schemeClr w14:val="tx1"/>
                  </w14:solidFill>
                </w14:textFill>
              </w:rPr>
              <w:t>2.78</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hm</w:t>
            </w:r>
            <w:r>
              <w:rPr>
                <w:rFonts w:hint="eastAsia"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2</w:t>
            </w:r>
            <w:r>
              <w:rPr>
                <w:rFonts w:hint="eastAsia" w:ascii="宋体" w:hAnsi="宋体" w:eastAsia="宋体" w:cs="宋体"/>
                <w:color w:val="000000" w:themeColor="text1"/>
                <w:kern w:val="0"/>
                <w:sz w:val="24"/>
                <w:szCs w:val="24"/>
                <w:lang w:val="en-US" w:eastAsia="zh-CN" w:bidi="ar"/>
                <w14:textFill>
                  <w14:solidFill>
                    <w14:schemeClr w14:val="tx1"/>
                  </w14:solidFill>
                </w14:textFill>
              </w:rPr>
              <w:t>（以企业占地面积计）</w:t>
            </w:r>
            <w:r>
              <w:rPr>
                <w:rFonts w:hint="eastAsia" w:ascii="宋体" w:hAnsi="宋体" w:cs="宋体"/>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则本项目厂区内每次需</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要收集的前</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20mm</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的初期</w:t>
            </w:r>
            <w:r>
              <w:rPr>
                <w:rFonts w:hint="eastAsia" w:ascii="宋体" w:hAnsi="宋体" w:eastAsia="宋体" w:cs="宋体"/>
                <w:color w:val="000000" w:themeColor="text1"/>
                <w:kern w:val="0"/>
                <w:sz w:val="24"/>
                <w:szCs w:val="24"/>
                <w:lang w:val="en-US" w:eastAsia="zh-CN" w:bidi="ar"/>
                <w14:textFill>
                  <w14:solidFill>
                    <w14:schemeClr w14:val="tx1"/>
                  </w14:solidFill>
                </w14:textFill>
              </w:rPr>
              <w:t>雨水水量为</w:t>
            </w:r>
            <w:r>
              <w:rPr>
                <w:rFonts w:hint="eastAsia" w:cs="Times New Roman"/>
                <w:color w:val="000000" w:themeColor="text1"/>
                <w:kern w:val="0"/>
                <w:sz w:val="24"/>
                <w:szCs w:val="24"/>
                <w:lang w:val="en-US" w:eastAsia="zh-CN" w:bidi="ar"/>
                <w14:textFill>
                  <w14:solidFill>
                    <w14:schemeClr w14:val="tx1"/>
                  </w14:solidFill>
                </w14:textFill>
              </w:rPr>
              <w:t>556</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m</w:t>
            </w:r>
            <w:r>
              <w:rPr>
                <w:rFonts w:hint="eastAsia"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eastAsia" w:cs="Times New Roman"/>
                <w:color w:val="000000" w:themeColor="text1"/>
                <w:kern w:val="0"/>
                <w:sz w:val="24"/>
                <w:szCs w:val="24"/>
                <w:vertAlign w:val="baseline"/>
                <w:lang w:val="en-US" w:eastAsia="zh-CN" w:bidi="ar"/>
                <w14:textFill>
                  <w14:solidFill>
                    <w14:schemeClr w14:val="tx1"/>
                  </w14:solidFill>
                </w14:textFill>
              </w:rPr>
              <w:t>，年收集次数以20次计，则初期雨水年产生量为11120</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m</w:t>
            </w:r>
            <w:r>
              <w:rPr>
                <w:rFonts w:hint="eastAsia"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eastAsia" w:cs="Times New Roman"/>
                <w:color w:val="000000" w:themeColor="text1"/>
                <w:kern w:val="0"/>
                <w:sz w:val="24"/>
                <w:szCs w:val="24"/>
                <w:vertAlign w:val="baseline"/>
                <w:lang w:val="en-US" w:eastAsia="zh-CN" w:bidi="ar"/>
                <w14:textFill>
                  <w14:solidFill>
                    <w14:schemeClr w14:val="tx1"/>
                  </w14:solidFill>
                </w14:textFill>
              </w:rPr>
              <w:t>/a，参考同类企业，初期雨水中主要污染物为</w:t>
            </w:r>
            <w:r>
              <w:rPr>
                <w:rFonts w:hint="default" w:ascii="Times New Roman" w:hAnsi="Times New Roman" w:eastAsia="宋体" w:cs="Times New Roman"/>
                <w:color w:val="auto"/>
                <w:sz w:val="24"/>
                <w:szCs w:val="24"/>
              </w:rPr>
              <w:t>SS</w:t>
            </w:r>
            <w:r>
              <w:rPr>
                <w:rFonts w:hint="eastAsia" w:cs="Times New Roman"/>
                <w:color w:val="auto"/>
                <w:sz w:val="24"/>
                <w:szCs w:val="24"/>
                <w:lang w:eastAsia="zh-CN"/>
              </w:rPr>
              <w:t>，</w:t>
            </w:r>
            <w:r>
              <w:rPr>
                <w:rFonts w:hint="eastAsia" w:cs="Times New Roman"/>
                <w:color w:val="auto"/>
                <w:sz w:val="24"/>
                <w:szCs w:val="24"/>
                <w:lang w:val="en-US" w:eastAsia="zh-CN"/>
              </w:rPr>
              <w:t>初始浓度为200mg/L</w:t>
            </w:r>
            <w:r>
              <w:rPr>
                <w:rFonts w:hint="eastAsia" w:cs="Times New Roman"/>
                <w:color w:val="000000" w:themeColor="text1"/>
                <w:kern w:val="0"/>
                <w:sz w:val="24"/>
                <w:szCs w:val="24"/>
                <w:vertAlign w:val="baseline"/>
                <w:lang w:val="en-US" w:eastAsia="zh-CN" w:bidi="ar"/>
                <w14:textFill>
                  <w14:solidFill>
                    <w14:schemeClr w14:val="tx1"/>
                  </w14:solidFill>
                </w14:textFill>
              </w:rPr>
              <w:t>。</w:t>
            </w:r>
          </w:p>
          <w:p w14:paraId="08434165">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项目在厂区地势较低处设置一座</w:t>
            </w:r>
            <w:r>
              <w:rPr>
                <w:rFonts w:hint="eastAsia" w:cs="Times New Roman"/>
                <w:color w:val="000000" w:themeColor="text1"/>
                <w:kern w:val="0"/>
                <w:sz w:val="24"/>
                <w:szCs w:val="24"/>
                <w:highlight w:val="none"/>
                <w:lang w:val="en-US" w:eastAsia="zh-CN" w:bidi="ar"/>
                <w14:textFill>
                  <w14:solidFill>
                    <w14:schemeClr w14:val="tx1"/>
                  </w14:solidFill>
                </w14:textFill>
              </w:rPr>
              <w:t>600</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m</w:t>
            </w:r>
            <w:r>
              <w:rPr>
                <w:rFonts w:hint="default" w:ascii="Times New Roman" w:hAnsi="Times New Roman" w:eastAsia="宋体" w:cs="Times New Roman"/>
                <w:color w:val="000000" w:themeColor="text1"/>
                <w:kern w:val="0"/>
                <w:sz w:val="24"/>
                <w:szCs w:val="24"/>
                <w:highlight w:val="none"/>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初期雨</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水池，初期雨水经</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沉淀处理</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后回用于厂区喷淋降尘</w:t>
            </w:r>
            <w:r>
              <w:rPr>
                <w:rFonts w:hint="eastAsia" w:cs="Times New Roman"/>
                <w:color w:val="000000" w:themeColor="text1"/>
                <w:kern w:val="0"/>
                <w:sz w:val="24"/>
                <w:szCs w:val="24"/>
                <w:lang w:val="en-US" w:eastAsia="zh-CN" w:bidi="ar"/>
                <w14:textFill>
                  <w14:solidFill>
                    <w14:schemeClr w14:val="tx1"/>
                  </w14:solidFill>
                </w14:textFill>
              </w:rPr>
              <w:t>及厂区绿化</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cs="Times New Roman"/>
                <w:color w:val="000000" w:themeColor="text1"/>
                <w:kern w:val="0"/>
                <w:sz w:val="24"/>
                <w:szCs w:val="24"/>
                <w:lang w:val="en-US" w:eastAsia="zh-CN" w:bidi="ar"/>
                <w14:textFill>
                  <w14:solidFill>
                    <w14:schemeClr w14:val="tx1"/>
                  </w14:solidFill>
                </w14:textFill>
              </w:rPr>
              <w:t>多余无法利用部分（</w:t>
            </w:r>
            <w:r>
              <w:rPr>
                <w:rFonts w:hint="eastAsia" w:cs="Times New Roman"/>
                <w:color w:val="FF0000"/>
                <w:kern w:val="0"/>
                <w:sz w:val="24"/>
                <w:szCs w:val="24"/>
                <w:lang w:val="en-US" w:eastAsia="zh-CN" w:bidi="ar"/>
              </w:rPr>
              <w:t>4629</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m</w:t>
            </w:r>
            <w:r>
              <w:rPr>
                <w:rFonts w:hint="default" w:ascii="Times New Roman" w:hAnsi="Times New Roman" w:eastAsia="宋体" w:cs="Times New Roman"/>
                <w:color w:val="000000" w:themeColor="text1"/>
                <w:kern w:val="0"/>
                <w:sz w:val="24"/>
                <w:szCs w:val="24"/>
                <w:highlight w:val="none"/>
                <w:vertAlign w:val="superscript"/>
                <w:lang w:val="en-US" w:eastAsia="zh-CN" w:bidi="ar"/>
                <w14:textFill>
                  <w14:solidFill>
                    <w14:schemeClr w14:val="tx1"/>
                  </w14:solidFill>
                </w14:textFill>
              </w:rPr>
              <w:t>3</w:t>
            </w:r>
            <w:r>
              <w:rPr>
                <w:rFonts w:hint="eastAsia" w:cs="Times New Roman"/>
                <w:color w:val="000000" w:themeColor="text1"/>
                <w:kern w:val="0"/>
                <w:sz w:val="24"/>
                <w:szCs w:val="24"/>
                <w:highlight w:val="none"/>
                <w:vertAlign w:val="baseline"/>
                <w:lang w:val="en-US" w:eastAsia="zh-CN" w:bidi="ar"/>
                <w14:textFill>
                  <w14:solidFill>
                    <w14:schemeClr w14:val="tx1"/>
                  </w14:solidFill>
                </w14:textFill>
              </w:rPr>
              <w:t>）</w:t>
            </w:r>
            <w:r>
              <w:rPr>
                <w:rFonts w:hint="eastAsia" w:cs="Times New Roman"/>
                <w:color w:val="000000" w:themeColor="text1"/>
                <w:kern w:val="0"/>
                <w:sz w:val="24"/>
                <w:szCs w:val="24"/>
                <w:lang w:val="en-US" w:eastAsia="zh-CN" w:bidi="ar"/>
                <w14:textFill>
                  <w14:solidFill>
                    <w14:schemeClr w14:val="tx1"/>
                  </w14:solidFill>
                </w14:textFill>
              </w:rPr>
              <w:t>经</w:t>
            </w:r>
            <w:r>
              <w:rPr>
                <w:rFonts w:hint="eastAsia" w:cs="Times New Roman"/>
                <w:b w:val="0"/>
                <w:bCs/>
                <w:color w:val="auto"/>
                <w:kern w:val="2"/>
                <w:sz w:val="24"/>
                <w:szCs w:val="24"/>
                <w:highlight w:val="none"/>
                <w:lang w:val="en-US" w:eastAsia="zh-CN" w:bidi="ar-SA"/>
              </w:rPr>
              <w:t>预处理</w:t>
            </w:r>
            <w:r>
              <w:rPr>
                <w:rFonts w:hint="default" w:ascii="Times New Roman" w:hAnsi="Times New Roman" w:eastAsia="宋体" w:cs="Times New Roman"/>
                <w:b w:val="0"/>
                <w:bCs/>
                <w:color w:val="auto"/>
                <w:kern w:val="2"/>
                <w:sz w:val="24"/>
                <w:szCs w:val="24"/>
                <w:highlight w:val="none"/>
                <w:lang w:val="en-US" w:eastAsia="zh-CN" w:bidi="ar-SA"/>
              </w:rPr>
              <w:t>达《污水综合排放标准》</w:t>
            </w:r>
            <w:r>
              <w:rPr>
                <w:rFonts w:hint="eastAsia" w:cs="Times New Roman"/>
                <w:b w:val="0"/>
                <w:bCs/>
                <w:color w:val="auto"/>
                <w:kern w:val="2"/>
                <w:sz w:val="24"/>
                <w:szCs w:val="24"/>
                <w:highlight w:val="none"/>
                <w:lang w:val="en-US" w:eastAsia="zh-CN" w:bidi="ar-SA"/>
              </w:rPr>
              <w:t>（</w:t>
            </w:r>
            <w:r>
              <w:rPr>
                <w:rFonts w:hint="default" w:ascii="Times New Roman" w:hAnsi="Times New Roman" w:eastAsia="宋体" w:cs="Times New Roman"/>
                <w:b w:val="0"/>
                <w:bCs/>
                <w:color w:val="auto"/>
                <w:kern w:val="2"/>
                <w:sz w:val="24"/>
                <w:szCs w:val="24"/>
                <w:highlight w:val="none"/>
                <w:lang w:val="en-US" w:eastAsia="zh-CN" w:bidi="ar-SA"/>
              </w:rPr>
              <w:t>GB8978-1996）表4中三级标准以及高安市工业园污水处理厂接管标准后排入高安市工业园</w:t>
            </w:r>
            <w:r>
              <w:rPr>
                <w:rFonts w:hint="eastAsia" w:cs="Times New Roman"/>
                <w:b w:val="0"/>
                <w:bCs/>
                <w:color w:val="auto"/>
                <w:kern w:val="2"/>
                <w:sz w:val="24"/>
                <w:szCs w:val="24"/>
                <w:highlight w:val="none"/>
                <w:lang w:val="en-US" w:eastAsia="zh-CN" w:bidi="ar-SA"/>
              </w:rPr>
              <w:t>污水处理厂</w:t>
            </w:r>
            <w:r>
              <w:rPr>
                <w:rFonts w:hint="default" w:ascii="Times New Roman" w:hAnsi="Times New Roman" w:eastAsia="宋体" w:cs="Times New Roman"/>
                <w:color w:val="000000"/>
                <w:kern w:val="0"/>
                <w:sz w:val="24"/>
                <w:szCs w:val="24"/>
                <w:lang w:val="en-US" w:eastAsia="zh-CN" w:bidi="ar"/>
              </w:rPr>
              <w:t>。</w:t>
            </w:r>
          </w:p>
          <w:p w14:paraId="7C316C5B">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rFonts w:hint="eastAsia" w:cs="Times New Roman"/>
                <w:b w:val="0"/>
                <w:bCs/>
                <w:color w:val="auto"/>
                <w:kern w:val="2"/>
                <w:sz w:val="24"/>
                <w:szCs w:val="24"/>
                <w:highlight w:val="none"/>
                <w:lang w:val="en-US" w:eastAsia="zh-CN" w:bidi="ar-SA"/>
              </w:rPr>
            </w:pPr>
            <w:r>
              <w:rPr>
                <w:rFonts w:hint="eastAsia" w:ascii="Times New Roman" w:hAnsi="Times New Roman" w:eastAsia="宋体" w:cs="Times New Roman"/>
                <w:bCs/>
                <w:sz w:val="24"/>
                <w:szCs w:val="24"/>
              </w:rPr>
              <w:t>本项目混凝土搅拌用水全部进入产品，产品养护用水全部蒸发损耗，无废水外排；设备冲洗废水经沉淀处理后，回用作搅拌用水；</w:t>
            </w:r>
            <w:r>
              <w:rPr>
                <w:rFonts w:hint="eastAsia" w:ascii="Times New Roman" w:hAnsi="Times New Roman" w:eastAsia="宋体" w:cs="Times New Roman"/>
                <w:sz w:val="24"/>
                <w:szCs w:val="24"/>
                <w:lang w:val="en-US" w:eastAsia="zh-CN"/>
              </w:rPr>
              <w:t>车辆</w:t>
            </w:r>
            <w:r>
              <w:rPr>
                <w:rFonts w:hint="default" w:ascii="Times New Roman" w:hAnsi="Times New Roman" w:eastAsia="宋体" w:cs="Times New Roman"/>
                <w:sz w:val="24"/>
                <w:szCs w:val="24"/>
              </w:rPr>
              <w:t>冲洗废水</w:t>
            </w:r>
            <w:r>
              <w:rPr>
                <w:rFonts w:hint="eastAsia" w:ascii="Times New Roman" w:hAnsi="Times New Roman" w:eastAsia="宋体" w:cs="Times New Roman"/>
                <w:sz w:val="24"/>
                <w:szCs w:val="24"/>
                <w:lang w:val="en-US" w:eastAsia="zh-CN"/>
              </w:rPr>
              <w:t>循环使用不外排</w:t>
            </w:r>
            <w:r>
              <w:rPr>
                <w:rFonts w:hint="eastAsia" w:cs="Times New Roman"/>
                <w:sz w:val="24"/>
                <w:szCs w:val="24"/>
                <w:lang w:val="en-US" w:eastAsia="zh-CN"/>
              </w:rPr>
              <w:t>、喷淋降尘及绿化用水蒸发损耗不外排；</w:t>
            </w:r>
            <w:r>
              <w:rPr>
                <w:rFonts w:hint="eastAsia" w:cs="Times New Roman"/>
                <w:color w:val="FF0000"/>
                <w:sz w:val="24"/>
                <w:szCs w:val="24"/>
                <w:lang w:val="en-US" w:eastAsia="zh-CN"/>
              </w:rPr>
              <w:t>初期雨水经沉淀处理后用于厂区喷淋降尘及绿化，多余部分经厂区污水管道排入园区污水处理厂进一步处理(因初期雨水量存在不稳定性，不纳入总量计算)，</w:t>
            </w:r>
            <w:r>
              <w:rPr>
                <w:rFonts w:hint="eastAsia" w:cs="Times New Roman"/>
                <w:b w:val="0"/>
                <w:bCs/>
                <w:color w:val="auto"/>
                <w:kern w:val="2"/>
                <w:sz w:val="24"/>
                <w:szCs w:val="24"/>
                <w:highlight w:val="none"/>
                <w:lang w:val="en-US" w:eastAsia="zh-CN" w:bidi="ar-SA"/>
              </w:rPr>
              <w:t>员工生活污水经化粪池预处理</w:t>
            </w:r>
            <w:r>
              <w:rPr>
                <w:rFonts w:hint="default" w:ascii="Times New Roman" w:hAnsi="Times New Roman" w:eastAsia="宋体" w:cs="Times New Roman"/>
                <w:b w:val="0"/>
                <w:bCs/>
                <w:color w:val="auto"/>
                <w:kern w:val="2"/>
                <w:sz w:val="24"/>
                <w:szCs w:val="24"/>
                <w:highlight w:val="none"/>
                <w:lang w:val="en-US" w:eastAsia="zh-CN" w:bidi="ar-SA"/>
              </w:rPr>
              <w:t>达《污水综合排放标准》</w:t>
            </w:r>
            <w:r>
              <w:rPr>
                <w:rFonts w:hint="eastAsia" w:cs="Times New Roman"/>
                <w:b w:val="0"/>
                <w:bCs/>
                <w:color w:val="auto"/>
                <w:kern w:val="2"/>
                <w:sz w:val="24"/>
                <w:szCs w:val="24"/>
                <w:highlight w:val="none"/>
                <w:lang w:val="en-US" w:eastAsia="zh-CN" w:bidi="ar-SA"/>
              </w:rPr>
              <w:t>（</w:t>
            </w:r>
            <w:r>
              <w:rPr>
                <w:rFonts w:hint="default" w:ascii="Times New Roman" w:hAnsi="Times New Roman" w:eastAsia="宋体" w:cs="Times New Roman"/>
                <w:b w:val="0"/>
                <w:bCs/>
                <w:color w:val="auto"/>
                <w:kern w:val="2"/>
                <w:sz w:val="24"/>
                <w:szCs w:val="24"/>
                <w:highlight w:val="none"/>
                <w:lang w:val="en-US" w:eastAsia="zh-CN" w:bidi="ar-SA"/>
              </w:rPr>
              <w:t>GB8978-1996）表4中三级标准以及高安市工业园污水处理厂接管标准后排入高安市工业园</w:t>
            </w:r>
            <w:r>
              <w:rPr>
                <w:rFonts w:hint="eastAsia" w:cs="Times New Roman"/>
                <w:b w:val="0"/>
                <w:bCs/>
                <w:color w:val="auto"/>
                <w:kern w:val="2"/>
                <w:sz w:val="24"/>
                <w:szCs w:val="24"/>
                <w:highlight w:val="none"/>
                <w:lang w:val="en-US" w:eastAsia="zh-CN" w:bidi="ar-SA"/>
              </w:rPr>
              <w:t>污水处理厂</w:t>
            </w:r>
            <w:r>
              <w:rPr>
                <w:rFonts w:hint="default" w:ascii="Times New Roman" w:hAnsi="Times New Roman" w:eastAsia="宋体" w:cs="Times New Roman"/>
                <w:b w:val="0"/>
                <w:bCs/>
                <w:color w:val="auto"/>
                <w:kern w:val="2"/>
                <w:sz w:val="24"/>
                <w:szCs w:val="24"/>
                <w:highlight w:val="none"/>
                <w:lang w:val="en-US" w:eastAsia="zh-CN" w:bidi="ar-SA"/>
              </w:rPr>
              <w:t>，处理达《城镇污水处理厂污染物排放标准》（GB18918-2002）一级A标准后排放</w:t>
            </w:r>
            <w:r>
              <w:rPr>
                <w:rFonts w:hint="eastAsia" w:cs="Times New Roman"/>
                <w:b w:val="0"/>
                <w:bCs/>
                <w:color w:val="auto"/>
                <w:kern w:val="2"/>
                <w:sz w:val="24"/>
                <w:szCs w:val="24"/>
                <w:highlight w:val="none"/>
                <w:lang w:val="en-US" w:eastAsia="zh-CN" w:bidi="ar-SA"/>
              </w:rPr>
              <w:t>。</w:t>
            </w:r>
          </w:p>
          <w:p w14:paraId="583DD92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color w:val="000000"/>
                <w:sz w:val="21"/>
                <w:szCs w:val="18"/>
              </w:rPr>
            </w:pPr>
            <w:r>
              <w:rPr>
                <w:b/>
                <w:bCs/>
                <w:color w:val="000000"/>
                <w:sz w:val="21"/>
                <w:szCs w:val="18"/>
              </w:rPr>
              <w:t>表</w:t>
            </w:r>
            <w:r>
              <w:rPr>
                <w:rFonts w:hint="eastAsia"/>
                <w:b/>
                <w:bCs/>
                <w:color w:val="000000"/>
                <w:sz w:val="21"/>
                <w:szCs w:val="18"/>
              </w:rPr>
              <w:t>4-</w:t>
            </w:r>
            <w:r>
              <w:rPr>
                <w:rFonts w:hint="eastAsia"/>
                <w:b/>
                <w:bCs/>
                <w:color w:val="000000"/>
                <w:sz w:val="21"/>
                <w:szCs w:val="18"/>
                <w:lang w:val="en-US" w:eastAsia="zh-CN"/>
              </w:rPr>
              <w:t>8</w:t>
            </w:r>
            <w:r>
              <w:rPr>
                <w:b/>
                <w:bCs/>
                <w:color w:val="000000"/>
                <w:sz w:val="21"/>
                <w:szCs w:val="18"/>
              </w:rPr>
              <w:t xml:space="preserve"> </w:t>
            </w:r>
            <w:r>
              <w:rPr>
                <w:rFonts w:hint="eastAsia"/>
                <w:b/>
                <w:color w:val="000000"/>
                <w:sz w:val="21"/>
                <w:szCs w:val="18"/>
                <w:lang w:eastAsia="zh-CN"/>
              </w:rPr>
              <w:t>项目废水污染物</w:t>
            </w:r>
            <w:r>
              <w:rPr>
                <w:b/>
                <w:color w:val="000000"/>
                <w:sz w:val="21"/>
                <w:szCs w:val="18"/>
              </w:rPr>
              <w:t>产排情况</w:t>
            </w:r>
            <w:r>
              <w:rPr>
                <w:rFonts w:hint="eastAsia"/>
                <w:b/>
                <w:color w:val="000000"/>
                <w:sz w:val="21"/>
                <w:szCs w:val="18"/>
                <w:lang w:eastAsia="zh-CN"/>
              </w:rPr>
              <w:t>一览表</w:t>
            </w:r>
            <w:r>
              <w:rPr>
                <w:rFonts w:hint="eastAsia"/>
                <w:b/>
                <w:color w:val="000000"/>
                <w:sz w:val="21"/>
                <w:szCs w:val="18"/>
                <w:lang w:val="en-US" w:eastAsia="zh-CN"/>
              </w:rPr>
              <w:t xml:space="preserve"> 单位：mg/m</w:t>
            </w:r>
            <w:r>
              <w:rPr>
                <w:rFonts w:hint="eastAsia"/>
                <w:b/>
                <w:color w:val="000000"/>
                <w:sz w:val="21"/>
                <w:szCs w:val="18"/>
                <w:vertAlign w:val="superscript"/>
                <w:lang w:val="en-US" w:eastAsia="zh-CN"/>
              </w:rPr>
              <w:t>3</w:t>
            </w:r>
          </w:p>
          <w:tbl>
            <w:tblPr>
              <w:tblStyle w:val="41"/>
              <w:tblW w:w="814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427"/>
              <w:gridCol w:w="809"/>
              <w:gridCol w:w="689"/>
              <w:gridCol w:w="695"/>
              <w:gridCol w:w="814"/>
              <w:gridCol w:w="674"/>
              <w:gridCol w:w="615"/>
              <w:gridCol w:w="689"/>
              <w:gridCol w:w="709"/>
              <w:gridCol w:w="803"/>
              <w:gridCol w:w="1223"/>
            </w:tblGrid>
            <w:tr w14:paraId="453D4D3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427" w:type="dxa"/>
                  <w:vMerge w:val="restart"/>
                  <w:tcBorders>
                    <w:tl2br w:val="nil"/>
                    <w:tr2bl w:val="nil"/>
                  </w:tcBorders>
                  <w:noWrap w:val="0"/>
                  <w:vAlign w:val="center"/>
                </w:tcPr>
                <w:p w14:paraId="104F5C9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000000"/>
                      <w:kern w:val="0"/>
                      <w:sz w:val="21"/>
                      <w:szCs w:val="21"/>
                      <w:u w:val="none"/>
                      <w:lang w:val="en-US" w:eastAsia="zh-CN" w:bidi="ar"/>
                    </w:rPr>
                    <w:t>废水种类</w:t>
                  </w:r>
                </w:p>
              </w:tc>
              <w:tc>
                <w:tcPr>
                  <w:tcW w:w="809" w:type="dxa"/>
                  <w:vMerge w:val="restart"/>
                  <w:tcBorders>
                    <w:tl2br w:val="nil"/>
                    <w:tr2bl w:val="nil"/>
                  </w:tcBorders>
                  <w:noWrap w:val="0"/>
                  <w:vAlign w:val="center"/>
                </w:tcPr>
                <w:p w14:paraId="598E669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000000"/>
                      <w:kern w:val="0"/>
                      <w:sz w:val="21"/>
                      <w:szCs w:val="21"/>
                      <w:u w:val="none"/>
                      <w:lang w:val="en-US" w:eastAsia="zh-CN" w:bidi="ar"/>
                    </w:rPr>
                    <w:t>污染物名称</w:t>
                  </w:r>
                </w:p>
              </w:tc>
              <w:tc>
                <w:tcPr>
                  <w:tcW w:w="2198" w:type="dxa"/>
                  <w:gridSpan w:val="3"/>
                  <w:tcBorders>
                    <w:tl2br w:val="nil"/>
                    <w:tr2bl w:val="nil"/>
                  </w:tcBorders>
                  <w:noWrap w:val="0"/>
                  <w:vAlign w:val="center"/>
                </w:tcPr>
                <w:p w14:paraId="733A674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000000"/>
                      <w:kern w:val="0"/>
                      <w:sz w:val="21"/>
                      <w:szCs w:val="21"/>
                      <w:u w:val="none"/>
                      <w:lang w:val="en-US" w:eastAsia="zh-CN" w:bidi="ar"/>
                    </w:rPr>
                    <w:t>污染物产生情况</w:t>
                  </w:r>
                </w:p>
              </w:tc>
              <w:tc>
                <w:tcPr>
                  <w:tcW w:w="1289" w:type="dxa"/>
                  <w:gridSpan w:val="2"/>
                  <w:tcBorders>
                    <w:tl2br w:val="nil"/>
                    <w:tr2bl w:val="nil"/>
                  </w:tcBorders>
                  <w:noWrap w:val="0"/>
                  <w:vAlign w:val="center"/>
                </w:tcPr>
                <w:p w14:paraId="1194F09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000000"/>
                      <w:kern w:val="0"/>
                      <w:sz w:val="21"/>
                      <w:szCs w:val="21"/>
                      <w:u w:val="none"/>
                      <w:lang w:val="en-US" w:eastAsia="zh-CN" w:bidi="ar"/>
                    </w:rPr>
                    <w:t>治理措施</w:t>
                  </w:r>
                </w:p>
              </w:tc>
              <w:tc>
                <w:tcPr>
                  <w:tcW w:w="2201" w:type="dxa"/>
                  <w:gridSpan w:val="3"/>
                  <w:tcBorders>
                    <w:tl2br w:val="nil"/>
                    <w:tr2bl w:val="nil"/>
                  </w:tcBorders>
                  <w:noWrap w:val="0"/>
                  <w:vAlign w:val="center"/>
                </w:tcPr>
                <w:p w14:paraId="4EAA4A9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000000"/>
                      <w:kern w:val="0"/>
                      <w:sz w:val="21"/>
                      <w:szCs w:val="21"/>
                      <w:u w:val="none"/>
                      <w:lang w:val="en-US" w:eastAsia="zh-CN" w:bidi="ar"/>
                    </w:rPr>
                    <w:t>污染物排放情况</w:t>
                  </w:r>
                </w:p>
              </w:tc>
              <w:tc>
                <w:tcPr>
                  <w:tcW w:w="1223" w:type="dxa"/>
                  <w:vMerge w:val="restart"/>
                  <w:tcBorders>
                    <w:tl2br w:val="nil"/>
                    <w:tr2bl w:val="nil"/>
                  </w:tcBorders>
                  <w:noWrap/>
                  <w:vAlign w:val="center"/>
                </w:tcPr>
                <w:p w14:paraId="1AAF627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000000"/>
                      <w:kern w:val="0"/>
                      <w:sz w:val="21"/>
                      <w:szCs w:val="21"/>
                      <w:u w:val="none"/>
                      <w:lang w:val="en-US" w:eastAsia="zh-CN" w:bidi="ar"/>
                    </w:rPr>
                    <w:t>高安市工业园污水处理厂接管限值要求</w:t>
                  </w:r>
                </w:p>
              </w:tc>
            </w:tr>
            <w:tr w14:paraId="08CC4DF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55" w:hRule="atLeast"/>
                <w:jc w:val="center"/>
              </w:trPr>
              <w:tc>
                <w:tcPr>
                  <w:tcW w:w="427" w:type="dxa"/>
                  <w:vMerge w:val="continue"/>
                  <w:tcBorders>
                    <w:tl2br w:val="nil"/>
                    <w:tr2bl w:val="nil"/>
                  </w:tcBorders>
                  <w:noWrap w:val="0"/>
                  <w:vAlign w:val="center"/>
                </w:tcPr>
                <w:p w14:paraId="6BCDBBDF">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b/>
                      <w:bCs/>
                      <w:i w:val="0"/>
                      <w:iCs w:val="0"/>
                      <w:color w:val="auto"/>
                      <w:sz w:val="21"/>
                      <w:szCs w:val="21"/>
                      <w:u w:val="none"/>
                    </w:rPr>
                  </w:pPr>
                </w:p>
              </w:tc>
              <w:tc>
                <w:tcPr>
                  <w:tcW w:w="809" w:type="dxa"/>
                  <w:vMerge w:val="continue"/>
                  <w:tcBorders>
                    <w:tl2br w:val="nil"/>
                    <w:tr2bl w:val="nil"/>
                  </w:tcBorders>
                  <w:noWrap w:val="0"/>
                  <w:vAlign w:val="center"/>
                </w:tcPr>
                <w:p w14:paraId="0AA42ECB">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b/>
                      <w:bCs/>
                      <w:i w:val="0"/>
                      <w:iCs w:val="0"/>
                      <w:color w:val="auto"/>
                      <w:sz w:val="21"/>
                      <w:szCs w:val="21"/>
                      <w:u w:val="none"/>
                    </w:rPr>
                  </w:pPr>
                </w:p>
              </w:tc>
              <w:tc>
                <w:tcPr>
                  <w:tcW w:w="689" w:type="dxa"/>
                  <w:tcBorders>
                    <w:tl2br w:val="nil"/>
                    <w:tr2bl w:val="nil"/>
                  </w:tcBorders>
                  <w:noWrap w:val="0"/>
                  <w:vAlign w:val="center"/>
                </w:tcPr>
                <w:p w14:paraId="7C10755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000000"/>
                      <w:kern w:val="0"/>
                      <w:sz w:val="21"/>
                      <w:szCs w:val="21"/>
                      <w:u w:val="none"/>
                      <w:lang w:val="en-US" w:eastAsia="zh-CN" w:bidi="ar"/>
                    </w:rPr>
                    <w:t>废水量</w:t>
                  </w:r>
                  <w:r>
                    <w:rPr>
                      <w:rFonts w:hint="default" w:ascii="Times New Roman" w:hAnsi="Times New Roman" w:eastAsia="宋体" w:cs="Times New Roman"/>
                      <w:b/>
                      <w:bCs/>
                      <w:i w:val="0"/>
                      <w:iCs w:val="0"/>
                      <w:color w:val="000000"/>
                      <w:kern w:val="0"/>
                      <w:sz w:val="21"/>
                      <w:szCs w:val="21"/>
                      <w:u w:val="none"/>
                      <w:lang w:val="en-US" w:eastAsia="zh-CN" w:bidi="ar"/>
                    </w:rPr>
                    <w:t>m</w:t>
                  </w:r>
                  <w:r>
                    <w:rPr>
                      <w:rStyle w:val="166"/>
                      <w:rFonts w:eastAsia="宋体"/>
                      <w:sz w:val="21"/>
                      <w:szCs w:val="21"/>
                      <w:lang w:val="en-US" w:eastAsia="zh-CN" w:bidi="ar"/>
                    </w:rPr>
                    <w:t>3</w:t>
                  </w:r>
                  <w:r>
                    <w:rPr>
                      <w:rFonts w:hint="default" w:ascii="Times New Roman" w:hAnsi="Times New Roman" w:eastAsia="宋体" w:cs="Times New Roman"/>
                      <w:b/>
                      <w:bCs/>
                      <w:i w:val="0"/>
                      <w:iCs w:val="0"/>
                      <w:color w:val="000000"/>
                      <w:kern w:val="0"/>
                      <w:sz w:val="21"/>
                      <w:szCs w:val="21"/>
                      <w:u w:val="none"/>
                      <w:lang w:val="en-US" w:eastAsia="zh-CN" w:bidi="ar"/>
                    </w:rPr>
                    <w:t>/a</w:t>
                  </w:r>
                </w:p>
              </w:tc>
              <w:tc>
                <w:tcPr>
                  <w:tcW w:w="695" w:type="dxa"/>
                  <w:tcBorders>
                    <w:tl2br w:val="nil"/>
                    <w:tr2bl w:val="nil"/>
                  </w:tcBorders>
                  <w:noWrap w:val="0"/>
                  <w:vAlign w:val="center"/>
                </w:tcPr>
                <w:p w14:paraId="5BF1B25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000000"/>
                      <w:kern w:val="0"/>
                      <w:sz w:val="21"/>
                      <w:szCs w:val="21"/>
                      <w:u w:val="none"/>
                      <w:lang w:val="en-US" w:eastAsia="zh-CN" w:bidi="ar"/>
                    </w:rPr>
                    <w:t>浓度</w:t>
                  </w:r>
                  <w:r>
                    <w:rPr>
                      <w:rFonts w:hint="default" w:ascii="Times New Roman" w:hAnsi="Times New Roman" w:eastAsia="宋体" w:cs="Times New Roman"/>
                      <w:b/>
                      <w:bCs/>
                      <w:i w:val="0"/>
                      <w:iCs w:val="0"/>
                      <w:color w:val="000000"/>
                      <w:kern w:val="0"/>
                      <w:sz w:val="21"/>
                      <w:szCs w:val="21"/>
                      <w:u w:val="none"/>
                      <w:lang w:val="en-US" w:eastAsia="zh-CN" w:bidi="ar"/>
                    </w:rPr>
                    <w:t>mg/L</w:t>
                  </w:r>
                </w:p>
              </w:tc>
              <w:tc>
                <w:tcPr>
                  <w:tcW w:w="814" w:type="dxa"/>
                  <w:tcBorders>
                    <w:tl2br w:val="nil"/>
                    <w:tr2bl w:val="nil"/>
                  </w:tcBorders>
                  <w:noWrap w:val="0"/>
                  <w:vAlign w:val="center"/>
                </w:tcPr>
                <w:p w14:paraId="5EFC707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000000"/>
                      <w:kern w:val="0"/>
                      <w:sz w:val="21"/>
                      <w:szCs w:val="21"/>
                      <w:u w:val="none"/>
                      <w:lang w:val="en-US" w:eastAsia="zh-CN" w:bidi="ar"/>
                    </w:rPr>
                    <w:t>产生量</w:t>
                  </w:r>
                </w:p>
              </w:tc>
              <w:tc>
                <w:tcPr>
                  <w:tcW w:w="674" w:type="dxa"/>
                  <w:tcBorders>
                    <w:tl2br w:val="nil"/>
                    <w:tr2bl w:val="nil"/>
                  </w:tcBorders>
                  <w:noWrap w:val="0"/>
                  <w:vAlign w:val="center"/>
                </w:tcPr>
                <w:p w14:paraId="3738E69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000000"/>
                      <w:kern w:val="0"/>
                      <w:sz w:val="21"/>
                      <w:szCs w:val="21"/>
                      <w:u w:val="none"/>
                      <w:lang w:val="en-US" w:eastAsia="zh-CN" w:bidi="ar"/>
                    </w:rPr>
                    <w:t>措施</w:t>
                  </w:r>
                </w:p>
              </w:tc>
              <w:tc>
                <w:tcPr>
                  <w:tcW w:w="615" w:type="dxa"/>
                  <w:tcBorders>
                    <w:tl2br w:val="nil"/>
                    <w:tr2bl w:val="nil"/>
                  </w:tcBorders>
                  <w:noWrap w:val="0"/>
                  <w:vAlign w:val="center"/>
                </w:tcPr>
                <w:p w14:paraId="2AA8849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000000"/>
                      <w:kern w:val="0"/>
                      <w:sz w:val="21"/>
                      <w:szCs w:val="21"/>
                      <w:u w:val="none"/>
                      <w:lang w:val="en-US" w:eastAsia="zh-CN" w:bidi="ar"/>
                    </w:rPr>
                    <w:t>去除效率</w:t>
                  </w:r>
                </w:p>
              </w:tc>
              <w:tc>
                <w:tcPr>
                  <w:tcW w:w="689" w:type="dxa"/>
                  <w:tcBorders>
                    <w:tl2br w:val="nil"/>
                    <w:tr2bl w:val="nil"/>
                  </w:tcBorders>
                  <w:noWrap w:val="0"/>
                  <w:vAlign w:val="center"/>
                </w:tcPr>
                <w:p w14:paraId="4EA5774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000000"/>
                      <w:kern w:val="0"/>
                      <w:sz w:val="21"/>
                      <w:szCs w:val="21"/>
                      <w:u w:val="none"/>
                      <w:lang w:val="en-US" w:eastAsia="zh-CN" w:bidi="ar"/>
                    </w:rPr>
                    <w:t>废水量</w:t>
                  </w:r>
                  <w:r>
                    <w:rPr>
                      <w:rFonts w:hint="default" w:ascii="Times New Roman" w:hAnsi="Times New Roman" w:eastAsia="宋体" w:cs="Times New Roman"/>
                      <w:b/>
                      <w:bCs/>
                      <w:i w:val="0"/>
                      <w:iCs w:val="0"/>
                      <w:color w:val="000000"/>
                      <w:kern w:val="0"/>
                      <w:sz w:val="21"/>
                      <w:szCs w:val="21"/>
                      <w:u w:val="none"/>
                      <w:lang w:val="en-US" w:eastAsia="zh-CN" w:bidi="ar"/>
                    </w:rPr>
                    <w:t>m</w:t>
                  </w:r>
                  <w:r>
                    <w:rPr>
                      <w:rStyle w:val="166"/>
                      <w:rFonts w:eastAsia="宋体"/>
                      <w:sz w:val="21"/>
                      <w:szCs w:val="21"/>
                      <w:lang w:val="en-US" w:eastAsia="zh-CN" w:bidi="ar"/>
                    </w:rPr>
                    <w:t>3</w:t>
                  </w:r>
                  <w:r>
                    <w:rPr>
                      <w:rFonts w:hint="default" w:ascii="Times New Roman" w:hAnsi="Times New Roman" w:eastAsia="宋体" w:cs="Times New Roman"/>
                      <w:b/>
                      <w:bCs/>
                      <w:i w:val="0"/>
                      <w:iCs w:val="0"/>
                      <w:color w:val="000000"/>
                      <w:kern w:val="0"/>
                      <w:sz w:val="21"/>
                      <w:szCs w:val="21"/>
                      <w:u w:val="none"/>
                      <w:lang w:val="en-US" w:eastAsia="zh-CN" w:bidi="ar"/>
                    </w:rPr>
                    <w:t>/a</w:t>
                  </w:r>
                </w:p>
              </w:tc>
              <w:tc>
                <w:tcPr>
                  <w:tcW w:w="709" w:type="dxa"/>
                  <w:tcBorders>
                    <w:tl2br w:val="nil"/>
                    <w:tr2bl w:val="nil"/>
                  </w:tcBorders>
                  <w:noWrap w:val="0"/>
                  <w:vAlign w:val="center"/>
                </w:tcPr>
                <w:p w14:paraId="2E8A7B8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000000"/>
                      <w:kern w:val="0"/>
                      <w:sz w:val="21"/>
                      <w:szCs w:val="21"/>
                      <w:u w:val="none"/>
                      <w:lang w:val="en-US" w:eastAsia="zh-CN" w:bidi="ar"/>
                    </w:rPr>
                    <w:t>浓度</w:t>
                  </w:r>
                  <w:r>
                    <w:rPr>
                      <w:rFonts w:hint="default" w:ascii="Times New Roman" w:hAnsi="Times New Roman" w:eastAsia="宋体" w:cs="Times New Roman"/>
                      <w:b/>
                      <w:bCs/>
                      <w:i w:val="0"/>
                      <w:iCs w:val="0"/>
                      <w:color w:val="000000"/>
                      <w:kern w:val="0"/>
                      <w:sz w:val="21"/>
                      <w:szCs w:val="21"/>
                      <w:u w:val="none"/>
                      <w:lang w:val="en-US" w:eastAsia="zh-CN" w:bidi="ar"/>
                    </w:rPr>
                    <w:t>mg/L</w:t>
                  </w:r>
                </w:p>
              </w:tc>
              <w:tc>
                <w:tcPr>
                  <w:tcW w:w="803" w:type="dxa"/>
                  <w:tcBorders>
                    <w:tl2br w:val="nil"/>
                    <w:tr2bl w:val="nil"/>
                  </w:tcBorders>
                  <w:noWrap w:val="0"/>
                  <w:vAlign w:val="center"/>
                </w:tcPr>
                <w:p w14:paraId="5FEED75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000000"/>
                      <w:kern w:val="0"/>
                      <w:sz w:val="21"/>
                      <w:szCs w:val="21"/>
                      <w:u w:val="none"/>
                      <w:lang w:val="en-US" w:eastAsia="zh-CN" w:bidi="ar"/>
                    </w:rPr>
                    <w:t>排放量</w:t>
                  </w:r>
                  <w:r>
                    <w:rPr>
                      <w:rFonts w:hint="default" w:ascii="Times New Roman" w:hAnsi="Times New Roman" w:eastAsia="宋体" w:cs="Times New Roman"/>
                      <w:b/>
                      <w:bCs/>
                      <w:i w:val="0"/>
                      <w:iCs w:val="0"/>
                      <w:color w:val="000000"/>
                      <w:kern w:val="0"/>
                      <w:sz w:val="21"/>
                      <w:szCs w:val="21"/>
                      <w:u w:val="none"/>
                      <w:lang w:val="en-US" w:eastAsia="zh-CN" w:bidi="ar"/>
                    </w:rPr>
                    <w:t>t/a</w:t>
                  </w:r>
                </w:p>
              </w:tc>
              <w:tc>
                <w:tcPr>
                  <w:tcW w:w="1223" w:type="dxa"/>
                  <w:vMerge w:val="continue"/>
                  <w:tcBorders>
                    <w:tl2br w:val="nil"/>
                    <w:tr2bl w:val="nil"/>
                  </w:tcBorders>
                  <w:noWrap/>
                  <w:vAlign w:val="center"/>
                </w:tcPr>
                <w:p w14:paraId="0CD8D0E4">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b/>
                      <w:bCs/>
                      <w:i w:val="0"/>
                      <w:iCs w:val="0"/>
                      <w:color w:val="auto"/>
                      <w:sz w:val="21"/>
                      <w:szCs w:val="21"/>
                      <w:u w:val="none"/>
                    </w:rPr>
                  </w:pPr>
                </w:p>
              </w:tc>
            </w:tr>
            <w:tr w14:paraId="61B7A21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427" w:type="dxa"/>
                  <w:vMerge w:val="restart"/>
                  <w:tcBorders>
                    <w:tl2br w:val="nil"/>
                    <w:tr2bl w:val="nil"/>
                  </w:tcBorders>
                  <w:noWrap w:val="0"/>
                  <w:vAlign w:val="center"/>
                </w:tcPr>
                <w:p w14:paraId="4BAAD4C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000000"/>
                      <w:kern w:val="0"/>
                      <w:sz w:val="21"/>
                      <w:szCs w:val="21"/>
                      <w:u w:val="none"/>
                      <w:lang w:val="en-US" w:eastAsia="zh-CN" w:bidi="ar"/>
                    </w:rPr>
                    <w:t>生活污水</w:t>
                  </w:r>
                </w:p>
              </w:tc>
              <w:tc>
                <w:tcPr>
                  <w:tcW w:w="809" w:type="dxa"/>
                  <w:tcBorders>
                    <w:tl2br w:val="nil"/>
                    <w:tr2bl w:val="nil"/>
                  </w:tcBorders>
                  <w:noWrap w:val="0"/>
                  <w:vAlign w:val="center"/>
                </w:tcPr>
                <w:p w14:paraId="1C20690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COD</w:t>
                  </w:r>
                </w:p>
              </w:tc>
              <w:tc>
                <w:tcPr>
                  <w:tcW w:w="689" w:type="dxa"/>
                  <w:vMerge w:val="restart"/>
                  <w:tcBorders>
                    <w:tl2br w:val="nil"/>
                    <w:tr2bl w:val="nil"/>
                  </w:tcBorders>
                  <w:noWrap w:val="0"/>
                  <w:vAlign w:val="center"/>
                </w:tcPr>
                <w:p w14:paraId="5C7CB56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230.4</w:t>
                  </w:r>
                </w:p>
              </w:tc>
              <w:tc>
                <w:tcPr>
                  <w:tcW w:w="695" w:type="dxa"/>
                  <w:tcBorders>
                    <w:tl2br w:val="nil"/>
                    <w:tr2bl w:val="nil"/>
                  </w:tcBorders>
                  <w:noWrap w:val="0"/>
                  <w:vAlign w:val="center"/>
                </w:tcPr>
                <w:p w14:paraId="0F0D8DD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250</w:t>
                  </w:r>
                </w:p>
              </w:tc>
              <w:tc>
                <w:tcPr>
                  <w:tcW w:w="814" w:type="dxa"/>
                  <w:tcBorders>
                    <w:tl2br w:val="nil"/>
                    <w:tr2bl w:val="nil"/>
                  </w:tcBorders>
                  <w:noWrap w:val="0"/>
                  <w:vAlign w:val="center"/>
                </w:tcPr>
                <w:p w14:paraId="45B7E94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0.0576</w:t>
                  </w:r>
                </w:p>
              </w:tc>
              <w:tc>
                <w:tcPr>
                  <w:tcW w:w="674" w:type="dxa"/>
                  <w:vMerge w:val="restart"/>
                  <w:tcBorders>
                    <w:tl2br w:val="nil"/>
                    <w:tr2bl w:val="nil"/>
                  </w:tcBorders>
                  <w:noWrap w:val="0"/>
                  <w:vAlign w:val="center"/>
                </w:tcPr>
                <w:p w14:paraId="41183F3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000000"/>
                      <w:kern w:val="0"/>
                      <w:sz w:val="21"/>
                      <w:szCs w:val="21"/>
                      <w:u w:val="none"/>
                      <w:lang w:val="en-US" w:eastAsia="zh-CN" w:bidi="ar"/>
                    </w:rPr>
                    <w:t>隔油池、化粪池处理后经总排口接管高安市工业园污水处理厂处理</w:t>
                  </w:r>
                </w:p>
              </w:tc>
              <w:tc>
                <w:tcPr>
                  <w:tcW w:w="615" w:type="dxa"/>
                  <w:tcBorders>
                    <w:tl2br w:val="nil"/>
                    <w:tr2bl w:val="nil"/>
                  </w:tcBorders>
                  <w:noWrap w:val="0"/>
                  <w:vAlign w:val="center"/>
                </w:tcPr>
                <w:p w14:paraId="1FA07C8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w:t>
                  </w:r>
                </w:p>
              </w:tc>
              <w:tc>
                <w:tcPr>
                  <w:tcW w:w="689" w:type="dxa"/>
                  <w:vMerge w:val="restart"/>
                  <w:tcBorders>
                    <w:tl2br w:val="nil"/>
                    <w:tr2bl w:val="nil"/>
                  </w:tcBorders>
                  <w:noWrap w:val="0"/>
                  <w:vAlign w:val="center"/>
                </w:tcPr>
                <w:p w14:paraId="7B552A1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230.4</w:t>
                  </w:r>
                </w:p>
              </w:tc>
              <w:tc>
                <w:tcPr>
                  <w:tcW w:w="709" w:type="dxa"/>
                  <w:tcBorders>
                    <w:tl2br w:val="nil"/>
                    <w:tr2bl w:val="nil"/>
                  </w:tcBorders>
                  <w:noWrap w:val="0"/>
                  <w:vAlign w:val="center"/>
                </w:tcPr>
                <w:p w14:paraId="70582D8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198</w:t>
                  </w:r>
                </w:p>
              </w:tc>
              <w:tc>
                <w:tcPr>
                  <w:tcW w:w="803" w:type="dxa"/>
                  <w:tcBorders>
                    <w:tl2br w:val="nil"/>
                    <w:tr2bl w:val="nil"/>
                  </w:tcBorders>
                  <w:noWrap w:val="0"/>
                  <w:vAlign w:val="center"/>
                </w:tcPr>
                <w:p w14:paraId="455BB6C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0.0456</w:t>
                  </w:r>
                </w:p>
              </w:tc>
              <w:tc>
                <w:tcPr>
                  <w:tcW w:w="1223" w:type="dxa"/>
                  <w:tcBorders>
                    <w:tl2br w:val="nil"/>
                    <w:tr2bl w:val="nil"/>
                  </w:tcBorders>
                  <w:noWrap w:val="0"/>
                  <w:vAlign w:val="center"/>
                </w:tcPr>
                <w:p w14:paraId="60A0912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500</w:t>
                  </w:r>
                </w:p>
              </w:tc>
            </w:tr>
            <w:tr w14:paraId="4D18265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427" w:type="dxa"/>
                  <w:vMerge w:val="continue"/>
                  <w:tcBorders>
                    <w:tl2br w:val="nil"/>
                    <w:tr2bl w:val="nil"/>
                  </w:tcBorders>
                  <w:noWrap w:val="0"/>
                  <w:vAlign w:val="center"/>
                </w:tcPr>
                <w:p w14:paraId="41A369F5">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auto"/>
                      <w:sz w:val="21"/>
                      <w:szCs w:val="21"/>
                      <w:u w:val="none"/>
                    </w:rPr>
                  </w:pPr>
                </w:p>
              </w:tc>
              <w:tc>
                <w:tcPr>
                  <w:tcW w:w="809" w:type="dxa"/>
                  <w:tcBorders>
                    <w:tl2br w:val="nil"/>
                    <w:tr2bl w:val="nil"/>
                  </w:tcBorders>
                  <w:noWrap w:val="0"/>
                  <w:vAlign w:val="center"/>
                </w:tcPr>
                <w:p w14:paraId="724FD97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SS</w:t>
                  </w:r>
                </w:p>
              </w:tc>
              <w:tc>
                <w:tcPr>
                  <w:tcW w:w="689" w:type="dxa"/>
                  <w:vMerge w:val="continue"/>
                  <w:tcBorders>
                    <w:tl2br w:val="nil"/>
                    <w:tr2bl w:val="nil"/>
                  </w:tcBorders>
                  <w:noWrap w:val="0"/>
                  <w:vAlign w:val="center"/>
                </w:tcPr>
                <w:p w14:paraId="75994B09">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i w:val="0"/>
                      <w:iCs w:val="0"/>
                      <w:color w:val="auto"/>
                      <w:sz w:val="21"/>
                      <w:szCs w:val="21"/>
                      <w:u w:val="none"/>
                    </w:rPr>
                  </w:pPr>
                </w:p>
              </w:tc>
              <w:tc>
                <w:tcPr>
                  <w:tcW w:w="695" w:type="dxa"/>
                  <w:tcBorders>
                    <w:tl2br w:val="nil"/>
                    <w:tr2bl w:val="nil"/>
                  </w:tcBorders>
                  <w:noWrap w:val="0"/>
                  <w:vAlign w:val="center"/>
                </w:tcPr>
                <w:p w14:paraId="4EEEAFE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200</w:t>
                  </w:r>
                </w:p>
              </w:tc>
              <w:tc>
                <w:tcPr>
                  <w:tcW w:w="814" w:type="dxa"/>
                  <w:tcBorders>
                    <w:tl2br w:val="nil"/>
                    <w:tr2bl w:val="nil"/>
                  </w:tcBorders>
                  <w:noWrap w:val="0"/>
                  <w:vAlign w:val="center"/>
                </w:tcPr>
                <w:p w14:paraId="59765C6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0.0461</w:t>
                  </w:r>
                </w:p>
              </w:tc>
              <w:tc>
                <w:tcPr>
                  <w:tcW w:w="674" w:type="dxa"/>
                  <w:vMerge w:val="continue"/>
                  <w:tcBorders>
                    <w:tl2br w:val="nil"/>
                    <w:tr2bl w:val="nil"/>
                  </w:tcBorders>
                  <w:noWrap w:val="0"/>
                  <w:vAlign w:val="center"/>
                </w:tcPr>
                <w:p w14:paraId="0EB5DD9D">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auto"/>
                      <w:sz w:val="21"/>
                      <w:szCs w:val="21"/>
                      <w:u w:val="none"/>
                    </w:rPr>
                  </w:pPr>
                </w:p>
              </w:tc>
              <w:tc>
                <w:tcPr>
                  <w:tcW w:w="615" w:type="dxa"/>
                  <w:tcBorders>
                    <w:tl2br w:val="nil"/>
                    <w:tr2bl w:val="nil"/>
                  </w:tcBorders>
                  <w:noWrap w:val="0"/>
                  <w:vAlign w:val="center"/>
                </w:tcPr>
                <w:p w14:paraId="1D34BF0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w:t>
                  </w:r>
                </w:p>
              </w:tc>
              <w:tc>
                <w:tcPr>
                  <w:tcW w:w="689" w:type="dxa"/>
                  <w:vMerge w:val="continue"/>
                  <w:tcBorders>
                    <w:tl2br w:val="nil"/>
                    <w:tr2bl w:val="nil"/>
                  </w:tcBorders>
                  <w:noWrap w:val="0"/>
                  <w:vAlign w:val="center"/>
                </w:tcPr>
                <w:p w14:paraId="02FD693E">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i w:val="0"/>
                      <w:iCs w:val="0"/>
                      <w:color w:val="auto"/>
                      <w:sz w:val="21"/>
                      <w:szCs w:val="21"/>
                      <w:u w:val="none"/>
                    </w:rPr>
                  </w:pPr>
                </w:p>
              </w:tc>
              <w:tc>
                <w:tcPr>
                  <w:tcW w:w="709" w:type="dxa"/>
                  <w:tcBorders>
                    <w:tl2br w:val="nil"/>
                    <w:tr2bl w:val="nil"/>
                  </w:tcBorders>
                  <w:noWrap w:val="0"/>
                  <w:vAlign w:val="center"/>
                </w:tcPr>
                <w:p w14:paraId="3BC28EF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100</w:t>
                  </w:r>
                </w:p>
              </w:tc>
              <w:tc>
                <w:tcPr>
                  <w:tcW w:w="803" w:type="dxa"/>
                  <w:tcBorders>
                    <w:tl2br w:val="nil"/>
                    <w:tr2bl w:val="nil"/>
                  </w:tcBorders>
                  <w:noWrap w:val="0"/>
                  <w:vAlign w:val="center"/>
                </w:tcPr>
                <w:p w14:paraId="57B4E9F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0.023</w:t>
                  </w:r>
                </w:p>
              </w:tc>
              <w:tc>
                <w:tcPr>
                  <w:tcW w:w="1223" w:type="dxa"/>
                  <w:tcBorders>
                    <w:tl2br w:val="nil"/>
                    <w:tr2bl w:val="nil"/>
                  </w:tcBorders>
                  <w:noWrap w:val="0"/>
                  <w:vAlign w:val="center"/>
                </w:tcPr>
                <w:p w14:paraId="0D72B47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400</w:t>
                  </w:r>
                </w:p>
              </w:tc>
            </w:tr>
            <w:tr w14:paraId="594920F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0" w:hRule="atLeast"/>
                <w:jc w:val="center"/>
              </w:trPr>
              <w:tc>
                <w:tcPr>
                  <w:tcW w:w="427" w:type="dxa"/>
                  <w:vMerge w:val="continue"/>
                  <w:tcBorders>
                    <w:tl2br w:val="nil"/>
                    <w:tr2bl w:val="nil"/>
                  </w:tcBorders>
                  <w:noWrap w:val="0"/>
                  <w:vAlign w:val="center"/>
                </w:tcPr>
                <w:p w14:paraId="14A8F6A7">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auto"/>
                      <w:sz w:val="21"/>
                      <w:szCs w:val="21"/>
                      <w:u w:val="none"/>
                    </w:rPr>
                  </w:pPr>
                </w:p>
              </w:tc>
              <w:tc>
                <w:tcPr>
                  <w:tcW w:w="809" w:type="dxa"/>
                  <w:tcBorders>
                    <w:tl2br w:val="nil"/>
                    <w:tr2bl w:val="nil"/>
                  </w:tcBorders>
                  <w:noWrap w:val="0"/>
                  <w:vAlign w:val="center"/>
                </w:tcPr>
                <w:p w14:paraId="7C786CF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BOD</w:t>
                  </w:r>
                  <w:r>
                    <w:rPr>
                      <w:rFonts w:hint="default" w:ascii="Times New Roman" w:hAnsi="Times New Roman" w:eastAsia="宋体" w:cs="Times New Roman"/>
                      <w:i w:val="0"/>
                      <w:iCs w:val="0"/>
                      <w:color w:val="000000"/>
                      <w:kern w:val="0"/>
                      <w:sz w:val="21"/>
                      <w:szCs w:val="21"/>
                      <w:u w:val="none"/>
                      <w:vertAlign w:val="subscript"/>
                      <w:lang w:val="en-US" w:eastAsia="zh-CN" w:bidi="ar"/>
                    </w:rPr>
                    <w:t>5</w:t>
                  </w:r>
                </w:p>
              </w:tc>
              <w:tc>
                <w:tcPr>
                  <w:tcW w:w="689" w:type="dxa"/>
                  <w:vMerge w:val="continue"/>
                  <w:tcBorders>
                    <w:tl2br w:val="nil"/>
                    <w:tr2bl w:val="nil"/>
                  </w:tcBorders>
                  <w:noWrap w:val="0"/>
                  <w:vAlign w:val="center"/>
                </w:tcPr>
                <w:p w14:paraId="4CFEF4DB">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i w:val="0"/>
                      <w:iCs w:val="0"/>
                      <w:color w:val="auto"/>
                      <w:sz w:val="21"/>
                      <w:szCs w:val="21"/>
                      <w:u w:val="none"/>
                    </w:rPr>
                  </w:pPr>
                </w:p>
              </w:tc>
              <w:tc>
                <w:tcPr>
                  <w:tcW w:w="695" w:type="dxa"/>
                  <w:tcBorders>
                    <w:tl2br w:val="nil"/>
                    <w:tr2bl w:val="nil"/>
                  </w:tcBorders>
                  <w:noWrap w:val="0"/>
                  <w:vAlign w:val="center"/>
                </w:tcPr>
                <w:p w14:paraId="2495A7E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150</w:t>
                  </w:r>
                </w:p>
              </w:tc>
              <w:tc>
                <w:tcPr>
                  <w:tcW w:w="814" w:type="dxa"/>
                  <w:tcBorders>
                    <w:tl2br w:val="nil"/>
                    <w:tr2bl w:val="nil"/>
                  </w:tcBorders>
                  <w:noWrap w:val="0"/>
                  <w:vAlign w:val="center"/>
                </w:tcPr>
                <w:p w14:paraId="6AE7089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0.0346 </w:t>
                  </w:r>
                </w:p>
              </w:tc>
              <w:tc>
                <w:tcPr>
                  <w:tcW w:w="674" w:type="dxa"/>
                  <w:vMerge w:val="continue"/>
                  <w:tcBorders>
                    <w:tl2br w:val="nil"/>
                    <w:tr2bl w:val="nil"/>
                  </w:tcBorders>
                  <w:noWrap w:val="0"/>
                  <w:vAlign w:val="center"/>
                </w:tcPr>
                <w:p w14:paraId="63AD9C75">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auto"/>
                      <w:sz w:val="21"/>
                      <w:szCs w:val="21"/>
                      <w:u w:val="none"/>
                    </w:rPr>
                  </w:pPr>
                </w:p>
              </w:tc>
              <w:tc>
                <w:tcPr>
                  <w:tcW w:w="615" w:type="dxa"/>
                  <w:tcBorders>
                    <w:tl2br w:val="nil"/>
                    <w:tr2bl w:val="nil"/>
                  </w:tcBorders>
                  <w:noWrap w:val="0"/>
                  <w:vAlign w:val="center"/>
                </w:tcPr>
                <w:p w14:paraId="0EA0655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689" w:type="dxa"/>
                  <w:vMerge w:val="continue"/>
                  <w:tcBorders>
                    <w:tl2br w:val="nil"/>
                    <w:tr2bl w:val="nil"/>
                  </w:tcBorders>
                  <w:noWrap w:val="0"/>
                  <w:vAlign w:val="center"/>
                </w:tcPr>
                <w:p w14:paraId="64AF5D8C">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i w:val="0"/>
                      <w:iCs w:val="0"/>
                      <w:color w:val="auto"/>
                      <w:sz w:val="21"/>
                      <w:szCs w:val="21"/>
                      <w:u w:val="none"/>
                    </w:rPr>
                  </w:pPr>
                </w:p>
              </w:tc>
              <w:tc>
                <w:tcPr>
                  <w:tcW w:w="709" w:type="dxa"/>
                  <w:tcBorders>
                    <w:tl2br w:val="nil"/>
                    <w:tr2bl w:val="nil"/>
                  </w:tcBorders>
                  <w:noWrap w:val="0"/>
                  <w:vAlign w:val="center"/>
                </w:tcPr>
                <w:p w14:paraId="2650A4C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135</w:t>
                  </w:r>
                </w:p>
              </w:tc>
              <w:tc>
                <w:tcPr>
                  <w:tcW w:w="803" w:type="dxa"/>
                  <w:tcBorders>
                    <w:tl2br w:val="nil"/>
                    <w:tr2bl w:val="nil"/>
                  </w:tcBorders>
                  <w:noWrap w:val="0"/>
                  <w:vAlign w:val="center"/>
                </w:tcPr>
                <w:p w14:paraId="348D6B0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0.0311</w:t>
                  </w:r>
                </w:p>
              </w:tc>
              <w:tc>
                <w:tcPr>
                  <w:tcW w:w="1223" w:type="dxa"/>
                  <w:tcBorders>
                    <w:tl2br w:val="nil"/>
                    <w:tr2bl w:val="nil"/>
                  </w:tcBorders>
                  <w:noWrap w:val="0"/>
                  <w:vAlign w:val="center"/>
                </w:tcPr>
                <w:p w14:paraId="66A83D7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300</w:t>
                  </w:r>
                </w:p>
              </w:tc>
            </w:tr>
            <w:tr w14:paraId="7CBF33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0" w:hRule="atLeast"/>
                <w:jc w:val="center"/>
              </w:trPr>
              <w:tc>
                <w:tcPr>
                  <w:tcW w:w="427" w:type="dxa"/>
                  <w:vMerge w:val="continue"/>
                  <w:tcBorders>
                    <w:tl2br w:val="nil"/>
                    <w:tr2bl w:val="nil"/>
                  </w:tcBorders>
                  <w:noWrap w:val="0"/>
                  <w:vAlign w:val="center"/>
                </w:tcPr>
                <w:p w14:paraId="71F424CE">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auto"/>
                      <w:sz w:val="21"/>
                      <w:szCs w:val="21"/>
                      <w:u w:val="none"/>
                    </w:rPr>
                  </w:pPr>
                </w:p>
              </w:tc>
              <w:tc>
                <w:tcPr>
                  <w:tcW w:w="809" w:type="dxa"/>
                  <w:tcBorders>
                    <w:tl2br w:val="nil"/>
                    <w:tr2bl w:val="nil"/>
                  </w:tcBorders>
                  <w:noWrap w:val="0"/>
                  <w:vAlign w:val="center"/>
                </w:tcPr>
                <w:p w14:paraId="6538984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NH</w:t>
                  </w:r>
                  <w:r>
                    <w:rPr>
                      <w:rFonts w:hint="default" w:ascii="Times New Roman" w:hAnsi="Times New Roman" w:eastAsia="宋体" w:cs="Times New Roman"/>
                      <w:i w:val="0"/>
                      <w:iCs w:val="0"/>
                      <w:color w:val="000000"/>
                      <w:kern w:val="0"/>
                      <w:sz w:val="21"/>
                      <w:szCs w:val="21"/>
                      <w:u w:val="none"/>
                      <w:vertAlign w:val="subscript"/>
                      <w:lang w:val="en-US" w:eastAsia="zh-CN" w:bidi="ar"/>
                    </w:rPr>
                    <w:t>3</w:t>
                  </w:r>
                  <w:r>
                    <w:rPr>
                      <w:rFonts w:hint="default" w:ascii="Times New Roman" w:hAnsi="Times New Roman" w:eastAsia="宋体" w:cs="Times New Roman"/>
                      <w:i w:val="0"/>
                      <w:iCs w:val="0"/>
                      <w:color w:val="000000"/>
                      <w:kern w:val="0"/>
                      <w:sz w:val="21"/>
                      <w:szCs w:val="21"/>
                      <w:u w:val="none"/>
                      <w:lang w:val="en-US" w:eastAsia="zh-CN" w:bidi="ar"/>
                    </w:rPr>
                    <w:t>-N</w:t>
                  </w:r>
                </w:p>
              </w:tc>
              <w:tc>
                <w:tcPr>
                  <w:tcW w:w="689" w:type="dxa"/>
                  <w:vMerge w:val="continue"/>
                  <w:tcBorders>
                    <w:tl2br w:val="nil"/>
                    <w:tr2bl w:val="nil"/>
                  </w:tcBorders>
                  <w:noWrap w:val="0"/>
                  <w:vAlign w:val="center"/>
                </w:tcPr>
                <w:p w14:paraId="3847ACB5">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i w:val="0"/>
                      <w:iCs w:val="0"/>
                      <w:color w:val="auto"/>
                      <w:sz w:val="21"/>
                      <w:szCs w:val="21"/>
                      <w:u w:val="none"/>
                    </w:rPr>
                  </w:pPr>
                </w:p>
              </w:tc>
              <w:tc>
                <w:tcPr>
                  <w:tcW w:w="695" w:type="dxa"/>
                  <w:tcBorders>
                    <w:tl2br w:val="nil"/>
                    <w:tr2bl w:val="nil"/>
                  </w:tcBorders>
                  <w:noWrap w:val="0"/>
                  <w:vAlign w:val="center"/>
                </w:tcPr>
                <w:p w14:paraId="562BEC0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25</w:t>
                  </w:r>
                </w:p>
              </w:tc>
              <w:tc>
                <w:tcPr>
                  <w:tcW w:w="814" w:type="dxa"/>
                  <w:tcBorders>
                    <w:tl2br w:val="nil"/>
                    <w:tr2bl w:val="nil"/>
                  </w:tcBorders>
                  <w:noWrap w:val="0"/>
                  <w:vAlign w:val="center"/>
                </w:tcPr>
                <w:p w14:paraId="45DEA3E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0.0058</w:t>
                  </w:r>
                </w:p>
              </w:tc>
              <w:tc>
                <w:tcPr>
                  <w:tcW w:w="674" w:type="dxa"/>
                  <w:vMerge w:val="continue"/>
                  <w:tcBorders>
                    <w:tl2br w:val="nil"/>
                    <w:tr2bl w:val="nil"/>
                  </w:tcBorders>
                  <w:noWrap w:val="0"/>
                  <w:vAlign w:val="center"/>
                </w:tcPr>
                <w:p w14:paraId="7269F8E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auto"/>
                      <w:sz w:val="21"/>
                      <w:szCs w:val="21"/>
                      <w:u w:val="none"/>
                    </w:rPr>
                  </w:pPr>
                </w:p>
              </w:tc>
              <w:tc>
                <w:tcPr>
                  <w:tcW w:w="615" w:type="dxa"/>
                  <w:tcBorders>
                    <w:tl2br w:val="nil"/>
                    <w:tr2bl w:val="nil"/>
                  </w:tcBorders>
                  <w:noWrap w:val="0"/>
                  <w:vAlign w:val="center"/>
                </w:tcPr>
                <w:p w14:paraId="7A514F3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689" w:type="dxa"/>
                  <w:vMerge w:val="continue"/>
                  <w:tcBorders>
                    <w:tl2br w:val="nil"/>
                    <w:tr2bl w:val="nil"/>
                  </w:tcBorders>
                  <w:noWrap w:val="0"/>
                  <w:vAlign w:val="center"/>
                </w:tcPr>
                <w:p w14:paraId="2E4FEB18">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i w:val="0"/>
                      <w:iCs w:val="0"/>
                      <w:color w:val="auto"/>
                      <w:sz w:val="21"/>
                      <w:szCs w:val="21"/>
                      <w:u w:val="none"/>
                    </w:rPr>
                  </w:pPr>
                </w:p>
              </w:tc>
              <w:tc>
                <w:tcPr>
                  <w:tcW w:w="709" w:type="dxa"/>
                  <w:tcBorders>
                    <w:tl2br w:val="nil"/>
                    <w:tr2bl w:val="nil"/>
                  </w:tcBorders>
                  <w:noWrap w:val="0"/>
                  <w:vAlign w:val="center"/>
                </w:tcPr>
                <w:p w14:paraId="62B3419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25</w:t>
                  </w:r>
                </w:p>
              </w:tc>
              <w:tc>
                <w:tcPr>
                  <w:tcW w:w="803" w:type="dxa"/>
                  <w:tcBorders>
                    <w:tl2br w:val="nil"/>
                    <w:tr2bl w:val="nil"/>
                  </w:tcBorders>
                  <w:noWrap w:val="0"/>
                  <w:vAlign w:val="center"/>
                </w:tcPr>
                <w:p w14:paraId="587496C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0.0058</w:t>
                  </w:r>
                </w:p>
              </w:tc>
              <w:tc>
                <w:tcPr>
                  <w:tcW w:w="1223" w:type="dxa"/>
                  <w:tcBorders>
                    <w:tl2br w:val="nil"/>
                    <w:tr2bl w:val="nil"/>
                  </w:tcBorders>
                  <w:noWrap w:val="0"/>
                  <w:vAlign w:val="center"/>
                </w:tcPr>
                <w:p w14:paraId="535E456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w:t>
                  </w:r>
                </w:p>
              </w:tc>
            </w:tr>
            <w:tr w14:paraId="43F23E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427" w:type="dxa"/>
                  <w:vMerge w:val="continue"/>
                  <w:tcBorders>
                    <w:tl2br w:val="nil"/>
                    <w:tr2bl w:val="nil"/>
                  </w:tcBorders>
                  <w:noWrap w:val="0"/>
                  <w:vAlign w:val="center"/>
                </w:tcPr>
                <w:p w14:paraId="44081B0D">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auto"/>
                      <w:sz w:val="21"/>
                      <w:szCs w:val="21"/>
                      <w:u w:val="none"/>
                    </w:rPr>
                  </w:pPr>
                </w:p>
              </w:tc>
              <w:tc>
                <w:tcPr>
                  <w:tcW w:w="809" w:type="dxa"/>
                  <w:tcBorders>
                    <w:tl2br w:val="nil"/>
                    <w:tr2bl w:val="nil"/>
                  </w:tcBorders>
                  <w:noWrap w:val="0"/>
                  <w:vAlign w:val="center"/>
                </w:tcPr>
                <w:p w14:paraId="5B5E179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TP</w:t>
                  </w:r>
                </w:p>
              </w:tc>
              <w:tc>
                <w:tcPr>
                  <w:tcW w:w="689" w:type="dxa"/>
                  <w:vMerge w:val="continue"/>
                  <w:tcBorders>
                    <w:tl2br w:val="nil"/>
                    <w:tr2bl w:val="nil"/>
                  </w:tcBorders>
                  <w:noWrap w:val="0"/>
                  <w:vAlign w:val="center"/>
                </w:tcPr>
                <w:p w14:paraId="7C672F9B">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i w:val="0"/>
                      <w:iCs w:val="0"/>
                      <w:color w:val="auto"/>
                      <w:sz w:val="21"/>
                      <w:szCs w:val="21"/>
                      <w:u w:val="none"/>
                    </w:rPr>
                  </w:pPr>
                </w:p>
              </w:tc>
              <w:tc>
                <w:tcPr>
                  <w:tcW w:w="695" w:type="dxa"/>
                  <w:tcBorders>
                    <w:tl2br w:val="nil"/>
                    <w:tr2bl w:val="nil"/>
                  </w:tcBorders>
                  <w:noWrap w:val="0"/>
                  <w:vAlign w:val="center"/>
                </w:tcPr>
                <w:p w14:paraId="3C29D15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814" w:type="dxa"/>
                  <w:tcBorders>
                    <w:tl2br w:val="nil"/>
                    <w:tr2bl w:val="nil"/>
                  </w:tcBorders>
                  <w:noWrap w:val="0"/>
                  <w:vAlign w:val="center"/>
                </w:tcPr>
                <w:p w14:paraId="136C261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0.0007</w:t>
                  </w:r>
                </w:p>
              </w:tc>
              <w:tc>
                <w:tcPr>
                  <w:tcW w:w="674" w:type="dxa"/>
                  <w:vMerge w:val="continue"/>
                  <w:tcBorders>
                    <w:tl2br w:val="nil"/>
                    <w:tr2bl w:val="nil"/>
                  </w:tcBorders>
                  <w:noWrap w:val="0"/>
                  <w:vAlign w:val="center"/>
                </w:tcPr>
                <w:p w14:paraId="5D4045C3">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auto"/>
                      <w:sz w:val="21"/>
                      <w:szCs w:val="21"/>
                      <w:u w:val="none"/>
                    </w:rPr>
                  </w:pPr>
                </w:p>
              </w:tc>
              <w:tc>
                <w:tcPr>
                  <w:tcW w:w="615" w:type="dxa"/>
                  <w:tcBorders>
                    <w:tl2br w:val="nil"/>
                    <w:tr2bl w:val="nil"/>
                  </w:tcBorders>
                  <w:noWrap w:val="0"/>
                  <w:vAlign w:val="center"/>
                </w:tcPr>
                <w:p w14:paraId="1B02FF8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689" w:type="dxa"/>
                  <w:vMerge w:val="continue"/>
                  <w:tcBorders>
                    <w:tl2br w:val="nil"/>
                    <w:tr2bl w:val="nil"/>
                  </w:tcBorders>
                  <w:noWrap w:val="0"/>
                  <w:vAlign w:val="center"/>
                </w:tcPr>
                <w:p w14:paraId="3D0D0D1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i w:val="0"/>
                      <w:iCs w:val="0"/>
                      <w:color w:val="auto"/>
                      <w:sz w:val="21"/>
                      <w:szCs w:val="21"/>
                      <w:u w:val="none"/>
                    </w:rPr>
                  </w:pPr>
                </w:p>
              </w:tc>
              <w:tc>
                <w:tcPr>
                  <w:tcW w:w="709" w:type="dxa"/>
                  <w:tcBorders>
                    <w:tl2br w:val="nil"/>
                    <w:tr2bl w:val="nil"/>
                  </w:tcBorders>
                  <w:noWrap w:val="0"/>
                  <w:vAlign w:val="center"/>
                </w:tcPr>
                <w:p w14:paraId="77A8A8C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803" w:type="dxa"/>
                  <w:tcBorders>
                    <w:tl2br w:val="nil"/>
                    <w:tr2bl w:val="nil"/>
                  </w:tcBorders>
                  <w:noWrap w:val="0"/>
                  <w:vAlign w:val="center"/>
                </w:tcPr>
                <w:p w14:paraId="6F026B9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0.0007</w:t>
                  </w:r>
                </w:p>
              </w:tc>
              <w:tc>
                <w:tcPr>
                  <w:tcW w:w="1223" w:type="dxa"/>
                  <w:tcBorders>
                    <w:tl2br w:val="nil"/>
                    <w:tr2bl w:val="nil"/>
                  </w:tcBorders>
                  <w:noWrap w:val="0"/>
                  <w:vAlign w:val="center"/>
                </w:tcPr>
                <w:p w14:paraId="283D667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w:t>
                  </w:r>
                </w:p>
              </w:tc>
            </w:tr>
            <w:tr w14:paraId="6CE143F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427" w:type="dxa"/>
                  <w:vMerge w:val="continue"/>
                  <w:tcBorders>
                    <w:tl2br w:val="nil"/>
                    <w:tr2bl w:val="nil"/>
                  </w:tcBorders>
                  <w:noWrap w:val="0"/>
                  <w:vAlign w:val="center"/>
                </w:tcPr>
                <w:p w14:paraId="70E3ADD3">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auto"/>
                      <w:sz w:val="21"/>
                      <w:szCs w:val="21"/>
                      <w:u w:val="none"/>
                    </w:rPr>
                  </w:pPr>
                </w:p>
              </w:tc>
              <w:tc>
                <w:tcPr>
                  <w:tcW w:w="809" w:type="dxa"/>
                  <w:tcBorders>
                    <w:tl2br w:val="nil"/>
                    <w:tr2bl w:val="nil"/>
                  </w:tcBorders>
                  <w:noWrap w:val="0"/>
                  <w:vAlign w:val="center"/>
                </w:tcPr>
                <w:p w14:paraId="49A112B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000000"/>
                      <w:kern w:val="0"/>
                      <w:sz w:val="21"/>
                      <w:szCs w:val="21"/>
                      <w:u w:val="none"/>
                      <w:lang w:val="en-US" w:eastAsia="zh-CN" w:bidi="ar"/>
                    </w:rPr>
                    <w:t>动植物油</w:t>
                  </w:r>
                </w:p>
              </w:tc>
              <w:tc>
                <w:tcPr>
                  <w:tcW w:w="689" w:type="dxa"/>
                  <w:vMerge w:val="continue"/>
                  <w:tcBorders>
                    <w:tl2br w:val="nil"/>
                    <w:tr2bl w:val="nil"/>
                  </w:tcBorders>
                  <w:noWrap w:val="0"/>
                  <w:vAlign w:val="center"/>
                </w:tcPr>
                <w:p w14:paraId="47B53FF0">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i w:val="0"/>
                      <w:iCs w:val="0"/>
                      <w:color w:val="auto"/>
                      <w:sz w:val="21"/>
                      <w:szCs w:val="21"/>
                      <w:u w:val="none"/>
                    </w:rPr>
                  </w:pPr>
                </w:p>
              </w:tc>
              <w:tc>
                <w:tcPr>
                  <w:tcW w:w="695" w:type="dxa"/>
                  <w:tcBorders>
                    <w:tl2br w:val="nil"/>
                    <w:tr2bl w:val="nil"/>
                  </w:tcBorders>
                  <w:noWrap w:val="0"/>
                  <w:vAlign w:val="center"/>
                </w:tcPr>
                <w:p w14:paraId="663FF7B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20</w:t>
                  </w:r>
                </w:p>
              </w:tc>
              <w:tc>
                <w:tcPr>
                  <w:tcW w:w="814" w:type="dxa"/>
                  <w:tcBorders>
                    <w:tl2br w:val="nil"/>
                    <w:tr2bl w:val="nil"/>
                  </w:tcBorders>
                  <w:noWrap w:val="0"/>
                  <w:vAlign w:val="center"/>
                </w:tcPr>
                <w:p w14:paraId="6D6974D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0.0046</w:t>
                  </w:r>
                </w:p>
              </w:tc>
              <w:tc>
                <w:tcPr>
                  <w:tcW w:w="674" w:type="dxa"/>
                  <w:vMerge w:val="continue"/>
                  <w:tcBorders>
                    <w:tl2br w:val="nil"/>
                    <w:tr2bl w:val="nil"/>
                  </w:tcBorders>
                  <w:noWrap w:val="0"/>
                  <w:vAlign w:val="center"/>
                </w:tcPr>
                <w:p w14:paraId="3DEB3135">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auto"/>
                      <w:sz w:val="21"/>
                      <w:szCs w:val="21"/>
                      <w:u w:val="none"/>
                    </w:rPr>
                  </w:pPr>
                </w:p>
              </w:tc>
              <w:tc>
                <w:tcPr>
                  <w:tcW w:w="615" w:type="dxa"/>
                  <w:tcBorders>
                    <w:tl2br w:val="nil"/>
                    <w:tr2bl w:val="nil"/>
                  </w:tcBorders>
                  <w:noWrap w:val="0"/>
                  <w:vAlign w:val="center"/>
                </w:tcPr>
                <w:p w14:paraId="2477CE7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70%</w:t>
                  </w:r>
                </w:p>
              </w:tc>
              <w:tc>
                <w:tcPr>
                  <w:tcW w:w="689" w:type="dxa"/>
                  <w:vMerge w:val="continue"/>
                  <w:tcBorders>
                    <w:tl2br w:val="nil"/>
                    <w:tr2bl w:val="nil"/>
                  </w:tcBorders>
                  <w:noWrap w:val="0"/>
                  <w:vAlign w:val="center"/>
                </w:tcPr>
                <w:p w14:paraId="0432675D">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i w:val="0"/>
                      <w:iCs w:val="0"/>
                      <w:color w:val="auto"/>
                      <w:sz w:val="21"/>
                      <w:szCs w:val="21"/>
                      <w:u w:val="none"/>
                    </w:rPr>
                  </w:pPr>
                </w:p>
              </w:tc>
              <w:tc>
                <w:tcPr>
                  <w:tcW w:w="709" w:type="dxa"/>
                  <w:tcBorders>
                    <w:tl2br w:val="nil"/>
                    <w:tr2bl w:val="nil"/>
                  </w:tcBorders>
                  <w:noWrap w:val="0"/>
                  <w:vAlign w:val="center"/>
                </w:tcPr>
                <w:p w14:paraId="35F2973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14</w:t>
                  </w:r>
                </w:p>
              </w:tc>
              <w:tc>
                <w:tcPr>
                  <w:tcW w:w="803" w:type="dxa"/>
                  <w:tcBorders>
                    <w:tl2br w:val="nil"/>
                    <w:tr2bl w:val="nil"/>
                  </w:tcBorders>
                  <w:noWrap w:val="0"/>
                  <w:vAlign w:val="center"/>
                </w:tcPr>
                <w:p w14:paraId="280F1DD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0.0032</w:t>
                  </w:r>
                </w:p>
              </w:tc>
              <w:tc>
                <w:tcPr>
                  <w:tcW w:w="1223" w:type="dxa"/>
                  <w:tcBorders>
                    <w:tl2br w:val="nil"/>
                    <w:tr2bl w:val="nil"/>
                  </w:tcBorders>
                  <w:noWrap w:val="0"/>
                  <w:vAlign w:val="center"/>
                </w:tcPr>
                <w:p w14:paraId="7E938F1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w:t>
                  </w:r>
                </w:p>
              </w:tc>
            </w:tr>
          </w:tbl>
          <w:p w14:paraId="0D692B72">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000000"/>
                <w:kern w:val="2"/>
                <w:sz w:val="21"/>
                <w:szCs w:val="21"/>
              </w:rPr>
            </w:pPr>
            <w:r>
              <w:rPr>
                <w:rFonts w:hint="eastAsia" w:ascii="宋体" w:hAnsi="宋体" w:eastAsia="宋体" w:cs="宋体"/>
                <w:b/>
                <w:bCs/>
                <w:color w:val="000000"/>
                <w:kern w:val="2"/>
                <w:sz w:val="21"/>
                <w:szCs w:val="21"/>
                <w:lang w:val="en-US" w:eastAsia="zh-CN" w:bidi="ar"/>
              </w:rPr>
              <w:t>表</w:t>
            </w:r>
            <w:r>
              <w:rPr>
                <w:rFonts w:hint="default" w:ascii="Times New Roman" w:hAnsi="Times New Roman" w:cs="Times New Roman"/>
                <w:b/>
                <w:bCs/>
                <w:color w:val="000000"/>
                <w:kern w:val="2"/>
                <w:sz w:val="21"/>
                <w:szCs w:val="21"/>
                <w:lang w:val="en-US" w:eastAsia="zh-CN" w:bidi="ar"/>
              </w:rPr>
              <w:t>4-</w:t>
            </w:r>
            <w:r>
              <w:rPr>
                <w:rFonts w:hint="eastAsia" w:cs="Times New Roman"/>
                <w:b/>
                <w:bCs/>
                <w:color w:val="000000"/>
                <w:kern w:val="2"/>
                <w:sz w:val="21"/>
                <w:szCs w:val="21"/>
                <w:lang w:val="en-US" w:eastAsia="zh-CN" w:bidi="ar"/>
              </w:rPr>
              <w:t>9</w:t>
            </w:r>
            <w:r>
              <w:rPr>
                <w:rFonts w:hint="default" w:ascii="Times New Roman" w:hAnsi="Times New Roman" w:cs="Times New Roman"/>
                <w:b/>
                <w:bCs/>
                <w:color w:val="000000"/>
                <w:kern w:val="2"/>
                <w:sz w:val="21"/>
                <w:szCs w:val="21"/>
                <w:lang w:val="en-US" w:eastAsia="zh-CN" w:bidi="ar"/>
              </w:rPr>
              <w:t xml:space="preserve"> </w:t>
            </w:r>
            <w:r>
              <w:rPr>
                <w:rFonts w:hint="eastAsia" w:ascii="宋体" w:hAnsi="宋体" w:eastAsia="宋体" w:cs="宋体"/>
                <w:b/>
                <w:bCs/>
                <w:color w:val="000000"/>
                <w:kern w:val="2"/>
                <w:sz w:val="21"/>
                <w:szCs w:val="21"/>
                <w:lang w:val="en-US" w:eastAsia="zh-CN" w:bidi="ar"/>
              </w:rPr>
              <w:t>项目运营期废水排放考核量</w:t>
            </w:r>
            <w:r>
              <w:rPr>
                <w:rFonts w:hint="eastAsia" w:ascii="宋体" w:hAnsi="宋体" w:cs="宋体"/>
                <w:b/>
                <w:bCs/>
                <w:color w:val="000000"/>
                <w:kern w:val="2"/>
                <w:sz w:val="21"/>
                <w:szCs w:val="21"/>
                <w:lang w:val="en-US" w:eastAsia="zh-CN" w:bidi="ar"/>
              </w:rPr>
              <w:t>及控制量</w:t>
            </w:r>
            <w:r>
              <w:rPr>
                <w:rFonts w:hint="eastAsia" w:ascii="宋体" w:hAnsi="宋体" w:eastAsia="宋体" w:cs="宋体"/>
                <w:b/>
                <w:bCs/>
                <w:color w:val="000000"/>
                <w:kern w:val="2"/>
                <w:sz w:val="21"/>
                <w:szCs w:val="21"/>
                <w:lang w:val="en-US" w:eastAsia="zh-CN" w:bidi="ar"/>
              </w:rPr>
              <w:t>一览表</w:t>
            </w:r>
          </w:p>
          <w:tbl>
            <w:tblPr>
              <w:tblStyle w:val="4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1" w:type="dxa"/>
                <w:bottom w:w="0" w:type="dxa"/>
                <w:right w:w="11" w:type="dxa"/>
              </w:tblCellMar>
            </w:tblPr>
            <w:tblGrid>
              <w:gridCol w:w="2388"/>
              <w:gridCol w:w="1370"/>
              <w:gridCol w:w="346"/>
              <w:gridCol w:w="600"/>
              <w:gridCol w:w="600"/>
              <w:gridCol w:w="600"/>
              <w:gridCol w:w="615"/>
              <w:gridCol w:w="600"/>
              <w:gridCol w:w="733"/>
            </w:tblGrid>
            <w:tr w14:paraId="5956C9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trHeight w:val="90" w:hRule="atLeast"/>
                <w:jc w:val="center"/>
              </w:trPr>
              <w:tc>
                <w:tcPr>
                  <w:tcW w:w="3758" w:type="dxa"/>
                  <w:gridSpan w:val="2"/>
                  <w:tcBorders>
                    <w:tl2br w:val="nil"/>
                    <w:tr2bl w:val="nil"/>
                  </w:tcBorders>
                  <w:noWrap w:val="0"/>
                  <w:vAlign w:val="center"/>
                </w:tcPr>
                <w:p w14:paraId="3B53506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FF0000"/>
                      <w:kern w:val="0"/>
                      <w:sz w:val="21"/>
                      <w:szCs w:val="21"/>
                      <w:u w:val="none"/>
                      <w:lang w:val="en-US" w:eastAsia="zh-CN" w:bidi="ar"/>
                    </w:rPr>
                  </w:pPr>
                  <w:r>
                    <w:rPr>
                      <w:rFonts w:hint="eastAsia" w:ascii="宋体" w:hAnsi="宋体" w:eastAsia="宋体" w:cs="宋体"/>
                      <w:b/>
                      <w:bCs/>
                      <w:i w:val="0"/>
                      <w:iCs w:val="0"/>
                      <w:color w:val="FF0000"/>
                      <w:kern w:val="0"/>
                      <w:sz w:val="21"/>
                      <w:szCs w:val="21"/>
                      <w:u w:val="none"/>
                      <w:lang w:val="en-US" w:eastAsia="zh-CN" w:bidi="ar"/>
                    </w:rPr>
                    <w:t>类别</w:t>
                  </w:r>
                </w:p>
              </w:tc>
              <w:tc>
                <w:tcPr>
                  <w:tcW w:w="346" w:type="dxa"/>
                  <w:tcBorders>
                    <w:tl2br w:val="nil"/>
                    <w:tr2bl w:val="nil"/>
                  </w:tcBorders>
                  <w:noWrap w:val="0"/>
                  <w:vAlign w:val="center"/>
                </w:tcPr>
                <w:p w14:paraId="7BC55A1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val="0"/>
                      <w:color w:val="FF0000"/>
                      <w:kern w:val="2"/>
                      <w:sz w:val="21"/>
                      <w:szCs w:val="21"/>
                    </w:rPr>
                  </w:pPr>
                  <w:r>
                    <w:rPr>
                      <w:rFonts w:hint="default" w:ascii="Times New Roman" w:hAnsi="Times New Roman" w:eastAsia="宋体" w:cs="Times New Roman"/>
                      <w:i w:val="0"/>
                      <w:iCs w:val="0"/>
                      <w:color w:val="FF0000"/>
                      <w:kern w:val="0"/>
                      <w:sz w:val="21"/>
                      <w:szCs w:val="21"/>
                      <w:u w:val="none"/>
                      <w:lang w:val="en-US" w:eastAsia="zh-CN" w:bidi="ar"/>
                    </w:rPr>
                    <w:t>pH</w:t>
                  </w:r>
                </w:p>
              </w:tc>
              <w:tc>
                <w:tcPr>
                  <w:tcW w:w="600" w:type="dxa"/>
                  <w:tcBorders>
                    <w:tl2br w:val="nil"/>
                    <w:tr2bl w:val="nil"/>
                  </w:tcBorders>
                  <w:noWrap w:val="0"/>
                  <w:vAlign w:val="center"/>
                </w:tcPr>
                <w:p w14:paraId="635EF41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val="0"/>
                      <w:color w:val="FF0000"/>
                      <w:kern w:val="2"/>
                      <w:sz w:val="21"/>
                      <w:szCs w:val="21"/>
                    </w:rPr>
                  </w:pPr>
                  <w:r>
                    <w:rPr>
                      <w:rFonts w:hint="default" w:ascii="Times New Roman" w:hAnsi="Times New Roman" w:eastAsia="宋体" w:cs="Times New Roman"/>
                      <w:i w:val="0"/>
                      <w:iCs w:val="0"/>
                      <w:color w:val="FF0000"/>
                      <w:kern w:val="0"/>
                      <w:sz w:val="21"/>
                      <w:szCs w:val="21"/>
                      <w:u w:val="none"/>
                      <w:lang w:val="en-US" w:eastAsia="zh-CN" w:bidi="ar"/>
                    </w:rPr>
                    <w:t>COD</w:t>
                  </w:r>
                </w:p>
              </w:tc>
              <w:tc>
                <w:tcPr>
                  <w:tcW w:w="600" w:type="dxa"/>
                  <w:tcBorders>
                    <w:tl2br w:val="nil"/>
                    <w:tr2bl w:val="nil"/>
                  </w:tcBorders>
                  <w:noWrap w:val="0"/>
                  <w:vAlign w:val="center"/>
                </w:tcPr>
                <w:p w14:paraId="6418772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val="0"/>
                      <w:color w:val="FF0000"/>
                      <w:kern w:val="2"/>
                      <w:sz w:val="21"/>
                      <w:szCs w:val="21"/>
                    </w:rPr>
                  </w:pPr>
                  <w:r>
                    <w:rPr>
                      <w:rFonts w:hint="default" w:ascii="Times New Roman" w:hAnsi="Times New Roman" w:eastAsia="宋体" w:cs="Times New Roman"/>
                      <w:i w:val="0"/>
                      <w:iCs w:val="0"/>
                      <w:color w:val="FF0000"/>
                      <w:kern w:val="0"/>
                      <w:sz w:val="21"/>
                      <w:szCs w:val="21"/>
                      <w:u w:val="none"/>
                      <w:lang w:val="en-US" w:eastAsia="zh-CN" w:bidi="ar"/>
                    </w:rPr>
                    <w:t>SS</w:t>
                  </w:r>
                </w:p>
              </w:tc>
              <w:tc>
                <w:tcPr>
                  <w:tcW w:w="600" w:type="dxa"/>
                  <w:tcBorders>
                    <w:tl2br w:val="nil"/>
                    <w:tr2bl w:val="nil"/>
                  </w:tcBorders>
                  <w:noWrap w:val="0"/>
                  <w:vAlign w:val="center"/>
                </w:tcPr>
                <w:p w14:paraId="038EC29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val="0"/>
                      <w:color w:val="FF0000"/>
                      <w:kern w:val="2"/>
                      <w:sz w:val="21"/>
                      <w:szCs w:val="21"/>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BOD</w:t>
                  </w:r>
                  <w:r>
                    <w:rPr>
                      <w:rFonts w:hint="default" w:ascii="Times New Roman" w:hAnsi="Times New Roman" w:eastAsia="宋体" w:cs="Times New Roman"/>
                      <w:i w:val="0"/>
                      <w:iCs w:val="0"/>
                      <w:color w:val="FF0000"/>
                      <w:kern w:val="0"/>
                      <w:sz w:val="21"/>
                      <w:szCs w:val="21"/>
                      <w:u w:val="none"/>
                      <w:vertAlign w:val="subscript"/>
                      <w:lang w:val="en-US" w:eastAsia="zh-CN" w:bidi="ar"/>
                    </w:rPr>
                    <w:t>5</w:t>
                  </w:r>
                </w:p>
              </w:tc>
              <w:tc>
                <w:tcPr>
                  <w:tcW w:w="615" w:type="dxa"/>
                  <w:tcBorders>
                    <w:tl2br w:val="nil"/>
                    <w:tr2bl w:val="nil"/>
                  </w:tcBorders>
                  <w:noWrap w:val="0"/>
                  <w:vAlign w:val="center"/>
                </w:tcPr>
                <w:p w14:paraId="096BA4C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val="0"/>
                      <w:color w:val="FF0000"/>
                      <w:kern w:val="2"/>
                      <w:sz w:val="21"/>
                      <w:szCs w:val="21"/>
                    </w:rPr>
                  </w:pPr>
                  <w:r>
                    <w:rPr>
                      <w:rFonts w:hint="default" w:ascii="Times New Roman" w:hAnsi="Times New Roman" w:eastAsia="宋体" w:cs="Times New Roman"/>
                      <w:i w:val="0"/>
                      <w:iCs w:val="0"/>
                      <w:color w:val="FF0000"/>
                      <w:kern w:val="0"/>
                      <w:sz w:val="21"/>
                      <w:szCs w:val="21"/>
                      <w:u w:val="none"/>
                      <w:lang w:val="en-US" w:eastAsia="zh-CN" w:bidi="ar"/>
                    </w:rPr>
                    <w:t>NH</w:t>
                  </w:r>
                  <w:r>
                    <w:rPr>
                      <w:rFonts w:hint="default" w:ascii="Times New Roman" w:hAnsi="Times New Roman" w:eastAsia="宋体" w:cs="Times New Roman"/>
                      <w:i w:val="0"/>
                      <w:iCs w:val="0"/>
                      <w:color w:val="FF0000"/>
                      <w:kern w:val="0"/>
                      <w:sz w:val="21"/>
                      <w:szCs w:val="21"/>
                      <w:u w:val="none"/>
                      <w:vertAlign w:val="subscript"/>
                      <w:lang w:val="en-US" w:eastAsia="zh-CN" w:bidi="ar"/>
                    </w:rPr>
                    <w:t>3</w:t>
                  </w:r>
                  <w:r>
                    <w:rPr>
                      <w:rFonts w:hint="default" w:ascii="Times New Roman" w:hAnsi="Times New Roman" w:eastAsia="宋体" w:cs="Times New Roman"/>
                      <w:i w:val="0"/>
                      <w:iCs w:val="0"/>
                      <w:color w:val="FF0000"/>
                      <w:kern w:val="0"/>
                      <w:sz w:val="21"/>
                      <w:szCs w:val="21"/>
                      <w:u w:val="none"/>
                      <w:lang w:val="en-US" w:eastAsia="zh-CN" w:bidi="ar"/>
                    </w:rPr>
                    <w:t>-N</w:t>
                  </w:r>
                </w:p>
              </w:tc>
              <w:tc>
                <w:tcPr>
                  <w:tcW w:w="600" w:type="dxa"/>
                  <w:tcBorders>
                    <w:tl2br w:val="nil"/>
                    <w:tr2bl w:val="nil"/>
                  </w:tcBorders>
                  <w:noWrap w:val="0"/>
                  <w:vAlign w:val="center"/>
                </w:tcPr>
                <w:p w14:paraId="3E85CAC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val="0"/>
                      <w:bCs w:val="0"/>
                      <w:color w:val="FF0000"/>
                      <w:kern w:val="2"/>
                      <w:sz w:val="21"/>
                      <w:szCs w:val="21"/>
                    </w:rPr>
                  </w:pPr>
                  <w:r>
                    <w:rPr>
                      <w:rFonts w:hint="eastAsia" w:ascii="宋体" w:hAnsi="宋体" w:eastAsia="宋体" w:cs="宋体"/>
                      <w:i w:val="0"/>
                      <w:iCs w:val="0"/>
                      <w:color w:val="FF0000"/>
                      <w:kern w:val="0"/>
                      <w:sz w:val="21"/>
                      <w:szCs w:val="21"/>
                      <w:u w:val="none"/>
                      <w:lang w:val="en-US" w:eastAsia="zh-CN" w:bidi="ar"/>
                    </w:rPr>
                    <w:t>总磷</w:t>
                  </w:r>
                </w:p>
              </w:tc>
              <w:tc>
                <w:tcPr>
                  <w:tcW w:w="733" w:type="dxa"/>
                  <w:tcBorders>
                    <w:tl2br w:val="nil"/>
                    <w:tr2bl w:val="nil"/>
                  </w:tcBorders>
                  <w:noWrap w:val="0"/>
                  <w:vAlign w:val="center"/>
                </w:tcPr>
                <w:p w14:paraId="299E7DF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val="0"/>
                      <w:color w:val="FF0000"/>
                      <w:kern w:val="2"/>
                      <w:sz w:val="21"/>
                      <w:szCs w:val="21"/>
                    </w:rPr>
                  </w:pPr>
                  <w:r>
                    <w:rPr>
                      <w:rFonts w:hint="eastAsia" w:ascii="宋体" w:hAnsi="宋体" w:eastAsia="宋体" w:cs="宋体"/>
                      <w:i w:val="0"/>
                      <w:iCs w:val="0"/>
                      <w:color w:val="FF0000"/>
                      <w:kern w:val="0"/>
                      <w:sz w:val="21"/>
                      <w:szCs w:val="21"/>
                      <w:u w:val="none"/>
                      <w:lang w:val="en-US" w:eastAsia="zh-CN" w:bidi="ar"/>
                    </w:rPr>
                    <w:t>动植物油</w:t>
                  </w:r>
                </w:p>
              </w:tc>
            </w:tr>
            <w:tr w14:paraId="709018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trHeight w:val="307" w:hRule="atLeast"/>
                <w:jc w:val="center"/>
              </w:trPr>
              <w:tc>
                <w:tcPr>
                  <w:tcW w:w="2388" w:type="dxa"/>
                  <w:vMerge w:val="restart"/>
                  <w:tcBorders>
                    <w:tl2br w:val="nil"/>
                    <w:tr2bl w:val="nil"/>
                  </w:tcBorders>
                  <w:noWrap w:val="0"/>
                  <w:vAlign w:val="center"/>
                </w:tcPr>
                <w:p w14:paraId="7A8C1F6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cs="Times New Roman"/>
                      <w:i w:val="0"/>
                      <w:iCs w:val="0"/>
                      <w:color w:val="FF0000"/>
                      <w:kern w:val="0"/>
                      <w:sz w:val="21"/>
                      <w:szCs w:val="21"/>
                      <w:u w:val="none"/>
                      <w:lang w:val="en-US" w:eastAsia="zh-CN" w:bidi="ar"/>
                    </w:rPr>
                    <w:t>厂区综合废水排放量（</w:t>
                  </w:r>
                  <w:r>
                    <w:rPr>
                      <w:rFonts w:hint="eastAsia" w:cs="Times New Roman"/>
                      <w:i w:val="0"/>
                      <w:iCs w:val="0"/>
                      <w:color w:val="FF0000"/>
                      <w:kern w:val="0"/>
                      <w:sz w:val="21"/>
                      <w:szCs w:val="21"/>
                      <w:u w:val="none"/>
                      <w:lang w:val="en-US" w:eastAsia="zh-CN" w:bidi="ar"/>
                    </w:rPr>
                    <w:t>230.4</w:t>
                  </w:r>
                  <w:r>
                    <w:rPr>
                      <w:rFonts w:hint="default" w:ascii="Times New Roman" w:hAnsi="Times New Roman" w:eastAsia="宋体" w:cs="Times New Roman"/>
                      <w:i w:val="0"/>
                      <w:iCs w:val="0"/>
                      <w:color w:val="FF0000"/>
                      <w:kern w:val="0"/>
                      <w:sz w:val="21"/>
                      <w:szCs w:val="21"/>
                      <w:u w:val="none"/>
                      <w:lang w:val="en-US" w:eastAsia="zh-CN" w:bidi="ar"/>
                    </w:rPr>
                    <w:t>m</w:t>
                  </w:r>
                  <w:r>
                    <w:rPr>
                      <w:rFonts w:hint="default" w:ascii="Times New Roman" w:hAnsi="Times New Roman" w:eastAsia="宋体" w:cs="Times New Roman"/>
                      <w:i w:val="0"/>
                      <w:iCs w:val="0"/>
                      <w:color w:val="FF0000"/>
                      <w:kern w:val="0"/>
                      <w:sz w:val="21"/>
                      <w:szCs w:val="21"/>
                      <w:u w:val="none"/>
                      <w:vertAlign w:val="superscript"/>
                      <w:lang w:val="en-US" w:eastAsia="zh-CN" w:bidi="ar"/>
                    </w:rPr>
                    <w:t>3</w:t>
                  </w:r>
                  <w:r>
                    <w:rPr>
                      <w:rFonts w:hint="default" w:ascii="Times New Roman" w:hAnsi="Times New Roman" w:eastAsia="宋体" w:cs="Times New Roman"/>
                      <w:i w:val="0"/>
                      <w:iCs w:val="0"/>
                      <w:color w:val="FF0000"/>
                      <w:kern w:val="0"/>
                      <w:sz w:val="21"/>
                      <w:szCs w:val="21"/>
                      <w:u w:val="none"/>
                      <w:lang w:val="en-US" w:eastAsia="zh-CN" w:bidi="ar"/>
                    </w:rPr>
                    <w:t>/a</w:t>
                  </w:r>
                  <w:r>
                    <w:rPr>
                      <w:rFonts w:hint="default" w:ascii="Times New Roman" w:hAnsi="Times New Roman" w:cs="Times New Roman"/>
                      <w:i w:val="0"/>
                      <w:iCs w:val="0"/>
                      <w:color w:val="FF0000"/>
                      <w:kern w:val="0"/>
                      <w:sz w:val="21"/>
                      <w:szCs w:val="21"/>
                      <w:u w:val="none"/>
                      <w:lang w:val="en-US" w:eastAsia="zh-CN" w:bidi="ar"/>
                    </w:rPr>
                    <w:t>）</w:t>
                  </w:r>
                </w:p>
              </w:tc>
              <w:tc>
                <w:tcPr>
                  <w:tcW w:w="1370" w:type="dxa"/>
                  <w:tcBorders>
                    <w:tl2br w:val="nil"/>
                    <w:tr2bl w:val="nil"/>
                  </w:tcBorders>
                  <w:noWrap w:val="0"/>
                  <w:vAlign w:val="center"/>
                </w:tcPr>
                <w:p w14:paraId="58BD5EB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FF0000"/>
                      <w:kern w:val="0"/>
                      <w:sz w:val="21"/>
                      <w:szCs w:val="21"/>
                      <w:u w:val="none"/>
                      <w:lang w:val="en-US" w:eastAsia="zh-CN" w:bidi="ar"/>
                    </w:rPr>
                  </w:pPr>
                  <w:r>
                    <w:rPr>
                      <w:rFonts w:hint="eastAsia" w:ascii="宋体" w:hAnsi="宋体" w:eastAsia="宋体" w:cs="宋体"/>
                      <w:i w:val="0"/>
                      <w:iCs w:val="0"/>
                      <w:color w:val="FF0000"/>
                      <w:kern w:val="0"/>
                      <w:sz w:val="21"/>
                      <w:szCs w:val="21"/>
                      <w:u w:val="none"/>
                      <w:lang w:val="en-US" w:eastAsia="zh-CN" w:bidi="ar"/>
                    </w:rPr>
                    <w:t>排放浓度</w:t>
                  </w:r>
                  <w:r>
                    <w:rPr>
                      <w:rFonts w:hint="default" w:ascii="Times New Roman" w:hAnsi="Times New Roman" w:eastAsia="宋体" w:cs="Times New Roman"/>
                      <w:i w:val="0"/>
                      <w:iCs w:val="0"/>
                      <w:color w:val="FF0000"/>
                      <w:kern w:val="0"/>
                      <w:sz w:val="21"/>
                      <w:szCs w:val="21"/>
                      <w:u w:val="none"/>
                      <w:lang w:val="en-US" w:eastAsia="zh-CN" w:bidi="ar"/>
                    </w:rPr>
                    <w:t>mg/L</w:t>
                  </w:r>
                </w:p>
              </w:tc>
              <w:tc>
                <w:tcPr>
                  <w:tcW w:w="346" w:type="dxa"/>
                  <w:tcBorders>
                    <w:tl2br w:val="nil"/>
                    <w:tr2bl w:val="nil"/>
                  </w:tcBorders>
                  <w:noWrap w:val="0"/>
                  <w:vAlign w:val="center"/>
                </w:tcPr>
                <w:p w14:paraId="523AEB0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6-9</w:t>
                  </w:r>
                </w:p>
              </w:tc>
              <w:tc>
                <w:tcPr>
                  <w:tcW w:w="600" w:type="dxa"/>
                  <w:tcBorders>
                    <w:tl2br w:val="nil"/>
                    <w:tr2bl w:val="nil"/>
                  </w:tcBorders>
                  <w:noWrap w:val="0"/>
                  <w:vAlign w:val="center"/>
                </w:tcPr>
                <w:p w14:paraId="6EC8A75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198</w:t>
                  </w:r>
                </w:p>
              </w:tc>
              <w:tc>
                <w:tcPr>
                  <w:tcW w:w="600" w:type="dxa"/>
                  <w:tcBorders>
                    <w:tl2br w:val="nil"/>
                    <w:tr2bl w:val="nil"/>
                  </w:tcBorders>
                  <w:noWrap w:val="0"/>
                  <w:vAlign w:val="center"/>
                </w:tcPr>
                <w:p w14:paraId="0D3F53A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100</w:t>
                  </w:r>
                </w:p>
              </w:tc>
              <w:tc>
                <w:tcPr>
                  <w:tcW w:w="600" w:type="dxa"/>
                  <w:tcBorders>
                    <w:tl2br w:val="nil"/>
                    <w:tr2bl w:val="nil"/>
                  </w:tcBorders>
                  <w:noWrap w:val="0"/>
                  <w:vAlign w:val="center"/>
                </w:tcPr>
                <w:p w14:paraId="12037BF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135</w:t>
                  </w:r>
                </w:p>
              </w:tc>
              <w:tc>
                <w:tcPr>
                  <w:tcW w:w="615" w:type="dxa"/>
                  <w:tcBorders>
                    <w:tl2br w:val="nil"/>
                    <w:tr2bl w:val="nil"/>
                  </w:tcBorders>
                  <w:noWrap w:val="0"/>
                  <w:vAlign w:val="center"/>
                </w:tcPr>
                <w:p w14:paraId="0E9BB25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25</w:t>
                  </w:r>
                </w:p>
              </w:tc>
              <w:tc>
                <w:tcPr>
                  <w:tcW w:w="600" w:type="dxa"/>
                  <w:tcBorders>
                    <w:tl2br w:val="nil"/>
                    <w:tr2bl w:val="nil"/>
                  </w:tcBorders>
                  <w:noWrap w:val="0"/>
                  <w:vAlign w:val="center"/>
                </w:tcPr>
                <w:p w14:paraId="05093E1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3</w:t>
                  </w:r>
                </w:p>
              </w:tc>
              <w:tc>
                <w:tcPr>
                  <w:tcW w:w="733" w:type="dxa"/>
                  <w:tcBorders>
                    <w:tl2br w:val="nil"/>
                    <w:tr2bl w:val="nil"/>
                  </w:tcBorders>
                  <w:noWrap w:val="0"/>
                  <w:vAlign w:val="center"/>
                </w:tcPr>
                <w:p w14:paraId="6CE4819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14</w:t>
                  </w:r>
                </w:p>
              </w:tc>
            </w:tr>
            <w:tr w14:paraId="446EA6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trHeight w:val="307" w:hRule="atLeast"/>
                <w:jc w:val="center"/>
              </w:trPr>
              <w:tc>
                <w:tcPr>
                  <w:tcW w:w="2388" w:type="dxa"/>
                  <w:vMerge w:val="continue"/>
                  <w:tcBorders>
                    <w:tl2br w:val="nil"/>
                    <w:tr2bl w:val="nil"/>
                  </w:tcBorders>
                  <w:noWrap w:val="0"/>
                  <w:vAlign w:val="center"/>
                </w:tcPr>
                <w:p w14:paraId="2011A57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1370" w:type="dxa"/>
                  <w:tcBorders>
                    <w:tl2br w:val="nil"/>
                    <w:tr2bl w:val="nil"/>
                  </w:tcBorders>
                  <w:noWrap w:val="0"/>
                  <w:vAlign w:val="center"/>
                </w:tcPr>
                <w:p w14:paraId="524833F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FF0000"/>
                      <w:kern w:val="0"/>
                      <w:sz w:val="21"/>
                      <w:szCs w:val="21"/>
                      <w:u w:val="none"/>
                      <w:lang w:val="en-US" w:eastAsia="zh-CN" w:bidi="ar"/>
                    </w:rPr>
                  </w:pPr>
                  <w:r>
                    <w:rPr>
                      <w:rFonts w:hint="eastAsia" w:ascii="宋体" w:hAnsi="宋体" w:eastAsia="宋体" w:cs="宋体"/>
                      <w:i w:val="0"/>
                      <w:iCs w:val="0"/>
                      <w:color w:val="FF0000"/>
                      <w:kern w:val="0"/>
                      <w:sz w:val="21"/>
                      <w:szCs w:val="21"/>
                      <w:u w:val="none"/>
                      <w:lang w:val="en-US" w:eastAsia="zh-CN" w:bidi="ar"/>
                    </w:rPr>
                    <w:t>排放量</w:t>
                  </w:r>
                  <w:r>
                    <w:rPr>
                      <w:rFonts w:hint="default" w:ascii="Times New Roman" w:hAnsi="Times New Roman" w:eastAsia="宋体" w:cs="Times New Roman"/>
                      <w:i w:val="0"/>
                      <w:iCs w:val="0"/>
                      <w:color w:val="FF0000"/>
                      <w:kern w:val="0"/>
                      <w:sz w:val="21"/>
                      <w:szCs w:val="21"/>
                      <w:u w:val="none"/>
                      <w:lang w:val="en-US" w:eastAsia="zh-CN" w:bidi="ar"/>
                    </w:rPr>
                    <w:t>t/a</w:t>
                  </w:r>
                </w:p>
              </w:tc>
              <w:tc>
                <w:tcPr>
                  <w:tcW w:w="346" w:type="dxa"/>
                  <w:tcBorders>
                    <w:tl2br w:val="nil"/>
                    <w:tr2bl w:val="nil"/>
                  </w:tcBorders>
                  <w:noWrap w:val="0"/>
                  <w:vAlign w:val="center"/>
                </w:tcPr>
                <w:p w14:paraId="69242EB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w:t>
                  </w:r>
                </w:p>
              </w:tc>
              <w:tc>
                <w:tcPr>
                  <w:tcW w:w="600" w:type="dxa"/>
                  <w:tcBorders>
                    <w:tl2br w:val="nil"/>
                    <w:tr2bl w:val="nil"/>
                  </w:tcBorders>
                  <w:noWrap w:val="0"/>
                  <w:vAlign w:val="center"/>
                </w:tcPr>
                <w:p w14:paraId="3B59153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0.0456</w:t>
                  </w:r>
                </w:p>
              </w:tc>
              <w:tc>
                <w:tcPr>
                  <w:tcW w:w="600" w:type="dxa"/>
                  <w:tcBorders>
                    <w:tl2br w:val="nil"/>
                    <w:tr2bl w:val="nil"/>
                  </w:tcBorders>
                  <w:noWrap w:val="0"/>
                  <w:vAlign w:val="center"/>
                </w:tcPr>
                <w:p w14:paraId="034D018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0.023</w:t>
                  </w:r>
                </w:p>
              </w:tc>
              <w:tc>
                <w:tcPr>
                  <w:tcW w:w="600" w:type="dxa"/>
                  <w:tcBorders>
                    <w:tl2br w:val="nil"/>
                    <w:tr2bl w:val="nil"/>
                  </w:tcBorders>
                  <w:noWrap w:val="0"/>
                  <w:vAlign w:val="center"/>
                </w:tcPr>
                <w:p w14:paraId="2D04A63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0.0311</w:t>
                  </w:r>
                </w:p>
              </w:tc>
              <w:tc>
                <w:tcPr>
                  <w:tcW w:w="615" w:type="dxa"/>
                  <w:tcBorders>
                    <w:tl2br w:val="nil"/>
                    <w:tr2bl w:val="nil"/>
                  </w:tcBorders>
                  <w:noWrap w:val="0"/>
                  <w:vAlign w:val="center"/>
                </w:tcPr>
                <w:p w14:paraId="001BFD4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0.0058</w:t>
                  </w:r>
                </w:p>
              </w:tc>
              <w:tc>
                <w:tcPr>
                  <w:tcW w:w="600" w:type="dxa"/>
                  <w:tcBorders>
                    <w:tl2br w:val="nil"/>
                    <w:tr2bl w:val="nil"/>
                  </w:tcBorders>
                  <w:noWrap w:val="0"/>
                  <w:vAlign w:val="center"/>
                </w:tcPr>
                <w:p w14:paraId="7BC72A4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0.0007</w:t>
                  </w:r>
                </w:p>
              </w:tc>
              <w:tc>
                <w:tcPr>
                  <w:tcW w:w="733" w:type="dxa"/>
                  <w:tcBorders>
                    <w:tl2br w:val="nil"/>
                    <w:tr2bl w:val="nil"/>
                  </w:tcBorders>
                  <w:noWrap w:val="0"/>
                  <w:vAlign w:val="center"/>
                </w:tcPr>
                <w:p w14:paraId="162AFDB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0.0032</w:t>
                  </w:r>
                </w:p>
              </w:tc>
            </w:tr>
            <w:tr w14:paraId="6D037A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trHeight w:val="307" w:hRule="atLeast"/>
                <w:jc w:val="center"/>
              </w:trPr>
              <w:tc>
                <w:tcPr>
                  <w:tcW w:w="2388" w:type="dxa"/>
                  <w:vMerge w:val="restart"/>
                  <w:tcBorders>
                    <w:tl2br w:val="nil"/>
                    <w:tr2bl w:val="nil"/>
                  </w:tcBorders>
                  <w:noWrap w:val="0"/>
                  <w:vAlign w:val="center"/>
                </w:tcPr>
                <w:p w14:paraId="64235AB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FF0000"/>
                      <w:kern w:val="2"/>
                      <w:sz w:val="21"/>
                      <w:szCs w:val="21"/>
                    </w:rPr>
                  </w:pPr>
                  <w:r>
                    <w:rPr>
                      <w:rFonts w:hint="default" w:ascii="Times New Roman" w:hAnsi="Times New Roman" w:eastAsia="宋体" w:cs="Times New Roman"/>
                      <w:i w:val="0"/>
                      <w:iCs w:val="0"/>
                      <w:color w:val="FF0000"/>
                      <w:kern w:val="0"/>
                      <w:sz w:val="21"/>
                      <w:szCs w:val="21"/>
                      <w:u w:val="none"/>
                      <w:lang w:val="en-US" w:eastAsia="zh-CN" w:bidi="ar"/>
                    </w:rPr>
                    <w:t>污水处理厂尾水（</w:t>
                  </w:r>
                  <w:r>
                    <w:rPr>
                      <w:rFonts w:hint="eastAsia" w:cs="Times New Roman"/>
                      <w:i w:val="0"/>
                      <w:iCs w:val="0"/>
                      <w:color w:val="FF0000"/>
                      <w:kern w:val="0"/>
                      <w:sz w:val="21"/>
                      <w:szCs w:val="21"/>
                      <w:u w:val="none"/>
                      <w:lang w:val="en-US" w:eastAsia="zh-CN" w:bidi="ar"/>
                    </w:rPr>
                    <w:t>230.4</w:t>
                  </w:r>
                  <w:r>
                    <w:rPr>
                      <w:rFonts w:hint="default" w:ascii="Times New Roman" w:hAnsi="Times New Roman" w:eastAsia="宋体" w:cs="Times New Roman"/>
                      <w:i w:val="0"/>
                      <w:iCs w:val="0"/>
                      <w:color w:val="FF0000"/>
                      <w:kern w:val="0"/>
                      <w:sz w:val="21"/>
                      <w:szCs w:val="21"/>
                      <w:u w:val="none"/>
                      <w:lang w:val="en-US" w:eastAsia="zh-CN" w:bidi="ar"/>
                    </w:rPr>
                    <w:t>m</w:t>
                  </w:r>
                  <w:r>
                    <w:rPr>
                      <w:rFonts w:hint="default" w:ascii="Times New Roman" w:hAnsi="Times New Roman" w:eastAsia="宋体" w:cs="Times New Roman"/>
                      <w:i w:val="0"/>
                      <w:iCs w:val="0"/>
                      <w:color w:val="FF0000"/>
                      <w:kern w:val="0"/>
                      <w:sz w:val="21"/>
                      <w:szCs w:val="21"/>
                      <w:u w:val="none"/>
                      <w:vertAlign w:val="superscript"/>
                      <w:lang w:val="en-US" w:eastAsia="zh-CN" w:bidi="ar"/>
                    </w:rPr>
                    <w:t>3</w:t>
                  </w:r>
                  <w:r>
                    <w:rPr>
                      <w:rFonts w:hint="default" w:ascii="Times New Roman" w:hAnsi="Times New Roman" w:eastAsia="宋体" w:cs="Times New Roman"/>
                      <w:i w:val="0"/>
                      <w:iCs w:val="0"/>
                      <w:color w:val="FF0000"/>
                      <w:kern w:val="0"/>
                      <w:sz w:val="21"/>
                      <w:szCs w:val="21"/>
                      <w:u w:val="none"/>
                      <w:lang w:val="en-US" w:eastAsia="zh-CN" w:bidi="ar"/>
                    </w:rPr>
                    <w:t>/a）</w:t>
                  </w:r>
                </w:p>
              </w:tc>
              <w:tc>
                <w:tcPr>
                  <w:tcW w:w="1370" w:type="dxa"/>
                  <w:tcBorders>
                    <w:tl2br w:val="nil"/>
                    <w:tr2bl w:val="nil"/>
                  </w:tcBorders>
                  <w:noWrap w:val="0"/>
                  <w:vAlign w:val="center"/>
                </w:tcPr>
                <w:p w14:paraId="5F7B411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FF0000"/>
                      <w:kern w:val="2"/>
                      <w:sz w:val="21"/>
                      <w:szCs w:val="21"/>
                    </w:rPr>
                  </w:pPr>
                  <w:r>
                    <w:rPr>
                      <w:rFonts w:hint="eastAsia" w:ascii="宋体" w:hAnsi="宋体" w:eastAsia="宋体" w:cs="宋体"/>
                      <w:i w:val="0"/>
                      <w:iCs w:val="0"/>
                      <w:color w:val="FF0000"/>
                      <w:kern w:val="0"/>
                      <w:sz w:val="21"/>
                      <w:szCs w:val="21"/>
                      <w:u w:val="none"/>
                      <w:lang w:val="en-US" w:eastAsia="zh-CN" w:bidi="ar"/>
                    </w:rPr>
                    <w:t>排放浓度</w:t>
                  </w:r>
                  <w:r>
                    <w:rPr>
                      <w:rFonts w:hint="default" w:ascii="Times New Roman" w:hAnsi="Times New Roman" w:eastAsia="宋体" w:cs="Times New Roman"/>
                      <w:i w:val="0"/>
                      <w:iCs w:val="0"/>
                      <w:color w:val="FF0000"/>
                      <w:kern w:val="0"/>
                      <w:sz w:val="21"/>
                      <w:szCs w:val="21"/>
                      <w:u w:val="none"/>
                      <w:lang w:val="en-US" w:eastAsia="zh-CN" w:bidi="ar"/>
                    </w:rPr>
                    <w:t>mg/L</w:t>
                  </w:r>
                </w:p>
              </w:tc>
              <w:tc>
                <w:tcPr>
                  <w:tcW w:w="346" w:type="dxa"/>
                  <w:tcBorders>
                    <w:tl2br w:val="nil"/>
                    <w:tr2bl w:val="nil"/>
                  </w:tcBorders>
                  <w:noWrap w:val="0"/>
                  <w:vAlign w:val="center"/>
                </w:tcPr>
                <w:p w14:paraId="46F4860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6~9</w:t>
                  </w:r>
                </w:p>
              </w:tc>
              <w:tc>
                <w:tcPr>
                  <w:tcW w:w="600" w:type="dxa"/>
                  <w:tcBorders>
                    <w:tl2br w:val="nil"/>
                    <w:tr2bl w:val="nil"/>
                  </w:tcBorders>
                  <w:noWrap w:val="0"/>
                  <w:vAlign w:val="center"/>
                </w:tcPr>
                <w:p w14:paraId="42DB5DC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color w:val="FF0000"/>
                      <w:sz w:val="21"/>
                      <w:szCs w:val="21"/>
                      <w:lang w:val="en-US"/>
                    </w:rPr>
                  </w:pPr>
                  <w:r>
                    <w:rPr>
                      <w:rFonts w:hint="eastAsia" w:cs="Times New Roman"/>
                      <w:i w:val="0"/>
                      <w:iCs w:val="0"/>
                      <w:color w:val="FF0000"/>
                      <w:kern w:val="0"/>
                      <w:sz w:val="21"/>
                      <w:szCs w:val="21"/>
                      <w:u w:val="none"/>
                      <w:lang w:val="en-US" w:eastAsia="zh-CN" w:bidi="ar"/>
                    </w:rPr>
                    <w:t>50</w:t>
                  </w:r>
                </w:p>
              </w:tc>
              <w:tc>
                <w:tcPr>
                  <w:tcW w:w="600" w:type="dxa"/>
                  <w:tcBorders>
                    <w:tl2br w:val="nil"/>
                    <w:tr2bl w:val="nil"/>
                  </w:tcBorders>
                  <w:noWrap w:val="0"/>
                  <w:vAlign w:val="center"/>
                </w:tcPr>
                <w:p w14:paraId="2795515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10</w:t>
                  </w:r>
                </w:p>
              </w:tc>
              <w:tc>
                <w:tcPr>
                  <w:tcW w:w="600" w:type="dxa"/>
                  <w:tcBorders>
                    <w:tl2br w:val="nil"/>
                    <w:tr2bl w:val="nil"/>
                  </w:tcBorders>
                  <w:noWrap w:val="0"/>
                  <w:vAlign w:val="center"/>
                </w:tcPr>
                <w:p w14:paraId="03CB43C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color w:val="FF0000"/>
                      <w:sz w:val="21"/>
                      <w:szCs w:val="21"/>
                      <w:lang w:val="en-US" w:eastAsia="zh-CN"/>
                    </w:rPr>
                  </w:pPr>
                  <w:r>
                    <w:rPr>
                      <w:rFonts w:hint="eastAsia" w:cs="Times New Roman"/>
                      <w:i w:val="0"/>
                      <w:iCs w:val="0"/>
                      <w:color w:val="FF0000"/>
                      <w:kern w:val="0"/>
                      <w:sz w:val="21"/>
                      <w:szCs w:val="21"/>
                      <w:u w:val="none"/>
                      <w:lang w:val="en-US" w:eastAsia="zh-CN" w:bidi="ar"/>
                    </w:rPr>
                    <w:t>10</w:t>
                  </w:r>
                </w:p>
              </w:tc>
              <w:tc>
                <w:tcPr>
                  <w:tcW w:w="615" w:type="dxa"/>
                  <w:tcBorders>
                    <w:tl2br w:val="nil"/>
                    <w:tr2bl w:val="nil"/>
                  </w:tcBorders>
                  <w:noWrap w:val="0"/>
                  <w:vAlign w:val="center"/>
                </w:tcPr>
                <w:p w14:paraId="36B6CA6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color w:val="FF0000"/>
                      <w:sz w:val="21"/>
                      <w:szCs w:val="21"/>
                    </w:rPr>
                  </w:pPr>
                  <w:r>
                    <w:rPr>
                      <w:rFonts w:hint="eastAsia" w:cs="Times New Roman"/>
                      <w:i w:val="0"/>
                      <w:iCs w:val="0"/>
                      <w:color w:val="FF0000"/>
                      <w:kern w:val="0"/>
                      <w:sz w:val="21"/>
                      <w:szCs w:val="21"/>
                      <w:u w:val="none"/>
                      <w:lang w:val="en-US" w:eastAsia="zh-CN" w:bidi="ar"/>
                    </w:rPr>
                    <w:t>5</w:t>
                  </w:r>
                </w:p>
              </w:tc>
              <w:tc>
                <w:tcPr>
                  <w:tcW w:w="600" w:type="dxa"/>
                  <w:tcBorders>
                    <w:tl2br w:val="nil"/>
                    <w:tr2bl w:val="nil"/>
                  </w:tcBorders>
                  <w:noWrap w:val="0"/>
                  <w:vAlign w:val="center"/>
                </w:tcPr>
                <w:p w14:paraId="53985ED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color w:val="FF0000"/>
                      <w:sz w:val="21"/>
                      <w:szCs w:val="21"/>
                      <w:lang w:val="en-US"/>
                    </w:rPr>
                  </w:pPr>
                  <w:r>
                    <w:rPr>
                      <w:rFonts w:hint="eastAsia" w:cs="Times New Roman"/>
                      <w:i w:val="0"/>
                      <w:iCs w:val="0"/>
                      <w:color w:val="FF0000"/>
                      <w:kern w:val="0"/>
                      <w:sz w:val="21"/>
                      <w:szCs w:val="21"/>
                      <w:u w:val="none"/>
                      <w:lang w:val="en-US" w:eastAsia="zh-CN" w:bidi="ar"/>
                    </w:rPr>
                    <w:t>0.5</w:t>
                  </w:r>
                </w:p>
              </w:tc>
              <w:tc>
                <w:tcPr>
                  <w:tcW w:w="733" w:type="dxa"/>
                  <w:tcBorders>
                    <w:tl2br w:val="nil"/>
                    <w:tr2bl w:val="nil"/>
                  </w:tcBorders>
                  <w:noWrap w:val="0"/>
                  <w:vAlign w:val="center"/>
                </w:tcPr>
                <w:p w14:paraId="43AD23F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color w:val="FF0000"/>
                      <w:sz w:val="21"/>
                      <w:szCs w:val="21"/>
                      <w:lang w:val="en-US" w:eastAsia="zh-CN"/>
                    </w:rPr>
                  </w:pPr>
                  <w:r>
                    <w:rPr>
                      <w:rFonts w:hint="eastAsia" w:cs="Times New Roman"/>
                      <w:i w:val="0"/>
                      <w:iCs w:val="0"/>
                      <w:color w:val="FF0000"/>
                      <w:kern w:val="0"/>
                      <w:sz w:val="21"/>
                      <w:szCs w:val="21"/>
                      <w:u w:val="none"/>
                      <w:lang w:val="en-US" w:eastAsia="zh-CN" w:bidi="ar"/>
                    </w:rPr>
                    <w:t>1</w:t>
                  </w:r>
                </w:p>
              </w:tc>
            </w:tr>
            <w:tr w14:paraId="5859B6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trHeight w:val="356" w:hRule="atLeast"/>
                <w:jc w:val="center"/>
              </w:trPr>
              <w:tc>
                <w:tcPr>
                  <w:tcW w:w="2388" w:type="dxa"/>
                  <w:vMerge w:val="continue"/>
                  <w:tcBorders>
                    <w:tl2br w:val="nil"/>
                    <w:tr2bl w:val="nil"/>
                  </w:tcBorders>
                  <w:noWrap w:val="0"/>
                  <w:vAlign w:val="center"/>
                </w:tcPr>
                <w:p w14:paraId="61050279">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FF0000"/>
                      <w:sz w:val="21"/>
                      <w:szCs w:val="21"/>
                    </w:rPr>
                  </w:pPr>
                </w:p>
              </w:tc>
              <w:tc>
                <w:tcPr>
                  <w:tcW w:w="1370" w:type="dxa"/>
                  <w:tcBorders>
                    <w:tl2br w:val="nil"/>
                    <w:tr2bl w:val="nil"/>
                  </w:tcBorders>
                  <w:noWrap w:val="0"/>
                  <w:vAlign w:val="center"/>
                </w:tcPr>
                <w:p w14:paraId="11AAF91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FF0000"/>
                      <w:kern w:val="2"/>
                      <w:sz w:val="21"/>
                      <w:szCs w:val="21"/>
                    </w:rPr>
                  </w:pPr>
                  <w:r>
                    <w:rPr>
                      <w:rFonts w:hint="eastAsia" w:ascii="宋体" w:hAnsi="宋体" w:eastAsia="宋体" w:cs="宋体"/>
                      <w:i w:val="0"/>
                      <w:iCs w:val="0"/>
                      <w:color w:val="FF0000"/>
                      <w:kern w:val="0"/>
                      <w:sz w:val="21"/>
                      <w:szCs w:val="21"/>
                      <w:u w:val="none"/>
                      <w:lang w:val="en-US" w:eastAsia="zh-CN" w:bidi="ar"/>
                    </w:rPr>
                    <w:t>排放量</w:t>
                  </w:r>
                  <w:r>
                    <w:rPr>
                      <w:rFonts w:hint="default" w:ascii="Times New Roman" w:hAnsi="Times New Roman" w:eastAsia="宋体" w:cs="Times New Roman"/>
                      <w:i w:val="0"/>
                      <w:iCs w:val="0"/>
                      <w:color w:val="FF0000"/>
                      <w:kern w:val="0"/>
                      <w:sz w:val="21"/>
                      <w:szCs w:val="21"/>
                      <w:u w:val="none"/>
                      <w:lang w:val="en-US" w:eastAsia="zh-CN" w:bidi="ar"/>
                    </w:rPr>
                    <w:t>t/a</w:t>
                  </w:r>
                </w:p>
              </w:tc>
              <w:tc>
                <w:tcPr>
                  <w:tcW w:w="346" w:type="dxa"/>
                  <w:tcBorders>
                    <w:tl2br w:val="nil"/>
                    <w:tr2bl w:val="nil"/>
                  </w:tcBorders>
                  <w:noWrap w:val="0"/>
                  <w:vAlign w:val="bottom"/>
                </w:tcPr>
                <w:p w14:paraId="5CEC471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bottom"/>
                    <w:rPr>
                      <w:rFonts w:hint="eastAsia"/>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w:t>
                  </w:r>
                </w:p>
              </w:tc>
              <w:tc>
                <w:tcPr>
                  <w:tcW w:w="600" w:type="dxa"/>
                  <w:tcBorders>
                    <w:tl2br w:val="nil"/>
                    <w:tr2bl w:val="nil"/>
                  </w:tcBorders>
                  <w:noWrap w:val="0"/>
                  <w:vAlign w:val="center"/>
                </w:tcPr>
                <w:p w14:paraId="130B545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0.01</w:t>
                  </w:r>
                  <w:r>
                    <w:rPr>
                      <w:rFonts w:hint="eastAsia" w:cs="Times New Roman"/>
                      <w:i w:val="0"/>
                      <w:iCs w:val="0"/>
                      <w:color w:val="FF0000"/>
                      <w:kern w:val="0"/>
                      <w:sz w:val="21"/>
                      <w:szCs w:val="21"/>
                      <w:u w:val="none"/>
                      <w:lang w:val="en-US" w:eastAsia="zh-CN" w:bidi="ar"/>
                    </w:rPr>
                    <w:t>2</w:t>
                  </w:r>
                </w:p>
              </w:tc>
              <w:tc>
                <w:tcPr>
                  <w:tcW w:w="600" w:type="dxa"/>
                  <w:tcBorders>
                    <w:tl2br w:val="nil"/>
                    <w:tr2bl w:val="nil"/>
                  </w:tcBorders>
                  <w:noWrap w:val="0"/>
                  <w:vAlign w:val="center"/>
                </w:tcPr>
                <w:p w14:paraId="6CC67A9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color w:val="FF0000"/>
                      <w:sz w:val="21"/>
                      <w:szCs w:val="21"/>
                      <w:lang w:val="en-US"/>
                    </w:rPr>
                  </w:pPr>
                  <w:r>
                    <w:rPr>
                      <w:rFonts w:hint="default" w:ascii="Times New Roman" w:hAnsi="Times New Roman" w:eastAsia="宋体" w:cs="Times New Roman"/>
                      <w:i w:val="0"/>
                      <w:iCs w:val="0"/>
                      <w:color w:val="FF0000"/>
                      <w:kern w:val="0"/>
                      <w:sz w:val="21"/>
                      <w:szCs w:val="21"/>
                      <w:u w:val="none"/>
                      <w:lang w:val="en-US" w:eastAsia="zh-CN" w:bidi="ar"/>
                    </w:rPr>
                    <w:t>0.002</w:t>
                  </w:r>
                </w:p>
              </w:tc>
              <w:tc>
                <w:tcPr>
                  <w:tcW w:w="600" w:type="dxa"/>
                  <w:tcBorders>
                    <w:tl2br w:val="nil"/>
                    <w:tr2bl w:val="nil"/>
                  </w:tcBorders>
                  <w:noWrap w:val="0"/>
                  <w:vAlign w:val="center"/>
                </w:tcPr>
                <w:p w14:paraId="2D8581D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0.002</w:t>
                  </w:r>
                </w:p>
              </w:tc>
              <w:tc>
                <w:tcPr>
                  <w:tcW w:w="615" w:type="dxa"/>
                  <w:tcBorders>
                    <w:tl2br w:val="nil"/>
                    <w:tr2bl w:val="nil"/>
                  </w:tcBorders>
                  <w:noWrap w:val="0"/>
                  <w:vAlign w:val="center"/>
                </w:tcPr>
                <w:p w14:paraId="43698C8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0.001</w:t>
                  </w:r>
                </w:p>
              </w:tc>
              <w:tc>
                <w:tcPr>
                  <w:tcW w:w="600" w:type="dxa"/>
                  <w:tcBorders>
                    <w:tl2br w:val="nil"/>
                    <w:tr2bl w:val="nil"/>
                  </w:tcBorders>
                  <w:noWrap w:val="0"/>
                  <w:vAlign w:val="center"/>
                </w:tcPr>
                <w:p w14:paraId="50EB893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0.0001</w:t>
                  </w:r>
                </w:p>
              </w:tc>
              <w:tc>
                <w:tcPr>
                  <w:tcW w:w="733" w:type="dxa"/>
                  <w:tcBorders>
                    <w:tl2br w:val="nil"/>
                    <w:tr2bl w:val="nil"/>
                  </w:tcBorders>
                  <w:noWrap w:val="0"/>
                  <w:vAlign w:val="center"/>
                </w:tcPr>
                <w:p w14:paraId="299254F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0.0002</w:t>
                  </w:r>
                </w:p>
              </w:tc>
            </w:tr>
          </w:tbl>
          <w:p w14:paraId="0D601BC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000000"/>
                <w:kern w:val="2"/>
                <w:sz w:val="21"/>
                <w:szCs w:val="24"/>
                <w:lang w:val="en-US" w:eastAsia="zh-CN" w:bidi="ar-SA"/>
              </w:rPr>
            </w:pPr>
            <w:r>
              <w:rPr>
                <w:rFonts w:hint="eastAsia" w:ascii="Times New Roman" w:hAnsi="Times New Roman" w:eastAsia="宋体" w:cs="Times New Roman"/>
                <w:b/>
                <w:bCs/>
                <w:color w:val="000000"/>
                <w:kern w:val="2"/>
                <w:sz w:val="21"/>
                <w:szCs w:val="24"/>
                <w:lang w:val="en-US" w:eastAsia="zh-CN" w:bidi="ar-SA"/>
              </w:rPr>
              <w:t>表4-</w:t>
            </w:r>
            <w:r>
              <w:rPr>
                <w:rFonts w:hint="eastAsia" w:cs="Times New Roman"/>
                <w:b/>
                <w:bCs/>
                <w:color w:val="000000"/>
                <w:kern w:val="2"/>
                <w:sz w:val="21"/>
                <w:szCs w:val="24"/>
                <w:lang w:val="en-US" w:eastAsia="zh-CN" w:bidi="ar-SA"/>
              </w:rPr>
              <w:t>10</w:t>
            </w:r>
            <w:r>
              <w:rPr>
                <w:rFonts w:hint="eastAsia" w:ascii="Times New Roman" w:hAnsi="Times New Roman" w:eastAsia="宋体" w:cs="Times New Roman"/>
                <w:b/>
                <w:bCs/>
                <w:color w:val="000000"/>
                <w:kern w:val="2"/>
                <w:sz w:val="21"/>
                <w:szCs w:val="24"/>
                <w:lang w:val="en-US" w:eastAsia="zh-CN" w:bidi="ar-SA"/>
              </w:rPr>
              <w:t xml:space="preserve"> </w:t>
            </w:r>
            <w:r>
              <w:rPr>
                <w:rFonts w:hint="default" w:ascii="Times New Roman" w:hAnsi="Times New Roman" w:cs="Times New Roman"/>
                <w:b/>
                <w:bCs/>
                <w:color w:val="000000"/>
                <w:sz w:val="21"/>
                <w:szCs w:val="21"/>
              </w:rPr>
              <w:t>废水类别、污染物及污染治理设施信息表</w:t>
            </w:r>
          </w:p>
          <w:tbl>
            <w:tblPr>
              <w:tblStyle w:val="4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86"/>
              <w:gridCol w:w="386"/>
              <w:gridCol w:w="705"/>
              <w:gridCol w:w="553"/>
              <w:gridCol w:w="554"/>
              <w:gridCol w:w="386"/>
              <w:gridCol w:w="385"/>
              <w:gridCol w:w="554"/>
              <w:gridCol w:w="554"/>
              <w:gridCol w:w="921"/>
              <w:gridCol w:w="386"/>
              <w:gridCol w:w="1546"/>
              <w:gridCol w:w="536"/>
            </w:tblGrid>
            <w:tr w14:paraId="0AC3AB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386" w:type="dxa"/>
                  <w:vMerge w:val="restart"/>
                  <w:tcBorders>
                    <w:tl2br w:val="nil"/>
                    <w:tr2bl w:val="nil"/>
                  </w:tcBorders>
                  <w:noWrap w:val="0"/>
                  <w:vAlign w:val="center"/>
                </w:tcPr>
                <w:p w14:paraId="3D238BF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eastAsia="宋体" w:cs="Times New Roman"/>
                      <w:b/>
                      <w:bCs/>
                      <w:color w:val="000000"/>
                      <w:sz w:val="21"/>
                      <w:szCs w:val="21"/>
                      <w:lang w:eastAsia="zh-CN"/>
                    </w:rPr>
                  </w:pPr>
                  <w:r>
                    <w:rPr>
                      <w:rFonts w:hint="eastAsia" w:ascii="Times New Roman" w:hAnsi="Times New Roman" w:cs="Times New Roman"/>
                      <w:b/>
                      <w:bCs/>
                      <w:color w:val="000000"/>
                      <w:sz w:val="21"/>
                      <w:szCs w:val="21"/>
                      <w:lang w:eastAsia="zh-CN"/>
                    </w:rPr>
                    <w:t>产排污环节</w:t>
                  </w:r>
                </w:p>
              </w:tc>
              <w:tc>
                <w:tcPr>
                  <w:tcW w:w="386" w:type="dxa"/>
                  <w:vMerge w:val="restart"/>
                  <w:tcBorders>
                    <w:tl2br w:val="nil"/>
                    <w:tr2bl w:val="nil"/>
                  </w:tcBorders>
                  <w:noWrap w:val="0"/>
                  <w:vAlign w:val="center"/>
                </w:tcPr>
                <w:p w14:paraId="14538BF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废水类别</w:t>
                  </w:r>
                </w:p>
              </w:tc>
              <w:tc>
                <w:tcPr>
                  <w:tcW w:w="705" w:type="dxa"/>
                  <w:vMerge w:val="restart"/>
                  <w:tcBorders>
                    <w:tl2br w:val="nil"/>
                    <w:tr2bl w:val="nil"/>
                  </w:tcBorders>
                  <w:noWrap w:val="0"/>
                  <w:vAlign w:val="center"/>
                </w:tcPr>
                <w:p w14:paraId="26577164">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污染物种类</w:t>
                  </w:r>
                </w:p>
              </w:tc>
              <w:tc>
                <w:tcPr>
                  <w:tcW w:w="1493" w:type="dxa"/>
                  <w:gridSpan w:val="3"/>
                  <w:tcBorders>
                    <w:tl2br w:val="nil"/>
                    <w:tr2bl w:val="nil"/>
                  </w:tcBorders>
                  <w:noWrap w:val="0"/>
                  <w:vAlign w:val="center"/>
                </w:tcPr>
                <w:p w14:paraId="7A429117">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污染治理设施</w:t>
                  </w:r>
                </w:p>
              </w:tc>
              <w:tc>
                <w:tcPr>
                  <w:tcW w:w="4346" w:type="dxa"/>
                  <w:gridSpan w:val="6"/>
                  <w:tcBorders>
                    <w:tl2br w:val="nil"/>
                    <w:tr2bl w:val="nil"/>
                  </w:tcBorders>
                  <w:noWrap w:val="0"/>
                  <w:vAlign w:val="center"/>
                </w:tcPr>
                <w:p w14:paraId="620F300D">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b/>
                      <w:bCs/>
                      <w:color w:val="000000"/>
                      <w:sz w:val="21"/>
                      <w:szCs w:val="21"/>
                    </w:rPr>
                  </w:pPr>
                  <w:r>
                    <w:rPr>
                      <w:b/>
                      <w:bCs/>
                      <w:color w:val="000000"/>
                      <w:sz w:val="21"/>
                      <w:szCs w:val="21"/>
                    </w:rPr>
                    <w:t>排放口基本情况</w:t>
                  </w:r>
                </w:p>
              </w:tc>
              <w:tc>
                <w:tcPr>
                  <w:tcW w:w="536" w:type="dxa"/>
                  <w:tcBorders>
                    <w:tl2br w:val="nil"/>
                    <w:tr2bl w:val="nil"/>
                  </w:tcBorders>
                  <w:noWrap w:val="0"/>
                  <w:vAlign w:val="center"/>
                </w:tcPr>
                <w:p w14:paraId="2D5E4F9B">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b/>
                      <w:bCs/>
                      <w:color w:val="000000"/>
                      <w:sz w:val="21"/>
                      <w:szCs w:val="21"/>
                    </w:rPr>
                  </w:pPr>
                  <w:r>
                    <w:rPr>
                      <w:b/>
                      <w:bCs/>
                      <w:color w:val="000000"/>
                      <w:sz w:val="21"/>
                      <w:szCs w:val="21"/>
                    </w:rPr>
                    <w:t>排放标准</w:t>
                  </w:r>
                </w:p>
              </w:tc>
            </w:tr>
            <w:tr w14:paraId="194538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386" w:type="dxa"/>
                  <w:vMerge w:val="continue"/>
                  <w:tcBorders>
                    <w:tl2br w:val="nil"/>
                    <w:tr2bl w:val="nil"/>
                  </w:tcBorders>
                  <w:noWrap w:val="0"/>
                  <w:vAlign w:val="center"/>
                </w:tcPr>
                <w:p w14:paraId="5DAB4356">
                  <w:pPr>
                    <w:keepNext w:val="0"/>
                    <w:keepLines w:val="0"/>
                    <w:pageBreakBefore w:val="0"/>
                    <w:kinsoku/>
                    <w:wordWrap/>
                    <w:overflowPunct/>
                    <w:topLinePunct w:val="0"/>
                    <w:autoSpaceDE/>
                    <w:autoSpaceDN/>
                    <w:bidi w:val="0"/>
                    <w:adjustRightInd w:val="0"/>
                    <w:snapToGrid w:val="0"/>
                    <w:spacing w:line="240" w:lineRule="auto"/>
                    <w:ind w:left="-72" w:firstLine="0" w:firstLineChars="0"/>
                    <w:jc w:val="center"/>
                    <w:rPr>
                      <w:rFonts w:hint="default" w:ascii="Times New Roman" w:hAnsi="Times New Roman" w:cs="Times New Roman"/>
                      <w:b/>
                      <w:bCs/>
                      <w:color w:val="000000"/>
                      <w:sz w:val="21"/>
                      <w:szCs w:val="21"/>
                    </w:rPr>
                  </w:pPr>
                </w:p>
              </w:tc>
              <w:tc>
                <w:tcPr>
                  <w:tcW w:w="386" w:type="dxa"/>
                  <w:vMerge w:val="continue"/>
                  <w:tcBorders>
                    <w:tl2br w:val="nil"/>
                    <w:tr2bl w:val="nil"/>
                  </w:tcBorders>
                  <w:noWrap w:val="0"/>
                  <w:vAlign w:val="center"/>
                </w:tcPr>
                <w:p w14:paraId="560B11E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000000"/>
                      <w:sz w:val="21"/>
                      <w:szCs w:val="21"/>
                    </w:rPr>
                  </w:pPr>
                </w:p>
              </w:tc>
              <w:tc>
                <w:tcPr>
                  <w:tcW w:w="705" w:type="dxa"/>
                  <w:vMerge w:val="continue"/>
                  <w:tcBorders>
                    <w:tl2br w:val="nil"/>
                    <w:tr2bl w:val="nil"/>
                  </w:tcBorders>
                  <w:noWrap w:val="0"/>
                  <w:vAlign w:val="center"/>
                </w:tcPr>
                <w:p w14:paraId="5F82E96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000000"/>
                      <w:sz w:val="21"/>
                      <w:szCs w:val="21"/>
                    </w:rPr>
                  </w:pPr>
                </w:p>
              </w:tc>
              <w:tc>
                <w:tcPr>
                  <w:tcW w:w="553" w:type="dxa"/>
                  <w:tcBorders>
                    <w:tl2br w:val="nil"/>
                    <w:tr2bl w:val="nil"/>
                  </w:tcBorders>
                  <w:noWrap w:val="0"/>
                  <w:vAlign w:val="center"/>
                </w:tcPr>
                <w:p w14:paraId="733F096C">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
                      <w:bCs/>
                      <w:color w:val="000000"/>
                      <w:sz w:val="21"/>
                      <w:szCs w:val="21"/>
                      <w:lang w:val="en-US" w:eastAsia="zh-CN"/>
                    </w:rPr>
                  </w:pPr>
                  <w:r>
                    <w:rPr>
                      <w:rFonts w:hint="eastAsia" w:ascii="Times New Roman" w:hAnsi="Times New Roman" w:cs="Times New Roman"/>
                      <w:b/>
                      <w:bCs/>
                      <w:color w:val="000000"/>
                      <w:sz w:val="21"/>
                      <w:szCs w:val="21"/>
                      <w:lang w:eastAsia="zh-CN"/>
                    </w:rPr>
                    <w:t>处理能力</w:t>
                  </w:r>
                  <w:r>
                    <w:rPr>
                      <w:rFonts w:hint="eastAsia" w:ascii="Times New Roman" w:hAnsi="Times New Roman" w:cs="Times New Roman"/>
                      <w:b/>
                      <w:bCs/>
                      <w:color w:val="000000"/>
                      <w:sz w:val="21"/>
                      <w:szCs w:val="21"/>
                      <w:lang w:val="en-US" w:eastAsia="zh-CN"/>
                    </w:rPr>
                    <w:t>m</w:t>
                  </w:r>
                  <w:r>
                    <w:rPr>
                      <w:rFonts w:hint="eastAsia" w:ascii="Times New Roman" w:hAnsi="Times New Roman" w:cs="Times New Roman"/>
                      <w:b/>
                      <w:bCs/>
                      <w:color w:val="000000"/>
                      <w:sz w:val="21"/>
                      <w:szCs w:val="21"/>
                      <w:vertAlign w:val="superscript"/>
                      <w:lang w:val="en-US" w:eastAsia="zh-CN"/>
                    </w:rPr>
                    <w:t>3</w:t>
                  </w:r>
                  <w:r>
                    <w:rPr>
                      <w:rFonts w:hint="eastAsia" w:ascii="Times New Roman" w:hAnsi="Times New Roman" w:cs="Times New Roman"/>
                      <w:b/>
                      <w:bCs/>
                      <w:color w:val="000000"/>
                      <w:sz w:val="21"/>
                      <w:szCs w:val="21"/>
                      <w:lang w:val="en-US" w:eastAsia="zh-CN"/>
                    </w:rPr>
                    <w:t>/h</w:t>
                  </w:r>
                </w:p>
              </w:tc>
              <w:tc>
                <w:tcPr>
                  <w:tcW w:w="554" w:type="dxa"/>
                  <w:tcBorders>
                    <w:tl2br w:val="nil"/>
                    <w:tr2bl w:val="nil"/>
                  </w:tcBorders>
                  <w:noWrap w:val="0"/>
                  <w:vAlign w:val="center"/>
                </w:tcPr>
                <w:p w14:paraId="1D6837E0">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000000"/>
                      <w:sz w:val="21"/>
                      <w:szCs w:val="21"/>
                    </w:rPr>
                  </w:pPr>
                  <w:r>
                    <w:rPr>
                      <w:b/>
                      <w:bCs/>
                      <w:color w:val="000000"/>
                      <w:sz w:val="21"/>
                      <w:szCs w:val="21"/>
                    </w:rPr>
                    <w:t>主要治理工艺</w:t>
                  </w:r>
                </w:p>
              </w:tc>
              <w:tc>
                <w:tcPr>
                  <w:tcW w:w="386" w:type="dxa"/>
                  <w:tcBorders>
                    <w:tl2br w:val="nil"/>
                    <w:tr2bl w:val="nil"/>
                  </w:tcBorders>
                  <w:noWrap w:val="0"/>
                  <w:vAlign w:val="center"/>
                </w:tcPr>
                <w:p w14:paraId="3679D917">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000000"/>
                      <w:sz w:val="21"/>
                      <w:szCs w:val="21"/>
                    </w:rPr>
                  </w:pPr>
                  <w:r>
                    <w:rPr>
                      <w:b/>
                      <w:bCs/>
                      <w:color w:val="000000"/>
                      <w:sz w:val="21"/>
                      <w:szCs w:val="21"/>
                    </w:rPr>
                    <w:t>是否可行技术</w:t>
                  </w:r>
                </w:p>
              </w:tc>
              <w:tc>
                <w:tcPr>
                  <w:tcW w:w="385" w:type="dxa"/>
                  <w:tcBorders>
                    <w:tl2br w:val="nil"/>
                    <w:tr2bl w:val="nil"/>
                  </w:tcBorders>
                  <w:noWrap w:val="0"/>
                  <w:vAlign w:val="center"/>
                </w:tcPr>
                <w:p w14:paraId="1FF91DD3">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b/>
                      <w:bCs/>
                      <w:color w:val="000000"/>
                      <w:spacing w:val="-10"/>
                      <w:sz w:val="21"/>
                      <w:szCs w:val="21"/>
                    </w:rPr>
                  </w:pPr>
                  <w:r>
                    <w:rPr>
                      <w:b/>
                      <w:bCs/>
                      <w:color w:val="000000"/>
                      <w:spacing w:val="-10"/>
                      <w:sz w:val="21"/>
                      <w:szCs w:val="21"/>
                    </w:rPr>
                    <w:t>排放</w:t>
                  </w:r>
                </w:p>
                <w:p w14:paraId="0AFA7B9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000000"/>
                      <w:sz w:val="21"/>
                      <w:szCs w:val="21"/>
                    </w:rPr>
                  </w:pPr>
                  <w:r>
                    <w:rPr>
                      <w:b/>
                      <w:bCs/>
                      <w:color w:val="000000"/>
                      <w:spacing w:val="-10"/>
                      <w:sz w:val="21"/>
                      <w:szCs w:val="21"/>
                    </w:rPr>
                    <w:t>方式</w:t>
                  </w:r>
                </w:p>
              </w:tc>
              <w:tc>
                <w:tcPr>
                  <w:tcW w:w="554" w:type="dxa"/>
                  <w:tcBorders>
                    <w:tl2br w:val="nil"/>
                    <w:tr2bl w:val="nil"/>
                  </w:tcBorders>
                  <w:noWrap w:val="0"/>
                  <w:vAlign w:val="center"/>
                </w:tcPr>
                <w:p w14:paraId="11391EBD">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000000"/>
                      <w:sz w:val="21"/>
                      <w:szCs w:val="21"/>
                    </w:rPr>
                  </w:pPr>
                  <w:r>
                    <w:rPr>
                      <w:b/>
                      <w:bCs/>
                      <w:color w:val="000000"/>
                      <w:sz w:val="21"/>
                      <w:szCs w:val="21"/>
                    </w:rPr>
                    <w:t>排放去向</w:t>
                  </w:r>
                </w:p>
              </w:tc>
              <w:tc>
                <w:tcPr>
                  <w:tcW w:w="554" w:type="dxa"/>
                  <w:tcBorders>
                    <w:tl2br w:val="nil"/>
                    <w:tr2bl w:val="nil"/>
                  </w:tcBorders>
                  <w:noWrap w:val="0"/>
                  <w:vAlign w:val="center"/>
                </w:tcPr>
                <w:p w14:paraId="54634D23">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b/>
                      <w:bCs/>
                      <w:color w:val="000000"/>
                      <w:sz w:val="21"/>
                      <w:szCs w:val="21"/>
                    </w:rPr>
                  </w:pPr>
                  <w:r>
                    <w:rPr>
                      <w:b/>
                      <w:bCs/>
                      <w:color w:val="000000"/>
                      <w:sz w:val="21"/>
                      <w:szCs w:val="21"/>
                    </w:rPr>
                    <w:t>排放规律</w:t>
                  </w:r>
                </w:p>
              </w:tc>
              <w:tc>
                <w:tcPr>
                  <w:tcW w:w="921" w:type="dxa"/>
                  <w:tcBorders>
                    <w:tl2br w:val="nil"/>
                    <w:tr2bl w:val="nil"/>
                  </w:tcBorders>
                  <w:noWrap w:val="0"/>
                  <w:vAlign w:val="center"/>
                </w:tcPr>
                <w:p w14:paraId="48F4A676">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000000"/>
                      <w:sz w:val="21"/>
                      <w:szCs w:val="21"/>
                    </w:rPr>
                  </w:pPr>
                  <w:r>
                    <w:rPr>
                      <w:b/>
                      <w:bCs/>
                      <w:color w:val="000000"/>
                      <w:sz w:val="21"/>
                      <w:szCs w:val="21"/>
                    </w:rPr>
                    <w:t>排放编号及名称</w:t>
                  </w:r>
                </w:p>
              </w:tc>
              <w:tc>
                <w:tcPr>
                  <w:tcW w:w="386" w:type="dxa"/>
                  <w:tcBorders>
                    <w:tl2br w:val="nil"/>
                    <w:tr2bl w:val="nil"/>
                  </w:tcBorders>
                  <w:noWrap w:val="0"/>
                  <w:vAlign w:val="center"/>
                </w:tcPr>
                <w:p w14:paraId="38BC733F">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000000"/>
                      <w:sz w:val="21"/>
                      <w:szCs w:val="21"/>
                    </w:rPr>
                  </w:pPr>
                  <w:r>
                    <w:rPr>
                      <w:b/>
                      <w:bCs/>
                      <w:color w:val="000000"/>
                      <w:sz w:val="21"/>
                      <w:szCs w:val="21"/>
                    </w:rPr>
                    <w:t>排放类型</w:t>
                  </w:r>
                </w:p>
              </w:tc>
              <w:tc>
                <w:tcPr>
                  <w:tcW w:w="1546" w:type="dxa"/>
                  <w:tcBorders>
                    <w:tl2br w:val="nil"/>
                    <w:tr2bl w:val="nil"/>
                  </w:tcBorders>
                  <w:noWrap w:val="0"/>
                  <w:vAlign w:val="center"/>
                </w:tcPr>
                <w:p w14:paraId="659AA339">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b/>
                      <w:bCs/>
                      <w:color w:val="000000"/>
                      <w:sz w:val="21"/>
                      <w:szCs w:val="21"/>
                    </w:rPr>
                  </w:pPr>
                  <w:r>
                    <w:rPr>
                      <w:b/>
                      <w:bCs/>
                      <w:color w:val="000000"/>
                      <w:sz w:val="21"/>
                      <w:szCs w:val="21"/>
                    </w:rPr>
                    <w:t>地理</w:t>
                  </w:r>
                </w:p>
                <w:p w14:paraId="3E16094C">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000000"/>
                      <w:sz w:val="21"/>
                      <w:szCs w:val="21"/>
                    </w:rPr>
                  </w:pPr>
                  <w:r>
                    <w:rPr>
                      <w:b/>
                      <w:bCs/>
                      <w:color w:val="000000"/>
                      <w:sz w:val="21"/>
                      <w:szCs w:val="21"/>
                    </w:rPr>
                    <w:t>坐标</w:t>
                  </w:r>
                </w:p>
              </w:tc>
              <w:tc>
                <w:tcPr>
                  <w:tcW w:w="536" w:type="dxa"/>
                  <w:tcBorders>
                    <w:tl2br w:val="nil"/>
                    <w:tr2bl w:val="nil"/>
                  </w:tcBorders>
                  <w:noWrap w:val="0"/>
                  <w:vAlign w:val="center"/>
                </w:tcPr>
                <w:p w14:paraId="706667EC">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b/>
                      <w:bCs/>
                      <w:color w:val="000000"/>
                      <w:sz w:val="21"/>
                      <w:szCs w:val="21"/>
                    </w:rPr>
                  </w:pPr>
                  <w:r>
                    <w:rPr>
                      <w:b/>
                      <w:bCs/>
                      <w:color w:val="000000"/>
                      <w:sz w:val="21"/>
                      <w:szCs w:val="21"/>
                    </w:rPr>
                    <w:t>浓度</w:t>
                  </w:r>
                </w:p>
                <w:p w14:paraId="6284ECFC">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b/>
                      <w:bCs/>
                      <w:color w:val="000000"/>
                      <w:sz w:val="21"/>
                      <w:szCs w:val="21"/>
                    </w:rPr>
                  </w:pPr>
                  <w:r>
                    <w:rPr>
                      <w:b/>
                      <w:bCs/>
                      <w:color w:val="000000"/>
                      <w:sz w:val="21"/>
                      <w:szCs w:val="21"/>
                    </w:rPr>
                    <w:t>mg/l</w:t>
                  </w:r>
                </w:p>
              </w:tc>
            </w:tr>
            <w:tr w14:paraId="356B39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386" w:type="dxa"/>
                  <w:vMerge w:val="restart"/>
                  <w:tcBorders>
                    <w:tl2br w:val="nil"/>
                    <w:tr2bl w:val="nil"/>
                  </w:tcBorders>
                  <w:noWrap w:val="0"/>
                  <w:vAlign w:val="center"/>
                </w:tcPr>
                <w:p w14:paraId="189D28BD">
                  <w:pPr>
                    <w:keepNext w:val="0"/>
                    <w:keepLines w:val="0"/>
                    <w:pageBreakBefore w:val="0"/>
                    <w:kinsoku/>
                    <w:wordWrap/>
                    <w:overflowPunct/>
                    <w:topLinePunct w:val="0"/>
                    <w:autoSpaceDE/>
                    <w:autoSpaceDN/>
                    <w:bidi w:val="0"/>
                    <w:adjustRightInd w:val="0"/>
                    <w:snapToGrid w:val="0"/>
                    <w:spacing w:line="240" w:lineRule="auto"/>
                    <w:ind w:left="-72" w:firstLine="0" w:firstLine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厂区综合废水</w:t>
                  </w:r>
                </w:p>
              </w:tc>
              <w:tc>
                <w:tcPr>
                  <w:tcW w:w="386" w:type="dxa"/>
                  <w:vMerge w:val="restart"/>
                  <w:tcBorders>
                    <w:tl2br w:val="nil"/>
                    <w:tr2bl w:val="nil"/>
                  </w:tcBorders>
                  <w:noWrap w:val="0"/>
                  <w:vAlign w:val="center"/>
                </w:tcPr>
                <w:p w14:paraId="3FC227A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rPr>
                    <w:t>生活污水</w:t>
                  </w:r>
                  <w:r>
                    <w:rPr>
                      <w:rFonts w:hint="eastAsia" w:cs="Times New Roman"/>
                      <w:color w:val="000000"/>
                      <w:sz w:val="21"/>
                      <w:szCs w:val="21"/>
                      <w:lang w:val="en-US" w:eastAsia="zh-CN"/>
                    </w:rPr>
                    <w:t>+</w:t>
                  </w:r>
                  <w:r>
                    <w:rPr>
                      <w:rFonts w:hint="eastAsia" w:ascii="宋体" w:hAnsi="宋体" w:cs="宋体"/>
                      <w:i w:val="0"/>
                      <w:iCs w:val="0"/>
                      <w:color w:val="auto"/>
                      <w:sz w:val="21"/>
                      <w:szCs w:val="21"/>
                      <w:u w:val="none"/>
                      <w:lang w:val="en-US" w:eastAsia="zh-CN"/>
                    </w:rPr>
                    <w:t>初期雨水</w:t>
                  </w:r>
                </w:p>
              </w:tc>
              <w:tc>
                <w:tcPr>
                  <w:tcW w:w="705" w:type="dxa"/>
                  <w:tcBorders>
                    <w:tl2br w:val="nil"/>
                    <w:tr2bl w:val="nil"/>
                  </w:tcBorders>
                  <w:noWrap w:val="0"/>
                  <w:vAlign w:val="center"/>
                </w:tcPr>
                <w:p w14:paraId="089B6F1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pH</w:t>
                  </w:r>
                </w:p>
              </w:tc>
              <w:tc>
                <w:tcPr>
                  <w:tcW w:w="553" w:type="dxa"/>
                  <w:vMerge w:val="restart"/>
                  <w:tcBorders>
                    <w:tl2br w:val="nil"/>
                    <w:tr2bl w:val="nil"/>
                  </w:tcBorders>
                  <w:noWrap w:val="0"/>
                  <w:vAlign w:val="center"/>
                </w:tcPr>
                <w:p w14:paraId="5A97891C">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10</w:t>
                  </w:r>
                </w:p>
              </w:tc>
              <w:tc>
                <w:tcPr>
                  <w:tcW w:w="554" w:type="dxa"/>
                  <w:vMerge w:val="restart"/>
                  <w:tcBorders>
                    <w:tl2br w:val="nil"/>
                    <w:tr2bl w:val="nil"/>
                  </w:tcBorders>
                  <w:noWrap w:val="0"/>
                  <w:vAlign w:val="center"/>
                </w:tcPr>
                <w:p w14:paraId="094497F0">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lang w:val="en-US"/>
                    </w:rPr>
                  </w:pPr>
                  <w:r>
                    <w:rPr>
                      <w:rFonts w:hint="eastAsia" w:ascii="Times New Roman" w:hAnsi="Times New Roman" w:cs="Times New Roman"/>
                      <w:color w:val="000000"/>
                      <w:sz w:val="21"/>
                      <w:szCs w:val="21"/>
                      <w:lang w:val="en-US" w:eastAsia="zh-CN"/>
                    </w:rPr>
                    <w:t>隔油池+</w:t>
                  </w:r>
                  <w:r>
                    <w:rPr>
                      <w:rFonts w:hint="default" w:ascii="Times New Roman" w:hAnsi="Times New Roman" w:cs="Times New Roman"/>
                      <w:color w:val="000000"/>
                      <w:sz w:val="21"/>
                      <w:szCs w:val="21"/>
                      <w:lang w:eastAsia="zh-CN"/>
                    </w:rPr>
                    <w:t>化粪池</w:t>
                  </w:r>
                  <w:r>
                    <w:rPr>
                      <w:rFonts w:hint="eastAsia" w:ascii="Times New Roman" w:hAnsi="Times New Roman" w:cs="Times New Roman"/>
                      <w:color w:val="000000"/>
                      <w:sz w:val="21"/>
                      <w:szCs w:val="21"/>
                      <w:lang w:eastAsia="zh-CN"/>
                    </w:rPr>
                    <w:t>、</w:t>
                  </w:r>
                  <w:r>
                    <w:rPr>
                      <w:rFonts w:hint="eastAsia" w:ascii="Times New Roman" w:hAnsi="Times New Roman" w:cs="Times New Roman"/>
                      <w:color w:val="000000"/>
                      <w:sz w:val="21"/>
                      <w:szCs w:val="21"/>
                      <w:lang w:val="en-US" w:eastAsia="zh-CN"/>
                    </w:rPr>
                    <w:t>絮凝沉淀</w:t>
                  </w:r>
                </w:p>
              </w:tc>
              <w:tc>
                <w:tcPr>
                  <w:tcW w:w="386" w:type="dxa"/>
                  <w:vMerge w:val="restart"/>
                  <w:tcBorders>
                    <w:tl2br w:val="nil"/>
                    <w:tr2bl w:val="nil"/>
                  </w:tcBorders>
                  <w:noWrap w:val="0"/>
                  <w:vAlign w:val="center"/>
                </w:tcPr>
                <w:p w14:paraId="603EC455">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000000"/>
                      <w:sz w:val="21"/>
                      <w:szCs w:val="21"/>
                      <w:lang w:eastAsia="zh-CN"/>
                    </w:rPr>
                  </w:pPr>
                  <w:r>
                    <w:rPr>
                      <w:rFonts w:hint="eastAsia" w:ascii="Times New Roman" w:hAnsi="Times New Roman" w:eastAsia="宋体" w:cs="Times New Roman"/>
                      <w:color w:val="000000"/>
                      <w:sz w:val="21"/>
                      <w:szCs w:val="21"/>
                      <w:lang w:eastAsia="zh-CN"/>
                    </w:rPr>
                    <w:t>是</w:t>
                  </w:r>
                </w:p>
              </w:tc>
              <w:tc>
                <w:tcPr>
                  <w:tcW w:w="385" w:type="dxa"/>
                  <w:vMerge w:val="restart"/>
                  <w:tcBorders>
                    <w:tl2br w:val="nil"/>
                    <w:tr2bl w:val="nil"/>
                  </w:tcBorders>
                  <w:noWrap w:val="0"/>
                  <w:vAlign w:val="center"/>
                </w:tcPr>
                <w:p w14:paraId="3F886BB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eastAsia="宋体" w:cs="Times New Roman"/>
                      <w:color w:val="000000"/>
                      <w:sz w:val="21"/>
                      <w:szCs w:val="21"/>
                      <w:lang w:eastAsia="zh-CN"/>
                    </w:rPr>
                  </w:pPr>
                  <w:r>
                    <w:rPr>
                      <w:rFonts w:hint="eastAsia" w:ascii="Times New Roman" w:hAnsi="Times New Roman" w:cs="Times New Roman"/>
                      <w:color w:val="000000"/>
                      <w:sz w:val="21"/>
                      <w:szCs w:val="21"/>
                      <w:lang w:eastAsia="zh-CN"/>
                    </w:rPr>
                    <w:t>间接排放</w:t>
                  </w:r>
                </w:p>
              </w:tc>
              <w:tc>
                <w:tcPr>
                  <w:tcW w:w="554" w:type="dxa"/>
                  <w:vMerge w:val="restart"/>
                  <w:tcBorders>
                    <w:tl2br w:val="nil"/>
                    <w:tr2bl w:val="nil"/>
                  </w:tcBorders>
                  <w:noWrap w:val="0"/>
                  <w:vAlign w:val="center"/>
                </w:tcPr>
                <w:p w14:paraId="59AF1DC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高安市工业园污水处理厂</w:t>
                  </w:r>
                  <w:r>
                    <w:rPr>
                      <w:rFonts w:hint="eastAsia" w:ascii="Times New Roman" w:hAnsi="Times New Roman" w:eastAsia="宋体" w:cs="Times New Roman"/>
                      <w:color w:val="000000"/>
                      <w:sz w:val="21"/>
                      <w:szCs w:val="21"/>
                      <w:lang w:eastAsia="zh-CN"/>
                    </w:rPr>
                    <w:t>、</w:t>
                  </w:r>
                  <w:r>
                    <w:rPr>
                      <w:rFonts w:hint="eastAsia" w:ascii="Times New Roman" w:hAnsi="Times New Roman" w:eastAsia="宋体" w:cs="Times New Roman"/>
                      <w:color w:val="000000"/>
                      <w:sz w:val="21"/>
                      <w:szCs w:val="21"/>
                      <w:lang w:val="en-US" w:eastAsia="zh-CN"/>
                    </w:rPr>
                    <w:t>最终排放至锦江</w:t>
                  </w:r>
                </w:p>
              </w:tc>
              <w:tc>
                <w:tcPr>
                  <w:tcW w:w="554" w:type="dxa"/>
                  <w:vMerge w:val="restart"/>
                  <w:tcBorders>
                    <w:tl2br w:val="nil"/>
                    <w:tr2bl w:val="nil"/>
                  </w:tcBorders>
                  <w:noWrap w:val="0"/>
                  <w:vAlign w:val="center"/>
                </w:tcPr>
                <w:p w14:paraId="4892EE85">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r>
                    <w:rPr>
                      <w:bCs/>
                      <w:color w:val="000000"/>
                      <w:sz w:val="21"/>
                      <w:szCs w:val="21"/>
                    </w:rPr>
                    <w:t>间断排放，排放期间流量不稳定，但有周期性规律</w:t>
                  </w:r>
                </w:p>
              </w:tc>
              <w:tc>
                <w:tcPr>
                  <w:tcW w:w="921" w:type="dxa"/>
                  <w:vMerge w:val="restart"/>
                  <w:tcBorders>
                    <w:tl2br w:val="nil"/>
                    <w:tr2bl w:val="nil"/>
                  </w:tcBorders>
                  <w:noWrap w:val="0"/>
                  <w:vAlign w:val="center"/>
                </w:tcPr>
                <w:p w14:paraId="44DBB5F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r>
                    <w:rPr>
                      <w:rFonts w:hint="eastAsia"/>
                      <w:bCs/>
                      <w:color w:val="000000"/>
                      <w:sz w:val="21"/>
                      <w:szCs w:val="21"/>
                    </w:rPr>
                    <w:t>DW001，废水总排口</w:t>
                  </w:r>
                </w:p>
              </w:tc>
              <w:tc>
                <w:tcPr>
                  <w:tcW w:w="386" w:type="dxa"/>
                  <w:vMerge w:val="restart"/>
                  <w:tcBorders>
                    <w:tl2br w:val="nil"/>
                    <w:tr2bl w:val="nil"/>
                  </w:tcBorders>
                  <w:noWrap w:val="0"/>
                  <w:vAlign w:val="center"/>
                </w:tcPr>
                <w:p w14:paraId="4BA9281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eastAsia="宋体" w:cs="Times New Roman"/>
                      <w:color w:val="000000"/>
                      <w:sz w:val="21"/>
                      <w:szCs w:val="21"/>
                      <w:lang w:eastAsia="zh-CN"/>
                    </w:rPr>
                  </w:pPr>
                  <w:r>
                    <w:rPr>
                      <w:rFonts w:hint="eastAsia" w:ascii="Times New Roman" w:hAnsi="Times New Roman" w:cs="Times New Roman"/>
                      <w:color w:val="000000"/>
                      <w:sz w:val="21"/>
                      <w:szCs w:val="21"/>
                      <w:lang w:eastAsia="zh-CN"/>
                    </w:rPr>
                    <w:t>一般排放口</w:t>
                  </w:r>
                </w:p>
              </w:tc>
              <w:tc>
                <w:tcPr>
                  <w:tcW w:w="1546" w:type="dxa"/>
                  <w:vMerge w:val="restart"/>
                  <w:tcBorders>
                    <w:tl2br w:val="nil"/>
                    <w:tr2bl w:val="nil"/>
                  </w:tcBorders>
                  <w:noWrap w:val="0"/>
                  <w:vAlign w:val="center"/>
                </w:tcPr>
                <w:p w14:paraId="108AD80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E</w:t>
                  </w:r>
                  <w:r>
                    <w:rPr>
                      <w:rFonts w:hint="default" w:ascii="Times New Roman" w:hAnsi="Times New Roman" w:eastAsia="宋体" w:cs="Times New Roman"/>
                      <w:color w:val="000000"/>
                      <w:sz w:val="21"/>
                      <w:szCs w:val="21"/>
                      <w:lang w:val="en-US" w:eastAsia="zh-CN"/>
                    </w:rPr>
                    <w:t>115°28′20.901″</w:t>
                  </w:r>
                  <w:r>
                    <w:rPr>
                      <w:rFonts w:hint="eastAsia" w:cs="Times New Roman"/>
                      <w:color w:val="000000"/>
                      <w:sz w:val="21"/>
                      <w:szCs w:val="21"/>
                      <w:lang w:val="en-US" w:eastAsia="zh-CN"/>
                    </w:rPr>
                    <w:t>，N</w:t>
                  </w:r>
                  <w:r>
                    <w:rPr>
                      <w:rFonts w:hint="default" w:ascii="Times New Roman" w:hAnsi="Times New Roman" w:eastAsia="宋体" w:cs="Times New Roman"/>
                      <w:color w:val="000000"/>
                      <w:sz w:val="21"/>
                      <w:szCs w:val="21"/>
                      <w:lang w:val="en-US" w:eastAsia="zh-CN"/>
                    </w:rPr>
                    <w:t>28°29′5.748″</w:t>
                  </w:r>
                </w:p>
              </w:tc>
              <w:tc>
                <w:tcPr>
                  <w:tcW w:w="536" w:type="dxa"/>
                  <w:tcBorders>
                    <w:tl2br w:val="nil"/>
                    <w:tr2bl w:val="nil"/>
                  </w:tcBorders>
                  <w:noWrap w:val="0"/>
                  <w:vAlign w:val="center"/>
                </w:tcPr>
                <w:p w14:paraId="688E76C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6-9</w:t>
                  </w:r>
                </w:p>
              </w:tc>
            </w:tr>
            <w:tr w14:paraId="5F9D79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386" w:type="dxa"/>
                  <w:vMerge w:val="continue"/>
                  <w:tcBorders>
                    <w:tl2br w:val="nil"/>
                    <w:tr2bl w:val="nil"/>
                  </w:tcBorders>
                  <w:noWrap w:val="0"/>
                  <w:vAlign w:val="center"/>
                </w:tcPr>
                <w:p w14:paraId="32B8700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color w:val="000000"/>
                      <w:sz w:val="21"/>
                      <w:szCs w:val="21"/>
                    </w:rPr>
                  </w:pPr>
                </w:p>
              </w:tc>
              <w:tc>
                <w:tcPr>
                  <w:tcW w:w="386" w:type="dxa"/>
                  <w:vMerge w:val="continue"/>
                  <w:tcBorders>
                    <w:tl2br w:val="nil"/>
                    <w:tr2bl w:val="nil"/>
                  </w:tcBorders>
                  <w:noWrap w:val="0"/>
                  <w:vAlign w:val="center"/>
                </w:tcPr>
                <w:p w14:paraId="57C590C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color w:val="000000"/>
                      <w:sz w:val="21"/>
                      <w:szCs w:val="21"/>
                    </w:rPr>
                  </w:pPr>
                </w:p>
              </w:tc>
              <w:tc>
                <w:tcPr>
                  <w:tcW w:w="705" w:type="dxa"/>
                  <w:tcBorders>
                    <w:tl2br w:val="nil"/>
                    <w:tr2bl w:val="nil"/>
                  </w:tcBorders>
                  <w:noWrap w:val="0"/>
                  <w:vAlign w:val="center"/>
                </w:tcPr>
                <w:p w14:paraId="74FB8E5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COD</w:t>
                  </w:r>
                  <w:r>
                    <w:rPr>
                      <w:rFonts w:hint="eastAsia" w:ascii="Times New Roman" w:hAnsi="Times New Roman" w:cs="Times New Roman"/>
                      <w:color w:val="000000"/>
                      <w:sz w:val="21"/>
                      <w:szCs w:val="21"/>
                      <w:lang w:val="en-US" w:eastAsia="zh-CN"/>
                    </w:rPr>
                    <w:t>cr</w:t>
                  </w:r>
                </w:p>
              </w:tc>
              <w:tc>
                <w:tcPr>
                  <w:tcW w:w="553" w:type="dxa"/>
                  <w:vMerge w:val="continue"/>
                  <w:tcBorders>
                    <w:tl2br w:val="nil"/>
                    <w:tr2bl w:val="nil"/>
                  </w:tcBorders>
                  <w:noWrap w:val="0"/>
                  <w:vAlign w:val="center"/>
                </w:tcPr>
                <w:p w14:paraId="2825076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45A29FB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6" w:type="dxa"/>
                  <w:vMerge w:val="continue"/>
                  <w:tcBorders>
                    <w:tl2br w:val="nil"/>
                    <w:tr2bl w:val="nil"/>
                  </w:tcBorders>
                  <w:noWrap w:val="0"/>
                  <w:vAlign w:val="center"/>
                </w:tcPr>
                <w:p w14:paraId="5990EC7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5" w:type="dxa"/>
                  <w:vMerge w:val="continue"/>
                  <w:tcBorders>
                    <w:tl2br w:val="nil"/>
                    <w:tr2bl w:val="nil"/>
                  </w:tcBorders>
                  <w:noWrap w:val="0"/>
                  <w:vAlign w:val="center"/>
                </w:tcPr>
                <w:p w14:paraId="7B8894E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34AF0E7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2E1E99F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921" w:type="dxa"/>
                  <w:vMerge w:val="continue"/>
                  <w:tcBorders>
                    <w:tl2br w:val="nil"/>
                    <w:tr2bl w:val="nil"/>
                  </w:tcBorders>
                  <w:noWrap w:val="0"/>
                  <w:vAlign w:val="center"/>
                </w:tcPr>
                <w:p w14:paraId="19A73AB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6" w:type="dxa"/>
                  <w:vMerge w:val="continue"/>
                  <w:tcBorders>
                    <w:tl2br w:val="nil"/>
                    <w:tr2bl w:val="nil"/>
                  </w:tcBorders>
                  <w:noWrap w:val="0"/>
                  <w:vAlign w:val="center"/>
                </w:tcPr>
                <w:p w14:paraId="1B79990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1546" w:type="dxa"/>
                  <w:vMerge w:val="continue"/>
                  <w:tcBorders>
                    <w:tl2br w:val="nil"/>
                    <w:tr2bl w:val="nil"/>
                  </w:tcBorders>
                  <w:noWrap w:val="0"/>
                  <w:vAlign w:val="center"/>
                </w:tcPr>
                <w:p w14:paraId="5D2F37F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36" w:type="dxa"/>
                  <w:tcBorders>
                    <w:tl2br w:val="nil"/>
                    <w:tr2bl w:val="nil"/>
                  </w:tcBorders>
                  <w:noWrap w:val="0"/>
                  <w:vAlign w:val="center"/>
                </w:tcPr>
                <w:p w14:paraId="67EA10D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500</w:t>
                  </w:r>
                </w:p>
              </w:tc>
            </w:tr>
            <w:tr w14:paraId="4F3385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386" w:type="dxa"/>
                  <w:vMerge w:val="continue"/>
                  <w:tcBorders>
                    <w:tl2br w:val="nil"/>
                    <w:tr2bl w:val="nil"/>
                  </w:tcBorders>
                  <w:noWrap w:val="0"/>
                  <w:vAlign w:val="center"/>
                </w:tcPr>
                <w:p w14:paraId="1B53B7C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6" w:type="dxa"/>
                  <w:vMerge w:val="continue"/>
                  <w:tcBorders>
                    <w:tl2br w:val="nil"/>
                    <w:tr2bl w:val="nil"/>
                  </w:tcBorders>
                  <w:noWrap w:val="0"/>
                  <w:vAlign w:val="center"/>
                </w:tcPr>
                <w:p w14:paraId="15C1D25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705" w:type="dxa"/>
                  <w:tcBorders>
                    <w:tl2br w:val="nil"/>
                    <w:tr2bl w:val="nil"/>
                  </w:tcBorders>
                  <w:noWrap w:val="0"/>
                  <w:vAlign w:val="center"/>
                </w:tcPr>
                <w:p w14:paraId="1C875AF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eastAsia="宋体" w:cs="Times New Roman"/>
                      <w:color w:val="000000"/>
                      <w:sz w:val="21"/>
                      <w:szCs w:val="21"/>
                      <w:vertAlign w:val="baseline"/>
                      <w:lang w:val="en-US" w:eastAsia="zh-CN"/>
                    </w:rPr>
                    <w:t>BOD</w:t>
                  </w:r>
                  <w:r>
                    <w:rPr>
                      <w:rFonts w:hint="default" w:ascii="Times New Roman" w:hAnsi="Times New Roman" w:eastAsia="宋体" w:cs="Times New Roman"/>
                      <w:color w:val="000000"/>
                      <w:sz w:val="21"/>
                      <w:szCs w:val="21"/>
                      <w:vertAlign w:val="subscript"/>
                      <w:lang w:val="en-US" w:eastAsia="zh-CN"/>
                    </w:rPr>
                    <w:t>5</w:t>
                  </w:r>
                </w:p>
              </w:tc>
              <w:tc>
                <w:tcPr>
                  <w:tcW w:w="553" w:type="dxa"/>
                  <w:vMerge w:val="continue"/>
                  <w:tcBorders>
                    <w:tl2br w:val="nil"/>
                    <w:tr2bl w:val="nil"/>
                  </w:tcBorders>
                  <w:noWrap w:val="0"/>
                  <w:vAlign w:val="center"/>
                </w:tcPr>
                <w:p w14:paraId="4EF281F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3D61533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6" w:type="dxa"/>
                  <w:vMerge w:val="continue"/>
                  <w:tcBorders>
                    <w:tl2br w:val="nil"/>
                    <w:tr2bl w:val="nil"/>
                  </w:tcBorders>
                  <w:noWrap w:val="0"/>
                  <w:vAlign w:val="center"/>
                </w:tcPr>
                <w:p w14:paraId="1289BA0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5" w:type="dxa"/>
                  <w:vMerge w:val="continue"/>
                  <w:tcBorders>
                    <w:tl2br w:val="nil"/>
                    <w:tr2bl w:val="nil"/>
                  </w:tcBorders>
                  <w:noWrap w:val="0"/>
                  <w:vAlign w:val="center"/>
                </w:tcPr>
                <w:p w14:paraId="0FCAD20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0E3B56D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3A1844F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921" w:type="dxa"/>
                  <w:vMerge w:val="continue"/>
                  <w:tcBorders>
                    <w:tl2br w:val="nil"/>
                    <w:tr2bl w:val="nil"/>
                  </w:tcBorders>
                  <w:noWrap w:val="0"/>
                  <w:vAlign w:val="center"/>
                </w:tcPr>
                <w:p w14:paraId="2A1D801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6" w:type="dxa"/>
                  <w:vMerge w:val="continue"/>
                  <w:tcBorders>
                    <w:tl2br w:val="nil"/>
                    <w:tr2bl w:val="nil"/>
                  </w:tcBorders>
                  <w:noWrap w:val="0"/>
                  <w:vAlign w:val="center"/>
                </w:tcPr>
                <w:p w14:paraId="1080F69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1546" w:type="dxa"/>
                  <w:vMerge w:val="continue"/>
                  <w:tcBorders>
                    <w:tl2br w:val="nil"/>
                    <w:tr2bl w:val="nil"/>
                  </w:tcBorders>
                  <w:noWrap w:val="0"/>
                  <w:vAlign w:val="center"/>
                </w:tcPr>
                <w:p w14:paraId="56B72AF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36" w:type="dxa"/>
                  <w:tcBorders>
                    <w:tl2br w:val="nil"/>
                    <w:tr2bl w:val="nil"/>
                  </w:tcBorders>
                  <w:noWrap w:val="0"/>
                  <w:vAlign w:val="center"/>
                </w:tcPr>
                <w:p w14:paraId="634EBD9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300</w:t>
                  </w:r>
                </w:p>
              </w:tc>
            </w:tr>
            <w:tr w14:paraId="149118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386" w:type="dxa"/>
                  <w:vMerge w:val="continue"/>
                  <w:tcBorders>
                    <w:tl2br w:val="nil"/>
                    <w:tr2bl w:val="nil"/>
                  </w:tcBorders>
                  <w:noWrap w:val="0"/>
                  <w:vAlign w:val="center"/>
                </w:tcPr>
                <w:p w14:paraId="19FB996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6" w:type="dxa"/>
                  <w:vMerge w:val="continue"/>
                  <w:tcBorders>
                    <w:tl2br w:val="nil"/>
                    <w:tr2bl w:val="nil"/>
                  </w:tcBorders>
                  <w:noWrap w:val="0"/>
                  <w:vAlign w:val="center"/>
                </w:tcPr>
                <w:p w14:paraId="2BB41A3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705" w:type="dxa"/>
                  <w:tcBorders>
                    <w:tl2br w:val="nil"/>
                    <w:tr2bl w:val="nil"/>
                  </w:tcBorders>
                  <w:noWrap w:val="0"/>
                  <w:vAlign w:val="center"/>
                </w:tcPr>
                <w:p w14:paraId="7CF4AF7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SS</w:t>
                  </w:r>
                </w:p>
              </w:tc>
              <w:tc>
                <w:tcPr>
                  <w:tcW w:w="553" w:type="dxa"/>
                  <w:vMerge w:val="continue"/>
                  <w:tcBorders>
                    <w:tl2br w:val="nil"/>
                    <w:tr2bl w:val="nil"/>
                  </w:tcBorders>
                  <w:noWrap w:val="0"/>
                  <w:vAlign w:val="center"/>
                </w:tcPr>
                <w:p w14:paraId="42048B0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3A32C25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6" w:type="dxa"/>
                  <w:vMerge w:val="continue"/>
                  <w:tcBorders>
                    <w:tl2br w:val="nil"/>
                    <w:tr2bl w:val="nil"/>
                  </w:tcBorders>
                  <w:noWrap w:val="0"/>
                  <w:vAlign w:val="center"/>
                </w:tcPr>
                <w:p w14:paraId="3F78C78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5" w:type="dxa"/>
                  <w:vMerge w:val="continue"/>
                  <w:tcBorders>
                    <w:tl2br w:val="nil"/>
                    <w:tr2bl w:val="nil"/>
                  </w:tcBorders>
                  <w:noWrap w:val="0"/>
                  <w:vAlign w:val="center"/>
                </w:tcPr>
                <w:p w14:paraId="5C7500A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165F0AD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61CBE5C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921" w:type="dxa"/>
                  <w:vMerge w:val="continue"/>
                  <w:tcBorders>
                    <w:tl2br w:val="nil"/>
                    <w:tr2bl w:val="nil"/>
                  </w:tcBorders>
                  <w:noWrap w:val="0"/>
                  <w:vAlign w:val="center"/>
                </w:tcPr>
                <w:p w14:paraId="07A9955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6" w:type="dxa"/>
                  <w:vMerge w:val="continue"/>
                  <w:tcBorders>
                    <w:tl2br w:val="nil"/>
                    <w:tr2bl w:val="nil"/>
                  </w:tcBorders>
                  <w:noWrap w:val="0"/>
                  <w:vAlign w:val="center"/>
                </w:tcPr>
                <w:p w14:paraId="2FFC955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1546" w:type="dxa"/>
                  <w:vMerge w:val="continue"/>
                  <w:tcBorders>
                    <w:tl2br w:val="nil"/>
                    <w:tr2bl w:val="nil"/>
                  </w:tcBorders>
                  <w:noWrap w:val="0"/>
                  <w:vAlign w:val="center"/>
                </w:tcPr>
                <w:p w14:paraId="306B335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36" w:type="dxa"/>
                  <w:tcBorders>
                    <w:tl2br w:val="nil"/>
                    <w:tr2bl w:val="nil"/>
                  </w:tcBorders>
                  <w:noWrap w:val="0"/>
                  <w:vAlign w:val="center"/>
                </w:tcPr>
                <w:p w14:paraId="3011F98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400</w:t>
                  </w:r>
                </w:p>
              </w:tc>
            </w:tr>
            <w:tr w14:paraId="1F0F88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4" w:hRule="atLeast"/>
                <w:jc w:val="center"/>
              </w:trPr>
              <w:tc>
                <w:tcPr>
                  <w:tcW w:w="386" w:type="dxa"/>
                  <w:vMerge w:val="continue"/>
                  <w:tcBorders>
                    <w:tl2br w:val="nil"/>
                    <w:tr2bl w:val="nil"/>
                  </w:tcBorders>
                  <w:noWrap w:val="0"/>
                  <w:vAlign w:val="center"/>
                </w:tcPr>
                <w:p w14:paraId="49DA5F7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6" w:type="dxa"/>
                  <w:vMerge w:val="continue"/>
                  <w:tcBorders>
                    <w:tl2br w:val="nil"/>
                    <w:tr2bl w:val="nil"/>
                  </w:tcBorders>
                  <w:noWrap w:val="0"/>
                  <w:vAlign w:val="center"/>
                </w:tcPr>
                <w:p w14:paraId="664DB7B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705" w:type="dxa"/>
                  <w:tcBorders>
                    <w:tl2br w:val="nil"/>
                    <w:tr2bl w:val="nil"/>
                  </w:tcBorders>
                  <w:noWrap w:val="0"/>
                  <w:vAlign w:val="center"/>
                </w:tcPr>
                <w:p w14:paraId="67B5A2A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NH</w:t>
                  </w:r>
                  <w:r>
                    <w:rPr>
                      <w:rFonts w:hint="default" w:ascii="Times New Roman" w:hAnsi="Times New Roman" w:cs="Times New Roman"/>
                      <w:color w:val="000000"/>
                      <w:sz w:val="21"/>
                      <w:szCs w:val="21"/>
                      <w:vertAlign w:val="subscript"/>
                    </w:rPr>
                    <w:t>3</w:t>
                  </w:r>
                  <w:r>
                    <w:rPr>
                      <w:rFonts w:hint="default" w:ascii="Times New Roman" w:hAnsi="Times New Roman" w:eastAsia="宋体" w:cs="Times New Roman"/>
                      <w:color w:val="000000"/>
                      <w:sz w:val="21"/>
                      <w:szCs w:val="21"/>
                      <w:vertAlign w:val="baseline"/>
                      <w:lang w:val="en-US" w:eastAsia="zh-CN"/>
                    </w:rPr>
                    <w:t>-N</w:t>
                  </w:r>
                </w:p>
              </w:tc>
              <w:tc>
                <w:tcPr>
                  <w:tcW w:w="553" w:type="dxa"/>
                  <w:vMerge w:val="continue"/>
                  <w:tcBorders>
                    <w:tl2br w:val="nil"/>
                    <w:tr2bl w:val="nil"/>
                  </w:tcBorders>
                  <w:noWrap w:val="0"/>
                  <w:vAlign w:val="center"/>
                </w:tcPr>
                <w:p w14:paraId="212F076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5D35B30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6" w:type="dxa"/>
                  <w:vMerge w:val="continue"/>
                  <w:tcBorders>
                    <w:tl2br w:val="nil"/>
                    <w:tr2bl w:val="nil"/>
                  </w:tcBorders>
                  <w:noWrap w:val="0"/>
                  <w:vAlign w:val="center"/>
                </w:tcPr>
                <w:p w14:paraId="690DD2C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5" w:type="dxa"/>
                  <w:vMerge w:val="continue"/>
                  <w:tcBorders>
                    <w:tl2br w:val="nil"/>
                    <w:tr2bl w:val="nil"/>
                  </w:tcBorders>
                  <w:noWrap w:val="0"/>
                  <w:vAlign w:val="center"/>
                </w:tcPr>
                <w:p w14:paraId="7B10A6F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22DC467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12CC7F3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921" w:type="dxa"/>
                  <w:vMerge w:val="continue"/>
                  <w:tcBorders>
                    <w:tl2br w:val="nil"/>
                    <w:tr2bl w:val="nil"/>
                  </w:tcBorders>
                  <w:noWrap w:val="0"/>
                  <w:vAlign w:val="center"/>
                </w:tcPr>
                <w:p w14:paraId="71C27DC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6" w:type="dxa"/>
                  <w:vMerge w:val="continue"/>
                  <w:tcBorders>
                    <w:tl2br w:val="nil"/>
                    <w:tr2bl w:val="nil"/>
                  </w:tcBorders>
                  <w:noWrap w:val="0"/>
                  <w:vAlign w:val="center"/>
                </w:tcPr>
                <w:p w14:paraId="629CF13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1546" w:type="dxa"/>
                  <w:vMerge w:val="continue"/>
                  <w:tcBorders>
                    <w:tl2br w:val="nil"/>
                    <w:tr2bl w:val="nil"/>
                  </w:tcBorders>
                  <w:noWrap w:val="0"/>
                  <w:vAlign w:val="center"/>
                </w:tcPr>
                <w:p w14:paraId="54F0951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36" w:type="dxa"/>
                  <w:tcBorders>
                    <w:tl2br w:val="nil"/>
                    <w:tr2bl w:val="nil"/>
                  </w:tcBorders>
                  <w:noWrap w:val="0"/>
                  <w:vAlign w:val="center"/>
                </w:tcPr>
                <w:p w14:paraId="1CEB5D8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50</w:t>
                  </w:r>
                </w:p>
              </w:tc>
            </w:tr>
            <w:tr w14:paraId="673F43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386" w:type="dxa"/>
                  <w:vMerge w:val="continue"/>
                  <w:tcBorders>
                    <w:tl2br w:val="nil"/>
                    <w:tr2bl w:val="nil"/>
                  </w:tcBorders>
                  <w:noWrap w:val="0"/>
                  <w:vAlign w:val="center"/>
                </w:tcPr>
                <w:p w14:paraId="4C7BD7A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6" w:type="dxa"/>
                  <w:vMerge w:val="continue"/>
                  <w:tcBorders>
                    <w:tl2br w:val="nil"/>
                    <w:tr2bl w:val="nil"/>
                  </w:tcBorders>
                  <w:noWrap w:val="0"/>
                  <w:vAlign w:val="center"/>
                </w:tcPr>
                <w:p w14:paraId="60D07F5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705" w:type="dxa"/>
                  <w:tcBorders>
                    <w:tl2br w:val="nil"/>
                    <w:tr2bl w:val="nil"/>
                  </w:tcBorders>
                  <w:noWrap w:val="0"/>
                  <w:vAlign w:val="center"/>
                </w:tcPr>
                <w:p w14:paraId="32FE7C1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TP</w:t>
                  </w:r>
                </w:p>
              </w:tc>
              <w:tc>
                <w:tcPr>
                  <w:tcW w:w="553" w:type="dxa"/>
                  <w:vMerge w:val="continue"/>
                  <w:tcBorders>
                    <w:tl2br w:val="nil"/>
                    <w:tr2bl w:val="nil"/>
                  </w:tcBorders>
                  <w:noWrap w:val="0"/>
                  <w:vAlign w:val="center"/>
                </w:tcPr>
                <w:p w14:paraId="7461CFF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5C2EE5A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6" w:type="dxa"/>
                  <w:vMerge w:val="continue"/>
                  <w:tcBorders>
                    <w:tl2br w:val="nil"/>
                    <w:tr2bl w:val="nil"/>
                  </w:tcBorders>
                  <w:noWrap w:val="0"/>
                  <w:vAlign w:val="center"/>
                </w:tcPr>
                <w:p w14:paraId="65E46B4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5" w:type="dxa"/>
                  <w:vMerge w:val="continue"/>
                  <w:tcBorders>
                    <w:tl2br w:val="nil"/>
                    <w:tr2bl w:val="nil"/>
                  </w:tcBorders>
                  <w:noWrap w:val="0"/>
                  <w:vAlign w:val="center"/>
                </w:tcPr>
                <w:p w14:paraId="1FD1811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08E61D6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0B82FB7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921" w:type="dxa"/>
                  <w:vMerge w:val="continue"/>
                  <w:tcBorders>
                    <w:tl2br w:val="nil"/>
                    <w:tr2bl w:val="nil"/>
                  </w:tcBorders>
                  <w:noWrap w:val="0"/>
                  <w:vAlign w:val="center"/>
                </w:tcPr>
                <w:p w14:paraId="2527FCC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6" w:type="dxa"/>
                  <w:vMerge w:val="continue"/>
                  <w:tcBorders>
                    <w:tl2br w:val="nil"/>
                    <w:tr2bl w:val="nil"/>
                  </w:tcBorders>
                  <w:noWrap w:val="0"/>
                  <w:vAlign w:val="center"/>
                </w:tcPr>
                <w:p w14:paraId="42D8606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1546" w:type="dxa"/>
                  <w:vMerge w:val="continue"/>
                  <w:tcBorders>
                    <w:tl2br w:val="nil"/>
                    <w:tr2bl w:val="nil"/>
                  </w:tcBorders>
                  <w:noWrap w:val="0"/>
                  <w:vAlign w:val="center"/>
                </w:tcPr>
                <w:p w14:paraId="62193B0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36" w:type="dxa"/>
                  <w:tcBorders>
                    <w:tl2br w:val="nil"/>
                    <w:tr2bl w:val="nil"/>
                  </w:tcBorders>
                  <w:noWrap w:val="0"/>
                  <w:vAlign w:val="center"/>
                </w:tcPr>
                <w:p w14:paraId="7579D21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lang w:val="en-US" w:eastAsia="zh-CN"/>
                    </w:rPr>
                  </w:pPr>
                  <w:r>
                    <w:rPr>
                      <w:rFonts w:hint="eastAsia" w:cs="Times New Roman"/>
                      <w:color w:val="000000"/>
                      <w:sz w:val="21"/>
                      <w:szCs w:val="21"/>
                      <w:lang w:val="en-US" w:eastAsia="zh-CN"/>
                    </w:rPr>
                    <w:t>8</w:t>
                  </w:r>
                </w:p>
              </w:tc>
            </w:tr>
            <w:tr w14:paraId="43CE7F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386" w:type="dxa"/>
                  <w:vMerge w:val="continue"/>
                  <w:tcBorders>
                    <w:tl2br w:val="nil"/>
                    <w:tr2bl w:val="nil"/>
                  </w:tcBorders>
                  <w:noWrap w:val="0"/>
                  <w:vAlign w:val="center"/>
                </w:tcPr>
                <w:p w14:paraId="24ABBA1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6" w:type="dxa"/>
                  <w:vMerge w:val="continue"/>
                  <w:tcBorders>
                    <w:tl2br w:val="nil"/>
                    <w:tr2bl w:val="nil"/>
                  </w:tcBorders>
                  <w:noWrap w:val="0"/>
                  <w:vAlign w:val="center"/>
                </w:tcPr>
                <w:p w14:paraId="219E895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705" w:type="dxa"/>
                  <w:tcBorders>
                    <w:tl2br w:val="nil"/>
                    <w:tr2bl w:val="nil"/>
                  </w:tcBorders>
                  <w:noWrap w:val="0"/>
                  <w:vAlign w:val="center"/>
                </w:tcPr>
                <w:p w14:paraId="4778903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动植物油</w:t>
                  </w:r>
                </w:p>
              </w:tc>
              <w:tc>
                <w:tcPr>
                  <w:tcW w:w="553" w:type="dxa"/>
                  <w:vMerge w:val="continue"/>
                  <w:tcBorders>
                    <w:tl2br w:val="nil"/>
                    <w:tr2bl w:val="nil"/>
                  </w:tcBorders>
                  <w:noWrap w:val="0"/>
                  <w:vAlign w:val="center"/>
                </w:tcPr>
                <w:p w14:paraId="2B28BAD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2B57D3B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6" w:type="dxa"/>
                  <w:vMerge w:val="continue"/>
                  <w:tcBorders>
                    <w:tl2br w:val="nil"/>
                    <w:tr2bl w:val="nil"/>
                  </w:tcBorders>
                  <w:noWrap w:val="0"/>
                  <w:vAlign w:val="center"/>
                </w:tcPr>
                <w:p w14:paraId="1B599BF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5" w:type="dxa"/>
                  <w:vMerge w:val="continue"/>
                  <w:tcBorders>
                    <w:tl2br w:val="nil"/>
                    <w:tr2bl w:val="nil"/>
                  </w:tcBorders>
                  <w:noWrap w:val="0"/>
                  <w:vAlign w:val="center"/>
                </w:tcPr>
                <w:p w14:paraId="6307D5E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1BA945F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54" w:type="dxa"/>
                  <w:vMerge w:val="continue"/>
                  <w:tcBorders>
                    <w:tl2br w:val="nil"/>
                    <w:tr2bl w:val="nil"/>
                  </w:tcBorders>
                  <w:noWrap w:val="0"/>
                  <w:vAlign w:val="center"/>
                </w:tcPr>
                <w:p w14:paraId="12FB805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921" w:type="dxa"/>
                  <w:vMerge w:val="continue"/>
                  <w:tcBorders>
                    <w:tl2br w:val="nil"/>
                    <w:tr2bl w:val="nil"/>
                  </w:tcBorders>
                  <w:noWrap w:val="0"/>
                  <w:vAlign w:val="center"/>
                </w:tcPr>
                <w:p w14:paraId="286E716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386" w:type="dxa"/>
                  <w:vMerge w:val="continue"/>
                  <w:tcBorders>
                    <w:tl2br w:val="nil"/>
                    <w:tr2bl w:val="nil"/>
                  </w:tcBorders>
                  <w:noWrap w:val="0"/>
                  <w:vAlign w:val="center"/>
                </w:tcPr>
                <w:p w14:paraId="31F99FB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1546" w:type="dxa"/>
                  <w:vMerge w:val="continue"/>
                  <w:tcBorders>
                    <w:tl2br w:val="nil"/>
                    <w:tr2bl w:val="nil"/>
                  </w:tcBorders>
                  <w:noWrap w:val="0"/>
                  <w:vAlign w:val="center"/>
                </w:tcPr>
                <w:p w14:paraId="6538B62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rPr>
                  </w:pPr>
                </w:p>
              </w:tc>
              <w:tc>
                <w:tcPr>
                  <w:tcW w:w="536" w:type="dxa"/>
                  <w:tcBorders>
                    <w:tl2br w:val="nil"/>
                    <w:tr2bl w:val="nil"/>
                  </w:tcBorders>
                  <w:noWrap w:val="0"/>
                  <w:vAlign w:val="top"/>
                </w:tcPr>
                <w:p w14:paraId="70A7116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000000"/>
                      <w:sz w:val="21"/>
                      <w:szCs w:val="21"/>
                      <w:lang w:val="en-US" w:eastAsia="zh-CN"/>
                    </w:rPr>
                  </w:pPr>
                  <w:r>
                    <w:rPr>
                      <w:rFonts w:hint="eastAsia" w:ascii="Times New Roman" w:hAnsi="Times New Roman" w:cs="Times New Roman"/>
                      <w:color w:val="000000"/>
                      <w:sz w:val="21"/>
                      <w:szCs w:val="21"/>
                      <w:lang w:val="en-US" w:eastAsia="zh-CN"/>
                    </w:rPr>
                    <w:t>20</w:t>
                  </w:r>
                </w:p>
              </w:tc>
            </w:tr>
          </w:tbl>
          <w:p w14:paraId="7AE7A765">
            <w:pPr>
              <w:ind w:firstLine="480"/>
              <w:jc w:val="left"/>
              <w:rPr>
                <w:rFonts w:eastAsiaTheme="minorEastAsia"/>
                <w:bCs/>
              </w:rPr>
            </w:pPr>
          </w:p>
        </w:tc>
      </w:tr>
    </w:tbl>
    <w:p w14:paraId="385974BD">
      <w:pPr>
        <w:ind w:firstLine="480"/>
        <w:sectPr>
          <w:pgSz w:w="11907" w:h="16840"/>
          <w:pgMar w:top="1440" w:right="1800" w:bottom="1440" w:left="1800" w:header="851" w:footer="851" w:gutter="0"/>
          <w:pgBorders>
            <w:top w:val="none" w:sz="0" w:space="0"/>
            <w:left w:val="none" w:sz="0" w:space="0"/>
            <w:bottom w:val="none" w:sz="0" w:space="0"/>
            <w:right w:val="none" w:sz="0" w:space="0"/>
          </w:pgBorders>
          <w:cols w:space="720" w:num="1"/>
          <w:docGrid w:linePitch="312" w:charSpace="0"/>
        </w:sectPr>
      </w:pPr>
    </w:p>
    <w:tbl>
      <w:tblPr>
        <w:tblStyle w:val="41"/>
        <w:tblW w:w="515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8"/>
        <w:gridCol w:w="8996"/>
      </w:tblGrid>
      <w:tr w14:paraId="5FA869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94" w:hRule="atLeast"/>
          <w:jc w:val="center"/>
        </w:trPr>
        <w:tc>
          <w:tcPr>
            <w:tcW w:w="242" w:type="pct"/>
            <w:tcMar>
              <w:left w:w="28" w:type="dxa"/>
              <w:right w:w="28" w:type="dxa"/>
            </w:tcMar>
            <w:vAlign w:val="center"/>
          </w:tcPr>
          <w:p w14:paraId="04629494">
            <w:pPr>
              <w:ind w:firstLine="0" w:firstLineChars="0"/>
              <w:jc w:val="center"/>
              <w:rPr>
                <w:rFonts w:ascii="宋体" w:hAnsi="宋体" w:cs="宋体"/>
                <w:b/>
              </w:rPr>
            </w:pPr>
            <w:r>
              <w:rPr>
                <w:rFonts w:hint="eastAsia" w:ascii="宋体" w:hAnsi="宋体" w:cs="宋体"/>
                <w:b/>
              </w:rPr>
              <w:t>运营</w:t>
            </w:r>
          </w:p>
          <w:p w14:paraId="7AA33356">
            <w:pPr>
              <w:ind w:firstLine="0" w:firstLineChars="0"/>
              <w:jc w:val="center"/>
              <w:rPr>
                <w:rFonts w:ascii="宋体" w:hAnsi="宋体" w:cs="宋体"/>
                <w:b/>
              </w:rPr>
            </w:pPr>
            <w:r>
              <w:rPr>
                <w:rFonts w:hint="eastAsia" w:ascii="宋体" w:hAnsi="宋体" w:cs="宋体"/>
                <w:b/>
              </w:rPr>
              <w:t>期环</w:t>
            </w:r>
          </w:p>
          <w:p w14:paraId="7FD367AA">
            <w:pPr>
              <w:ind w:firstLine="0" w:firstLineChars="0"/>
              <w:jc w:val="center"/>
              <w:rPr>
                <w:rFonts w:ascii="宋体" w:hAnsi="宋体" w:cs="宋体"/>
                <w:b/>
              </w:rPr>
            </w:pPr>
            <w:r>
              <w:rPr>
                <w:rFonts w:hint="eastAsia" w:ascii="宋体" w:hAnsi="宋体" w:cs="宋体"/>
                <w:b/>
              </w:rPr>
              <w:t>境影</w:t>
            </w:r>
          </w:p>
          <w:p w14:paraId="7CE2EB5D">
            <w:pPr>
              <w:ind w:firstLine="0" w:firstLineChars="0"/>
              <w:jc w:val="center"/>
              <w:rPr>
                <w:rFonts w:ascii="宋体" w:hAnsi="宋体" w:cs="宋体"/>
                <w:b/>
              </w:rPr>
            </w:pPr>
            <w:r>
              <w:rPr>
                <w:rFonts w:hint="eastAsia" w:ascii="宋体" w:hAnsi="宋体" w:cs="宋体"/>
                <w:b/>
              </w:rPr>
              <w:t>响和</w:t>
            </w:r>
          </w:p>
          <w:p w14:paraId="5DDC242B">
            <w:pPr>
              <w:ind w:firstLine="0" w:firstLineChars="0"/>
              <w:jc w:val="center"/>
              <w:rPr>
                <w:rFonts w:ascii="宋体" w:hAnsi="宋体" w:cs="宋体"/>
                <w:b/>
              </w:rPr>
            </w:pPr>
            <w:r>
              <w:rPr>
                <w:rFonts w:hint="eastAsia" w:ascii="宋体" w:hAnsi="宋体" w:cs="宋体"/>
                <w:b/>
              </w:rPr>
              <w:t>保护</w:t>
            </w:r>
          </w:p>
          <w:p w14:paraId="49AC9FB0">
            <w:pPr>
              <w:ind w:firstLine="0" w:firstLineChars="0"/>
              <w:jc w:val="center"/>
              <w:rPr>
                <w:rFonts w:ascii="宋体" w:hAnsi="宋体" w:cs="宋体"/>
                <w:bCs/>
                <w:szCs w:val="21"/>
                <w:highlight w:val="yellow"/>
              </w:rPr>
            </w:pPr>
            <w:r>
              <w:rPr>
                <w:rFonts w:hint="eastAsia" w:ascii="宋体" w:hAnsi="宋体" w:cs="宋体"/>
                <w:b/>
              </w:rPr>
              <w:t>措施</w:t>
            </w:r>
          </w:p>
        </w:tc>
        <w:tc>
          <w:tcPr>
            <w:tcW w:w="4757" w:type="pct"/>
            <w:vAlign w:val="center"/>
          </w:tcPr>
          <w:p w14:paraId="3D381727">
            <w:pPr>
              <w:keepNext w:val="0"/>
              <w:keepLines w:val="0"/>
              <w:pageBreakBefore w:val="0"/>
              <w:widowControl w:val="0"/>
              <w:kinsoku/>
              <w:wordWrap/>
              <w:overflowPunct/>
              <w:topLinePunct w:val="0"/>
              <w:autoSpaceDE/>
              <w:autoSpaceDN/>
              <w:bidi w:val="0"/>
              <w:adjustRightInd/>
              <w:snapToGrid/>
              <w:spacing w:after="0" w:line="360" w:lineRule="auto"/>
              <w:ind w:left="0" w:leftChars="0" w:right="0" w:rightChars="0" w:firstLine="480" w:firstLineChars="200"/>
              <w:jc w:val="both"/>
              <w:textAlignment w:val="auto"/>
              <w:rPr>
                <w:rFonts w:hint="default" w:ascii="Times New Roman" w:hAnsi="Times New Roman" w:eastAsia="宋体" w:cs="Times New Roman"/>
                <w:b w:val="0"/>
                <w:bCs w:val="0"/>
                <w:color w:val="auto"/>
                <w:sz w:val="24"/>
                <w:szCs w:val="24"/>
                <w:highlight w:val="none"/>
                <w:lang w:val="en-US" w:eastAsia="zh-CN"/>
              </w:rPr>
            </w:pPr>
            <w:r>
              <w:rPr>
                <w:rFonts w:hint="eastAsia" w:cs="Times New Roman"/>
                <w:b w:val="0"/>
                <w:bCs w:val="0"/>
                <w:color w:val="auto"/>
                <w:sz w:val="24"/>
                <w:szCs w:val="24"/>
                <w:highlight w:val="none"/>
                <w:lang w:val="en-US" w:eastAsia="zh-CN"/>
              </w:rPr>
              <w:t>2、</w:t>
            </w:r>
            <w:r>
              <w:rPr>
                <w:rFonts w:hint="default" w:ascii="Times New Roman" w:hAnsi="Times New Roman" w:eastAsia="宋体" w:cs="Times New Roman"/>
                <w:b w:val="0"/>
                <w:bCs w:val="0"/>
                <w:color w:val="auto"/>
                <w:sz w:val="24"/>
                <w:szCs w:val="24"/>
                <w:highlight w:val="none"/>
                <w:lang w:val="en-US" w:eastAsia="zh-CN"/>
              </w:rPr>
              <w:t>废水影响分析</w:t>
            </w:r>
          </w:p>
          <w:p w14:paraId="190CDC66">
            <w:pPr>
              <w:pStyle w:val="167"/>
              <w:pageBreakBefore w:val="0"/>
              <w:widowControl w:val="0"/>
              <w:kinsoku/>
              <w:wordWrap/>
              <w:overflowPunct/>
              <w:topLinePunct w:val="0"/>
              <w:autoSpaceDE/>
              <w:autoSpaceDN/>
              <w:bidi w:val="0"/>
              <w:snapToGrid/>
              <w:spacing w:line="360" w:lineRule="auto"/>
              <w:ind w:firstLine="480"/>
              <w:textAlignment w:val="auto"/>
              <w:rPr>
                <w:rFonts w:hint="eastAsia" w:ascii="Times New Roman" w:hAnsi="Times New Roman" w:eastAsia="宋体" w:cs="Times New Roman"/>
                <w:b w:val="0"/>
                <w:bCs w:val="0"/>
                <w:color w:val="000000"/>
                <w:sz w:val="24"/>
                <w:szCs w:val="24"/>
                <w:highlight w:val="none"/>
                <w:lang w:val="en-US" w:eastAsia="zh-CN"/>
              </w:rPr>
            </w:pPr>
            <w:r>
              <w:rPr>
                <w:rFonts w:hint="eastAsia" w:ascii="Times New Roman" w:hAnsi="Times New Roman" w:eastAsia="宋体" w:cs="Times New Roman"/>
                <w:b w:val="0"/>
                <w:bCs w:val="0"/>
                <w:color w:val="000000"/>
                <w:sz w:val="24"/>
                <w:szCs w:val="24"/>
                <w:highlight w:val="none"/>
                <w:lang w:val="en-US" w:eastAsia="zh-CN"/>
              </w:rPr>
              <w:t>依托高安市工业园污水处理厂可行性分析</w:t>
            </w:r>
            <w:r>
              <w:rPr>
                <w:rFonts w:hint="eastAsia" w:cs="Times New Roman"/>
                <w:b w:val="0"/>
                <w:bCs w:val="0"/>
                <w:color w:val="000000"/>
                <w:sz w:val="24"/>
                <w:szCs w:val="24"/>
                <w:highlight w:val="none"/>
                <w:lang w:val="en-US" w:eastAsia="zh-CN"/>
              </w:rPr>
              <w:t>：</w:t>
            </w:r>
          </w:p>
          <w:p w14:paraId="319B63FC">
            <w:pPr>
              <w:pStyle w:val="167"/>
              <w:pageBreakBefore w:val="0"/>
              <w:widowControl w:val="0"/>
              <w:kinsoku/>
              <w:wordWrap/>
              <w:overflowPunct/>
              <w:topLinePunct w:val="0"/>
              <w:autoSpaceDE/>
              <w:autoSpaceDN/>
              <w:bidi w:val="0"/>
              <w:snapToGrid/>
              <w:spacing w:line="360" w:lineRule="auto"/>
              <w:ind w:firstLine="480"/>
              <w:textAlignment w:val="auto"/>
              <w:rPr>
                <w:rFonts w:hint="eastAsia"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高安市工业园污水处理厂位于高安市高安大道以南，工程规模为2万m</w:t>
            </w:r>
            <w:r>
              <w:rPr>
                <w:rFonts w:hint="eastAsia" w:ascii="Times New Roman" w:hAnsi="Times New Roman" w:eastAsia="宋体" w:cs="Times New Roman"/>
                <w:color w:val="000000"/>
                <w:sz w:val="24"/>
                <w:szCs w:val="24"/>
                <w:highlight w:val="none"/>
                <w:vertAlign w:val="superscript"/>
                <w:lang w:val="en-US" w:eastAsia="zh-CN"/>
              </w:rPr>
              <w:t>3</w:t>
            </w:r>
            <w:r>
              <w:rPr>
                <w:rFonts w:hint="eastAsia" w:ascii="Times New Roman" w:hAnsi="Times New Roman" w:eastAsia="宋体" w:cs="Times New Roman"/>
                <w:color w:val="000000"/>
                <w:sz w:val="24"/>
                <w:szCs w:val="24"/>
                <w:highlight w:val="none"/>
                <w:lang w:val="en-US" w:eastAsia="zh-CN"/>
              </w:rPr>
              <w:t>/d，分两期建设，一期工程建设规模为1万m</w:t>
            </w:r>
            <w:r>
              <w:rPr>
                <w:rFonts w:hint="eastAsia" w:ascii="Times New Roman" w:hAnsi="Times New Roman" w:eastAsia="宋体" w:cs="Times New Roman"/>
                <w:color w:val="000000"/>
                <w:sz w:val="24"/>
                <w:szCs w:val="24"/>
                <w:highlight w:val="none"/>
                <w:vertAlign w:val="superscript"/>
                <w:lang w:val="en-US" w:eastAsia="zh-CN"/>
              </w:rPr>
              <w:t>3</w:t>
            </w:r>
            <w:r>
              <w:rPr>
                <w:rFonts w:hint="eastAsia" w:ascii="Times New Roman" w:hAnsi="Times New Roman" w:eastAsia="宋体" w:cs="Times New Roman"/>
                <w:color w:val="000000"/>
                <w:sz w:val="24"/>
                <w:szCs w:val="24"/>
                <w:highlight w:val="none"/>
                <w:lang w:val="en-US" w:eastAsia="zh-CN"/>
              </w:rPr>
              <w:t>/d，于2017年8月正式投入运行，并于2018年6月完成竣工验收工作，尾水执行《城镇污水处理厂污染物排放标准》（GB18918-2002）一级B标准。2020年1月，高安市工业园污水处理厂取得提标改造项目环评批复（高环评字〔2020〕2号），达到《城镇污水处理厂污染物排放标准》（GB18918-2002）一级A排放标准后外排。提标改造工程于2020年8月开工建设，2020年12月试运行，并于2021年5月7日通过竣工环境保护自主验收，设计处理规模为1万m</w:t>
            </w:r>
            <w:r>
              <w:rPr>
                <w:rFonts w:hint="eastAsia" w:ascii="Times New Roman" w:hAnsi="Times New Roman" w:eastAsia="宋体" w:cs="Times New Roman"/>
                <w:color w:val="000000"/>
                <w:sz w:val="24"/>
                <w:szCs w:val="24"/>
                <w:highlight w:val="none"/>
                <w:vertAlign w:val="superscript"/>
                <w:lang w:val="en-US" w:eastAsia="zh-CN"/>
              </w:rPr>
              <w:t>3</w:t>
            </w:r>
            <w:r>
              <w:rPr>
                <w:rFonts w:hint="eastAsia" w:ascii="Times New Roman" w:hAnsi="Times New Roman" w:eastAsia="宋体" w:cs="Times New Roman"/>
                <w:color w:val="000000"/>
                <w:sz w:val="24"/>
                <w:szCs w:val="24"/>
                <w:highlight w:val="none"/>
                <w:lang w:val="en-US" w:eastAsia="zh-CN"/>
              </w:rPr>
              <w:t>/d，实际处理规模约6500m</w:t>
            </w:r>
            <w:r>
              <w:rPr>
                <w:rFonts w:hint="eastAsia" w:ascii="Times New Roman" w:hAnsi="Times New Roman" w:eastAsia="宋体" w:cs="Times New Roman"/>
                <w:color w:val="000000"/>
                <w:sz w:val="24"/>
                <w:szCs w:val="24"/>
                <w:highlight w:val="none"/>
                <w:vertAlign w:val="superscript"/>
                <w:lang w:val="en-US" w:eastAsia="zh-CN"/>
              </w:rPr>
              <w:t>3</w:t>
            </w:r>
            <w:r>
              <w:rPr>
                <w:rFonts w:hint="eastAsia" w:ascii="Times New Roman" w:hAnsi="Times New Roman" w:eastAsia="宋体" w:cs="Times New Roman"/>
                <w:color w:val="000000"/>
                <w:sz w:val="24"/>
                <w:szCs w:val="24"/>
                <w:highlight w:val="none"/>
                <w:lang w:val="en-US" w:eastAsia="zh-CN"/>
              </w:rPr>
              <w:t>/d。</w:t>
            </w:r>
          </w:p>
          <w:p w14:paraId="55CD8A92">
            <w:pPr>
              <w:pStyle w:val="167"/>
              <w:pageBreakBefore w:val="0"/>
              <w:widowControl w:val="0"/>
              <w:kinsoku/>
              <w:wordWrap/>
              <w:overflowPunct/>
              <w:topLinePunct w:val="0"/>
              <w:autoSpaceDE/>
              <w:autoSpaceDN/>
              <w:bidi w:val="0"/>
              <w:snapToGrid/>
              <w:spacing w:line="360" w:lineRule="auto"/>
              <w:ind w:firstLine="480"/>
              <w:textAlignment w:val="auto"/>
              <w:rPr>
                <w:rFonts w:hint="eastAsia"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从水量角度分析：根据工程分析，本项目外排废水量为</w:t>
            </w:r>
            <w:r>
              <w:rPr>
                <w:rFonts w:hint="eastAsia" w:cs="Times New Roman"/>
                <w:color w:val="000000"/>
                <w:sz w:val="24"/>
                <w:szCs w:val="24"/>
                <w:highlight w:val="none"/>
                <w:lang w:val="en-US" w:eastAsia="zh-CN"/>
              </w:rPr>
              <w:t>9850.4</w:t>
            </w:r>
            <w:r>
              <w:rPr>
                <w:rFonts w:hint="eastAsia" w:ascii="Times New Roman" w:hAnsi="Times New Roman" w:eastAsia="宋体" w:cs="Times New Roman"/>
                <w:color w:val="000000"/>
                <w:sz w:val="24"/>
                <w:szCs w:val="24"/>
                <w:highlight w:val="none"/>
                <w:lang w:val="en-US" w:eastAsia="zh-CN"/>
              </w:rPr>
              <w:t>m</w:t>
            </w:r>
            <w:r>
              <w:rPr>
                <w:rFonts w:hint="eastAsia" w:ascii="Times New Roman" w:hAnsi="Times New Roman" w:eastAsia="宋体" w:cs="Times New Roman"/>
                <w:color w:val="000000"/>
                <w:sz w:val="24"/>
                <w:szCs w:val="24"/>
                <w:highlight w:val="none"/>
                <w:vertAlign w:val="superscript"/>
                <w:lang w:val="en-US" w:eastAsia="zh-CN"/>
              </w:rPr>
              <w:t>3</w:t>
            </w:r>
            <w:r>
              <w:rPr>
                <w:rFonts w:hint="eastAsia" w:ascii="Times New Roman" w:hAnsi="Times New Roman" w:eastAsia="宋体" w:cs="Times New Roman"/>
                <w:color w:val="000000"/>
                <w:sz w:val="24"/>
                <w:szCs w:val="24"/>
                <w:highlight w:val="none"/>
                <w:lang w:val="en-US" w:eastAsia="zh-CN"/>
              </w:rPr>
              <w:t>/a（</w:t>
            </w:r>
            <w:r>
              <w:rPr>
                <w:rFonts w:hint="eastAsia" w:cs="Times New Roman"/>
                <w:color w:val="000000"/>
                <w:sz w:val="24"/>
                <w:szCs w:val="24"/>
                <w:highlight w:val="none"/>
                <w:lang w:val="en-US" w:eastAsia="zh-CN"/>
              </w:rPr>
              <w:t>32.83</w:t>
            </w:r>
            <w:r>
              <w:rPr>
                <w:rFonts w:hint="eastAsia" w:ascii="Times New Roman" w:hAnsi="Times New Roman" w:eastAsia="宋体" w:cs="Times New Roman"/>
                <w:color w:val="000000"/>
                <w:sz w:val="24"/>
                <w:szCs w:val="24"/>
                <w:highlight w:val="none"/>
                <w:lang w:val="en-US" w:eastAsia="zh-CN"/>
              </w:rPr>
              <w:t>m</w:t>
            </w:r>
            <w:r>
              <w:rPr>
                <w:rFonts w:hint="eastAsia" w:ascii="Times New Roman" w:hAnsi="Times New Roman" w:eastAsia="宋体" w:cs="Times New Roman"/>
                <w:color w:val="000000"/>
                <w:sz w:val="24"/>
                <w:szCs w:val="24"/>
                <w:highlight w:val="none"/>
                <w:vertAlign w:val="superscript"/>
                <w:lang w:val="en-US" w:eastAsia="zh-CN"/>
              </w:rPr>
              <w:t>3</w:t>
            </w:r>
            <w:r>
              <w:rPr>
                <w:rFonts w:hint="eastAsia" w:ascii="Times New Roman" w:hAnsi="Times New Roman" w:eastAsia="宋体" w:cs="Times New Roman"/>
                <w:color w:val="000000"/>
                <w:sz w:val="24"/>
                <w:szCs w:val="24"/>
                <w:highlight w:val="none"/>
                <w:lang w:val="en-US" w:eastAsia="zh-CN"/>
              </w:rPr>
              <w:t>/d），高安市工业园污水处理厂现状废水处理量为1万m</w:t>
            </w:r>
            <w:r>
              <w:rPr>
                <w:rFonts w:hint="eastAsia" w:ascii="Times New Roman" w:hAnsi="Times New Roman" w:eastAsia="宋体" w:cs="Times New Roman"/>
                <w:color w:val="000000"/>
                <w:sz w:val="24"/>
                <w:szCs w:val="24"/>
                <w:highlight w:val="none"/>
                <w:vertAlign w:val="superscript"/>
                <w:lang w:val="en-US" w:eastAsia="zh-CN"/>
              </w:rPr>
              <w:t>3</w:t>
            </w:r>
            <w:r>
              <w:rPr>
                <w:rFonts w:hint="eastAsia" w:ascii="Times New Roman" w:hAnsi="Times New Roman" w:eastAsia="宋体" w:cs="Times New Roman"/>
                <w:color w:val="000000"/>
                <w:sz w:val="24"/>
                <w:szCs w:val="24"/>
                <w:highlight w:val="none"/>
                <w:lang w:val="en-US" w:eastAsia="zh-CN"/>
              </w:rPr>
              <w:t>/d，处理余量约3500m</w:t>
            </w:r>
            <w:r>
              <w:rPr>
                <w:rFonts w:hint="eastAsia" w:ascii="Times New Roman" w:hAnsi="Times New Roman" w:eastAsia="宋体" w:cs="Times New Roman"/>
                <w:color w:val="000000"/>
                <w:sz w:val="24"/>
                <w:szCs w:val="24"/>
                <w:highlight w:val="none"/>
                <w:vertAlign w:val="superscript"/>
                <w:lang w:val="en-US" w:eastAsia="zh-CN"/>
              </w:rPr>
              <w:t>3</w:t>
            </w:r>
            <w:r>
              <w:rPr>
                <w:rFonts w:hint="eastAsia" w:ascii="Times New Roman" w:hAnsi="Times New Roman" w:eastAsia="宋体" w:cs="Times New Roman"/>
                <w:color w:val="000000"/>
                <w:sz w:val="24"/>
                <w:szCs w:val="24"/>
                <w:highlight w:val="none"/>
                <w:lang w:val="en-US" w:eastAsia="zh-CN"/>
              </w:rPr>
              <w:t>/d。本项目废水量占余量的</w:t>
            </w:r>
            <w:r>
              <w:rPr>
                <w:rFonts w:hint="eastAsia" w:cs="Times New Roman"/>
                <w:color w:val="000000"/>
                <w:sz w:val="24"/>
                <w:szCs w:val="24"/>
                <w:highlight w:val="none"/>
                <w:lang w:val="en-US" w:eastAsia="zh-CN"/>
              </w:rPr>
              <w:t>0.938</w:t>
            </w:r>
            <w:r>
              <w:rPr>
                <w:rFonts w:hint="eastAsia" w:ascii="Times New Roman" w:hAnsi="Times New Roman" w:eastAsia="宋体" w:cs="Times New Roman"/>
                <w:color w:val="000000"/>
                <w:sz w:val="24"/>
                <w:szCs w:val="24"/>
                <w:highlight w:val="none"/>
                <w:lang w:val="en-US" w:eastAsia="zh-CN"/>
              </w:rPr>
              <w:t>%，因此污水处理厂有足够容量接纳本项目废水。</w:t>
            </w:r>
          </w:p>
          <w:p w14:paraId="57E56BF8">
            <w:pPr>
              <w:pStyle w:val="167"/>
              <w:pageBreakBefore w:val="0"/>
              <w:widowControl w:val="0"/>
              <w:kinsoku/>
              <w:wordWrap/>
              <w:overflowPunct/>
              <w:topLinePunct w:val="0"/>
              <w:autoSpaceDE/>
              <w:autoSpaceDN/>
              <w:bidi w:val="0"/>
              <w:snapToGrid/>
              <w:spacing w:line="360" w:lineRule="auto"/>
              <w:ind w:firstLine="480"/>
              <w:textAlignment w:val="auto"/>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从水质角度分析：本项目纳管排放的废水为生活污水</w:t>
            </w:r>
            <w:r>
              <w:rPr>
                <w:rFonts w:hint="eastAsia" w:cs="Times New Roman"/>
                <w:color w:val="000000"/>
                <w:sz w:val="24"/>
                <w:szCs w:val="24"/>
                <w:highlight w:val="none"/>
                <w:lang w:val="en-US" w:eastAsia="zh-CN"/>
              </w:rPr>
              <w:t>及初期雨水</w:t>
            </w:r>
            <w:r>
              <w:rPr>
                <w:rFonts w:hint="eastAsia" w:ascii="Times New Roman" w:hAnsi="Times New Roman" w:eastAsia="宋体" w:cs="Times New Roman"/>
                <w:color w:val="000000"/>
                <w:sz w:val="24"/>
                <w:szCs w:val="24"/>
                <w:highlight w:val="none"/>
                <w:lang w:val="en-US" w:eastAsia="zh-CN"/>
              </w:rPr>
              <w:t>，经预处理达到接管标准后排入园区污水管网</w:t>
            </w:r>
            <w:r>
              <w:rPr>
                <w:rFonts w:hint="default" w:ascii="Times New Roman" w:hAnsi="Times New Roman" w:eastAsia="宋体" w:cs="Times New Roman"/>
                <w:color w:val="000000"/>
                <w:sz w:val="24"/>
                <w:szCs w:val="24"/>
                <w:highlight w:val="none"/>
                <w:lang w:val="en-US" w:eastAsia="zh-CN"/>
              </w:rPr>
              <w:t>。</w:t>
            </w:r>
          </w:p>
          <w:p w14:paraId="01F5D239">
            <w:pPr>
              <w:pStyle w:val="167"/>
              <w:pageBreakBefore w:val="0"/>
              <w:widowControl w:val="0"/>
              <w:kinsoku/>
              <w:wordWrap/>
              <w:overflowPunct/>
              <w:topLinePunct w:val="0"/>
              <w:autoSpaceDE/>
              <w:autoSpaceDN/>
              <w:bidi w:val="0"/>
              <w:snapToGrid/>
              <w:spacing w:line="360" w:lineRule="auto"/>
              <w:ind w:firstLine="480"/>
              <w:textAlignment w:val="auto"/>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highlight w:val="none"/>
              </w:rPr>
              <w:t>高安市工业园污水处理厂</w:t>
            </w:r>
            <w:r>
              <w:rPr>
                <w:rFonts w:hint="default" w:ascii="Times New Roman" w:hAnsi="Times New Roman" w:eastAsia="宋体" w:cs="Times New Roman"/>
                <w:color w:val="000000"/>
                <w:sz w:val="24"/>
                <w:szCs w:val="24"/>
                <w:highlight w:val="none"/>
                <w:lang w:val="en-US" w:eastAsia="zh-CN"/>
              </w:rPr>
              <w:t>处理工艺为：</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粗格栅+细格栅及沉砂池+反应沉淀池+水解酸化+改良型氧化沟+二沉池+高效沉淀+反冲洗滤池+接触消毒池+计量池</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，尾水处理达《城镇污水处理厂污染物排放标准》</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GB18918-2002</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一级A标准后排入</w:t>
            </w:r>
            <w:r>
              <w:rPr>
                <w:rFonts w:hint="eastAsia" w:ascii="Times New Roman" w:hAnsi="Times New Roman" w:eastAsia="宋体" w:cs="Times New Roman"/>
                <w:color w:val="000000"/>
                <w:sz w:val="24"/>
                <w:szCs w:val="24"/>
                <w:highlight w:val="none"/>
                <w:lang w:val="en-US" w:eastAsia="zh-CN"/>
              </w:rPr>
              <w:t>锦江</w:t>
            </w:r>
            <w:r>
              <w:rPr>
                <w:rFonts w:hint="default" w:ascii="Times New Roman" w:hAnsi="Times New Roman" w:eastAsia="宋体" w:cs="Times New Roman"/>
                <w:color w:val="000000"/>
                <w:sz w:val="24"/>
                <w:szCs w:val="24"/>
                <w:highlight w:val="none"/>
                <w:lang w:val="en-US" w:eastAsia="zh-CN"/>
              </w:rPr>
              <w:t>。本项目</w:t>
            </w:r>
            <w:r>
              <w:rPr>
                <w:rFonts w:hint="eastAsia" w:ascii="Times New Roman" w:hAnsi="Times New Roman" w:eastAsia="宋体" w:cs="Times New Roman"/>
                <w:color w:val="000000"/>
                <w:sz w:val="24"/>
                <w:szCs w:val="24"/>
                <w:highlight w:val="none"/>
                <w:lang w:val="en-US" w:eastAsia="zh-CN"/>
              </w:rPr>
              <w:t>污水排放</w:t>
            </w:r>
            <w:r>
              <w:rPr>
                <w:rFonts w:hint="default" w:ascii="Times New Roman" w:hAnsi="Times New Roman" w:eastAsia="宋体" w:cs="Times New Roman"/>
                <w:color w:val="000000"/>
                <w:sz w:val="24"/>
                <w:szCs w:val="24"/>
                <w:highlight w:val="none"/>
                <w:lang w:val="en-US" w:eastAsia="zh-CN"/>
              </w:rPr>
              <w:t>至</w:t>
            </w:r>
            <w:r>
              <w:rPr>
                <w:rFonts w:hint="eastAsia" w:ascii="Times New Roman" w:hAnsi="Times New Roman" w:eastAsia="宋体" w:cs="Times New Roman"/>
                <w:color w:val="000000"/>
                <w:sz w:val="24"/>
                <w:szCs w:val="24"/>
                <w:highlight w:val="none"/>
                <w:lang w:val="en-US" w:eastAsia="zh-CN"/>
              </w:rPr>
              <w:t>高安市工业园污水处理厂</w:t>
            </w:r>
            <w:r>
              <w:rPr>
                <w:rFonts w:hint="default" w:ascii="Times New Roman" w:hAnsi="Times New Roman" w:eastAsia="宋体" w:cs="Times New Roman"/>
                <w:color w:val="000000"/>
                <w:sz w:val="24"/>
                <w:szCs w:val="24"/>
                <w:highlight w:val="none"/>
                <w:lang w:val="en-US" w:eastAsia="zh-CN"/>
              </w:rPr>
              <w:t>的浓度较低，废水不会对</w:t>
            </w:r>
            <w:r>
              <w:rPr>
                <w:rFonts w:hint="eastAsia" w:ascii="Times New Roman" w:hAnsi="Times New Roman" w:eastAsia="宋体" w:cs="Times New Roman"/>
                <w:color w:val="000000"/>
                <w:sz w:val="24"/>
                <w:szCs w:val="24"/>
                <w:highlight w:val="none"/>
                <w:lang w:val="en-US" w:eastAsia="zh-CN"/>
              </w:rPr>
              <w:t>高安市工业园污水处理厂</w:t>
            </w:r>
            <w:r>
              <w:rPr>
                <w:rFonts w:hint="default" w:ascii="Times New Roman" w:hAnsi="Times New Roman" w:eastAsia="宋体" w:cs="Times New Roman"/>
                <w:color w:val="000000"/>
                <w:sz w:val="24"/>
                <w:szCs w:val="24"/>
                <w:highlight w:val="none"/>
                <w:lang w:val="en-US" w:eastAsia="zh-CN"/>
              </w:rPr>
              <w:t>的处理工艺带来较大冲击，接管水质可行。</w:t>
            </w:r>
          </w:p>
          <w:p w14:paraId="050A06C6">
            <w:pPr>
              <w:numPr>
                <w:ilvl w:val="0"/>
                <w:numId w:val="8"/>
              </w:numPr>
              <w:spacing w:line="360" w:lineRule="auto"/>
              <w:ind w:firstLine="480" w:firstLineChars="200"/>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监测计划</w:t>
            </w:r>
          </w:p>
          <w:p w14:paraId="2AFEE0A5">
            <w:pPr>
              <w:pStyle w:val="7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4"/>
                <w:szCs w:val="24"/>
                <w:highlight w:val="none"/>
                <w:lang w:eastAsia="zh-CN"/>
              </w:rPr>
              <w:t>为</w:t>
            </w:r>
            <w:r>
              <w:rPr>
                <w:rFonts w:hint="default" w:ascii="Times New Roman" w:hAnsi="Times New Roman" w:eastAsia="宋体" w:cs="Times New Roman"/>
                <w:color w:val="auto"/>
                <w:sz w:val="24"/>
                <w:szCs w:val="24"/>
                <w:highlight w:val="none"/>
              </w:rPr>
              <w:t>掌握</w:t>
            </w:r>
            <w:r>
              <w:rPr>
                <w:rFonts w:hint="default" w:ascii="Times New Roman" w:hAnsi="Times New Roman" w:eastAsia="宋体" w:cs="Times New Roman"/>
                <w:color w:val="auto"/>
                <w:sz w:val="24"/>
                <w:szCs w:val="24"/>
                <w:highlight w:val="none"/>
                <w:lang w:eastAsia="zh-CN"/>
              </w:rPr>
              <w:t>废水</w:t>
            </w:r>
            <w:r>
              <w:rPr>
                <w:rFonts w:hint="default" w:ascii="Times New Roman" w:hAnsi="Times New Roman" w:eastAsia="宋体" w:cs="Times New Roman"/>
                <w:color w:val="auto"/>
                <w:sz w:val="24"/>
                <w:szCs w:val="24"/>
                <w:highlight w:val="none"/>
              </w:rPr>
              <w:t>各种污染物的排放情况</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如排放量或排放浓度是否符合相应的环境标准</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并为控制污染和保护环境提供科学依据</w:t>
            </w:r>
            <w:r>
              <w:rPr>
                <w:rFonts w:hint="default" w:ascii="Times New Roman" w:hAnsi="Times New Roman" w:eastAsia="宋体" w:cs="Times New Roman"/>
                <w:color w:val="auto"/>
                <w:sz w:val="24"/>
                <w:szCs w:val="24"/>
                <w:highlight w:val="none"/>
                <w:lang w:eastAsia="zh-CN"/>
              </w:rPr>
              <w:t>，环评要求项目运营期应制定废水监测计划，对厂区废水排放口进行定期监测。根据《排污单位自行监测技术指南 总则》（</w:t>
            </w:r>
            <w:r>
              <w:rPr>
                <w:rFonts w:hint="default" w:ascii="Times New Roman" w:hAnsi="Times New Roman" w:eastAsia="宋体" w:cs="Times New Roman"/>
                <w:color w:val="auto"/>
                <w:sz w:val="24"/>
                <w:szCs w:val="24"/>
                <w:highlight w:val="none"/>
                <w:lang w:val="en-US" w:eastAsia="zh-CN"/>
              </w:rPr>
              <w:t>HJ 819-2017</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w:t>
            </w:r>
            <w:r>
              <w:rPr>
                <w:rFonts w:hint="eastAsia"/>
              </w:rPr>
              <w:t>《排污单位自行监测技术指南 水泥工业》（HJ 848-2017）</w:t>
            </w:r>
            <w:r>
              <w:rPr>
                <w:rFonts w:hint="default" w:ascii="Times New Roman" w:hAnsi="Times New Roman" w:eastAsia="宋体" w:cs="Times New Roman"/>
                <w:color w:val="auto"/>
                <w:sz w:val="24"/>
                <w:szCs w:val="24"/>
                <w:highlight w:val="none"/>
                <w:lang w:val="en-US" w:eastAsia="zh-CN"/>
              </w:rPr>
              <w:t>对厂区废水排放口进行定期监测</w:t>
            </w:r>
            <w:r>
              <w:rPr>
                <w:rFonts w:hint="default" w:ascii="Times New Roman" w:hAnsi="Times New Roman" w:eastAsia="宋体" w:cs="Times New Roman"/>
                <w:color w:val="auto"/>
                <w:sz w:val="24"/>
                <w:szCs w:val="24"/>
                <w:highlight w:val="none"/>
                <w:lang w:eastAsia="zh-CN"/>
              </w:rPr>
              <w:t>，废水</w:t>
            </w:r>
            <w:r>
              <w:rPr>
                <w:rFonts w:hint="default" w:ascii="Times New Roman" w:hAnsi="Times New Roman" w:eastAsia="宋体" w:cs="Times New Roman"/>
                <w:b w:val="0"/>
                <w:bCs w:val="0"/>
                <w:color w:val="auto"/>
                <w:sz w:val="24"/>
                <w:szCs w:val="24"/>
                <w:highlight w:val="none"/>
              </w:rPr>
              <w:t>监测计划</w:t>
            </w:r>
            <w:r>
              <w:rPr>
                <w:rFonts w:hint="default" w:ascii="Times New Roman" w:hAnsi="Times New Roman" w:eastAsia="宋体" w:cs="Times New Roman"/>
                <w:b w:val="0"/>
                <w:bCs w:val="0"/>
                <w:color w:val="auto"/>
                <w:sz w:val="24"/>
                <w:szCs w:val="24"/>
                <w:highlight w:val="none"/>
                <w:lang w:eastAsia="zh-CN"/>
              </w:rPr>
              <w:t>见表</w:t>
            </w:r>
            <w:r>
              <w:rPr>
                <w:rFonts w:hint="default" w:ascii="Times New Roman" w:hAnsi="Times New Roman" w:eastAsia="宋体" w:cs="Times New Roman"/>
                <w:b w:val="0"/>
                <w:bCs w:val="0"/>
                <w:color w:val="auto"/>
                <w:sz w:val="24"/>
                <w:szCs w:val="24"/>
                <w:highlight w:val="none"/>
                <w:lang w:val="en-US" w:eastAsia="zh-CN"/>
              </w:rPr>
              <w:t>4</w:t>
            </w:r>
            <w:r>
              <w:rPr>
                <w:rFonts w:hint="eastAsia" w:ascii="Times New Roman" w:hAnsi="Times New Roman" w:eastAsia="宋体" w:cs="Times New Roman"/>
                <w:b w:val="0"/>
                <w:bCs w:val="0"/>
                <w:color w:val="auto"/>
                <w:sz w:val="24"/>
                <w:szCs w:val="24"/>
                <w:highlight w:val="none"/>
                <w:lang w:val="en-US" w:eastAsia="zh-CN"/>
              </w:rPr>
              <w:t>-</w:t>
            </w:r>
            <w:r>
              <w:rPr>
                <w:rFonts w:hint="eastAsia" w:ascii="Times New Roman" w:cs="Times New Roman"/>
                <w:b w:val="0"/>
                <w:bCs w:val="0"/>
                <w:color w:val="auto"/>
                <w:sz w:val="24"/>
                <w:szCs w:val="24"/>
                <w:highlight w:val="none"/>
                <w:lang w:val="en-US" w:eastAsia="zh-CN"/>
              </w:rPr>
              <w:t>11</w:t>
            </w:r>
            <w:r>
              <w:rPr>
                <w:rFonts w:hint="default" w:ascii="Times New Roman" w:hAnsi="Times New Roman" w:eastAsia="宋体" w:cs="Times New Roman"/>
                <w:b w:val="0"/>
                <w:bCs w:val="0"/>
                <w:color w:val="auto"/>
                <w:sz w:val="24"/>
                <w:szCs w:val="24"/>
                <w:highlight w:val="none"/>
                <w:lang w:eastAsia="zh-CN"/>
              </w:rPr>
              <w:t>。</w:t>
            </w:r>
          </w:p>
          <w:p w14:paraId="2BA89DBC">
            <w:pPr>
              <w:keepNext w:val="0"/>
              <w:keepLines w:val="0"/>
              <w:pageBreakBefore w:val="0"/>
              <w:kinsoku/>
              <w:wordWrap/>
              <w:overflowPunct/>
              <w:topLinePunct w:val="0"/>
              <w:autoSpaceDE/>
              <w:autoSpaceDN/>
              <w:bidi w:val="0"/>
              <w:spacing w:line="240" w:lineRule="auto"/>
              <w:ind w:left="0" w:leftChars="0" w:right="0" w:rightChars="0" w:firstLine="422" w:firstLineChars="20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表</w:t>
            </w:r>
            <w:r>
              <w:rPr>
                <w:rFonts w:hint="default" w:ascii="Times New Roman" w:hAnsi="Times New Roman" w:eastAsia="宋体" w:cs="Times New Roman"/>
                <w:b/>
                <w:bCs/>
                <w:color w:val="auto"/>
                <w:sz w:val="21"/>
                <w:szCs w:val="21"/>
                <w:highlight w:val="none"/>
                <w:lang w:val="en-US" w:eastAsia="zh-CN"/>
              </w:rPr>
              <w:t>4-</w:t>
            </w:r>
            <w:r>
              <w:rPr>
                <w:rFonts w:hint="eastAsia" w:cs="Times New Roman"/>
                <w:b/>
                <w:bCs/>
                <w:color w:val="auto"/>
                <w:sz w:val="21"/>
                <w:szCs w:val="21"/>
                <w:highlight w:val="none"/>
                <w:lang w:val="en-US" w:eastAsia="zh-CN"/>
              </w:rPr>
              <w:t>11</w:t>
            </w:r>
            <w:r>
              <w:rPr>
                <w:rFonts w:hint="default"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rPr>
              <w:t>项目</w:t>
            </w:r>
            <w:r>
              <w:rPr>
                <w:rFonts w:hint="default" w:ascii="Times New Roman" w:hAnsi="Times New Roman" w:eastAsia="宋体" w:cs="Times New Roman"/>
                <w:b/>
                <w:bCs/>
                <w:color w:val="auto"/>
                <w:sz w:val="21"/>
                <w:szCs w:val="21"/>
                <w:highlight w:val="none"/>
                <w:lang w:eastAsia="zh-CN"/>
              </w:rPr>
              <w:t>废水</w:t>
            </w:r>
            <w:r>
              <w:rPr>
                <w:rFonts w:hint="default" w:ascii="Times New Roman" w:hAnsi="Times New Roman" w:eastAsia="宋体" w:cs="Times New Roman"/>
                <w:b/>
                <w:bCs/>
                <w:color w:val="auto"/>
                <w:sz w:val="21"/>
                <w:szCs w:val="21"/>
                <w:highlight w:val="none"/>
              </w:rPr>
              <w:t>监测计划一览表</w:t>
            </w:r>
          </w:p>
          <w:tbl>
            <w:tblPr>
              <w:tblStyle w:val="41"/>
              <w:tblW w:w="494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07"/>
              <w:gridCol w:w="3987"/>
              <w:gridCol w:w="2995"/>
            </w:tblGrid>
            <w:tr w14:paraId="09FC79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1689" w:type="dxa"/>
                  <w:tcBorders>
                    <w:tl2br w:val="nil"/>
                    <w:tr2bl w:val="nil"/>
                  </w:tcBorders>
                  <w:noWrap w:val="0"/>
                  <w:vAlign w:val="center"/>
                </w:tcPr>
                <w:p w14:paraId="48DB796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监测位点</w:t>
                  </w:r>
                </w:p>
              </w:tc>
              <w:tc>
                <w:tcPr>
                  <w:tcW w:w="3943" w:type="dxa"/>
                  <w:tcBorders>
                    <w:tl2br w:val="nil"/>
                    <w:tr2bl w:val="nil"/>
                  </w:tcBorders>
                  <w:noWrap w:val="0"/>
                  <w:vAlign w:val="center"/>
                </w:tcPr>
                <w:p w14:paraId="640D444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rPr>
                    <w:t>监测</w:t>
                  </w:r>
                  <w:r>
                    <w:rPr>
                      <w:rFonts w:hint="default" w:ascii="Times New Roman" w:hAnsi="Times New Roman" w:eastAsia="宋体" w:cs="Times New Roman"/>
                      <w:b/>
                      <w:bCs/>
                      <w:color w:val="auto"/>
                      <w:sz w:val="21"/>
                      <w:szCs w:val="21"/>
                      <w:highlight w:val="none"/>
                      <w:lang w:val="en-US" w:eastAsia="zh-CN"/>
                    </w:rPr>
                    <w:t>指标</w:t>
                  </w:r>
                </w:p>
              </w:tc>
              <w:tc>
                <w:tcPr>
                  <w:tcW w:w="2962" w:type="dxa"/>
                  <w:tcBorders>
                    <w:tl2br w:val="nil"/>
                    <w:tr2bl w:val="nil"/>
                  </w:tcBorders>
                  <w:noWrap w:val="0"/>
                  <w:vAlign w:val="center"/>
                </w:tcPr>
                <w:p w14:paraId="15EFF32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最低监测频次</w:t>
                  </w:r>
                  <w:r>
                    <w:rPr>
                      <w:rFonts w:hint="default" w:ascii="Times New Roman" w:hAnsi="Times New Roman" w:eastAsia="宋体" w:cs="Times New Roman"/>
                      <w:b/>
                      <w:bCs/>
                      <w:color w:val="auto"/>
                      <w:sz w:val="21"/>
                      <w:szCs w:val="21"/>
                      <w:highlight w:val="none"/>
                      <w:lang w:eastAsia="zh-CN"/>
                    </w:rPr>
                    <w:t>（间接排放）</w:t>
                  </w:r>
                </w:p>
              </w:tc>
            </w:tr>
            <w:tr w14:paraId="3E7330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89" w:type="dxa"/>
                  <w:tcBorders>
                    <w:tl2br w:val="nil"/>
                    <w:tr2bl w:val="nil"/>
                  </w:tcBorders>
                  <w:noWrap w:val="0"/>
                  <w:vAlign w:val="center"/>
                </w:tcPr>
                <w:p w14:paraId="55F54D50">
                  <w:pPr>
                    <w:adjustRightInd w:val="0"/>
                    <w:snapToGrid w:val="0"/>
                    <w:spacing w:line="240" w:lineRule="auto"/>
                    <w:ind w:left="0" w:leftChars="0" w:firstLine="0" w:firstLineChars="0"/>
                    <w:jc w:val="both"/>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污水</w:t>
                  </w:r>
                  <w:r>
                    <w:rPr>
                      <w:rFonts w:hint="eastAsia" w:cs="Times New Roman"/>
                      <w:color w:val="auto"/>
                      <w:sz w:val="21"/>
                      <w:szCs w:val="21"/>
                      <w:highlight w:val="none"/>
                      <w:lang w:val="en-US" w:eastAsia="zh-CN"/>
                    </w:rPr>
                    <w:t>总</w:t>
                  </w:r>
                  <w:r>
                    <w:rPr>
                      <w:rFonts w:hint="default" w:ascii="Times New Roman" w:hAnsi="Times New Roman" w:eastAsia="宋体" w:cs="Times New Roman"/>
                      <w:color w:val="auto"/>
                      <w:sz w:val="21"/>
                      <w:szCs w:val="21"/>
                      <w:highlight w:val="none"/>
                      <w:lang w:val="en-US" w:eastAsia="zh-CN"/>
                    </w:rPr>
                    <w:t>排口</w:t>
                  </w:r>
                </w:p>
              </w:tc>
              <w:tc>
                <w:tcPr>
                  <w:tcW w:w="3943" w:type="dxa"/>
                  <w:tcBorders>
                    <w:tl2br w:val="nil"/>
                    <w:tr2bl w:val="nil"/>
                  </w:tcBorders>
                  <w:noWrap w:val="0"/>
                  <w:vAlign w:val="center"/>
                </w:tcPr>
                <w:p w14:paraId="52928155">
                  <w:pPr>
                    <w:adjustRightInd w:val="0"/>
                    <w:snapToGrid w:val="0"/>
                    <w:spacing w:line="240" w:lineRule="auto"/>
                    <w:ind w:left="0" w:leftChars="0" w:firstLine="0" w:firstLineChars="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p</w:t>
                  </w:r>
                  <w:r>
                    <w:rPr>
                      <w:rFonts w:hint="default" w:ascii="Times New Roman" w:hAnsi="Times New Roman" w:eastAsia="宋体" w:cs="Times New Roman"/>
                      <w:color w:val="auto"/>
                      <w:sz w:val="21"/>
                      <w:szCs w:val="21"/>
                      <w:highlight w:val="none"/>
                    </w:rPr>
                    <w:t>H、COD、BOD</w:t>
                  </w:r>
                  <w:r>
                    <w:rPr>
                      <w:rFonts w:hint="default" w:ascii="Times New Roman" w:hAnsi="Times New Roman" w:eastAsia="宋体" w:cs="Times New Roman"/>
                      <w:color w:val="auto"/>
                      <w:sz w:val="21"/>
                      <w:szCs w:val="21"/>
                      <w:highlight w:val="none"/>
                      <w:vertAlign w:val="subscript"/>
                    </w:rPr>
                    <w:t>5</w:t>
                  </w:r>
                  <w:r>
                    <w:rPr>
                      <w:rFonts w:hint="default" w:ascii="Times New Roman" w:hAnsi="Times New Roman" w:eastAsia="宋体" w:cs="Times New Roman"/>
                      <w:color w:val="auto"/>
                      <w:sz w:val="21"/>
                      <w:szCs w:val="21"/>
                      <w:highlight w:val="none"/>
                    </w:rPr>
                    <w:t>、SS、NH</w:t>
                  </w:r>
                  <w:r>
                    <w:rPr>
                      <w:rFonts w:hint="default" w:ascii="Times New Roman" w:hAnsi="Times New Roman" w:eastAsia="宋体" w:cs="Times New Roman"/>
                      <w:color w:val="auto"/>
                      <w:sz w:val="21"/>
                      <w:szCs w:val="21"/>
                      <w:highlight w:val="none"/>
                      <w:vertAlign w:val="subscript"/>
                    </w:rPr>
                    <w:t>3</w:t>
                  </w:r>
                  <w:r>
                    <w:rPr>
                      <w:rFonts w:hint="default" w:ascii="Times New Roman" w:hAnsi="Times New Roman" w:eastAsia="宋体" w:cs="Times New Roman"/>
                      <w:color w:val="auto"/>
                      <w:sz w:val="21"/>
                      <w:szCs w:val="21"/>
                      <w:highlight w:val="none"/>
                    </w:rPr>
                    <w:t>-N、动植物油、</w:t>
                  </w:r>
                  <w:r>
                    <w:rPr>
                      <w:rFonts w:hint="default" w:ascii="Times New Roman" w:hAnsi="Times New Roman" w:eastAsia="宋体" w:cs="Times New Roman"/>
                      <w:color w:val="auto"/>
                      <w:sz w:val="21"/>
                      <w:szCs w:val="21"/>
                      <w:highlight w:val="none"/>
                      <w:lang w:val="en-US" w:eastAsia="zh-CN"/>
                    </w:rPr>
                    <w:t>TP</w:t>
                  </w:r>
                </w:p>
              </w:tc>
              <w:tc>
                <w:tcPr>
                  <w:tcW w:w="2962" w:type="dxa"/>
                  <w:tcBorders>
                    <w:tl2br w:val="nil"/>
                    <w:tr2bl w:val="nil"/>
                  </w:tcBorders>
                  <w:noWrap w:val="0"/>
                  <w:vAlign w:val="center"/>
                </w:tcPr>
                <w:p w14:paraId="2895227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半年/次</w:t>
                  </w:r>
                </w:p>
              </w:tc>
            </w:tr>
          </w:tbl>
          <w:p w14:paraId="007DB510">
            <w:pPr>
              <w:pStyle w:val="19"/>
              <w:ind w:left="0" w:leftChars="0" w:firstLine="0" w:firstLineChars="0"/>
            </w:pPr>
          </w:p>
        </w:tc>
      </w:tr>
    </w:tbl>
    <w:p w14:paraId="7DF65E26">
      <w:pPr>
        <w:pStyle w:val="19"/>
        <w:ind w:left="0" w:leftChars="0" w:firstLine="0" w:firstLineChars="0"/>
        <w:sectPr>
          <w:pgSz w:w="11907" w:h="16840"/>
          <w:pgMar w:top="1440" w:right="1440" w:bottom="1440" w:left="1440" w:header="851" w:footer="851" w:gutter="0"/>
          <w:pgBorders>
            <w:top w:val="none" w:sz="0" w:space="0"/>
            <w:left w:val="none" w:sz="0" w:space="0"/>
            <w:bottom w:val="none" w:sz="0" w:space="0"/>
            <w:right w:val="none" w:sz="0" w:space="0"/>
          </w:pgBorders>
          <w:cols w:space="720" w:num="1"/>
          <w:docGrid w:linePitch="312" w:charSpace="0"/>
        </w:sectPr>
      </w:pPr>
    </w:p>
    <w:tbl>
      <w:tblPr>
        <w:tblStyle w:val="41"/>
        <w:tblW w:w="515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3840"/>
      </w:tblGrid>
      <w:tr w14:paraId="7C8C40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02" w:hRule="atLeast"/>
          <w:jc w:val="center"/>
        </w:trPr>
        <w:tc>
          <w:tcPr>
            <w:tcW w:w="242" w:type="pct"/>
            <w:tcMar>
              <w:left w:w="28" w:type="dxa"/>
              <w:right w:w="28" w:type="dxa"/>
            </w:tcMar>
            <w:vAlign w:val="center"/>
          </w:tcPr>
          <w:p w14:paraId="3FDFC562">
            <w:pPr>
              <w:pStyle w:val="64"/>
            </w:pPr>
          </w:p>
        </w:tc>
        <w:tc>
          <w:tcPr>
            <w:tcW w:w="4757" w:type="pct"/>
            <w:vAlign w:val="center"/>
          </w:tcPr>
          <w:p w14:paraId="1C338BC1">
            <w:pPr>
              <w:ind w:firstLine="480"/>
            </w:pPr>
          </w:p>
          <w:p w14:paraId="57D3836A">
            <w:pPr>
              <w:pageBreakBefore w:val="0"/>
              <w:kinsoku/>
              <w:wordWrap/>
              <w:overflowPunct/>
              <w:topLinePunct w:val="0"/>
              <w:bidi w:val="0"/>
              <w:spacing w:line="360" w:lineRule="auto"/>
              <w:ind w:left="0" w:leftChars="0" w:right="0" w:rightChars="0"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三、声环境影响分析</w:t>
            </w:r>
          </w:p>
          <w:p w14:paraId="36EFCECA">
            <w:pPr>
              <w:adjustRightInd w:val="0"/>
              <w:snapToGrid w:val="0"/>
              <w:spacing w:line="360" w:lineRule="auto"/>
              <w:ind w:firstLine="482" w:firstLineChars="200"/>
              <w:rPr>
                <w:rFonts w:hint="default" w:ascii="Times New Roman" w:hAnsi="Times New Roman" w:eastAsia="宋体" w:cs="Times New Roman"/>
                <w:b/>
                <w:bCs/>
                <w:color w:val="auto"/>
                <w:sz w:val="24"/>
                <w:szCs w:val="24"/>
                <w:highlight w:val="none"/>
                <w:lang w:val="en-US" w:eastAsia="zh-CN"/>
              </w:rPr>
            </w:pPr>
            <w:r>
              <w:rPr>
                <w:rFonts w:hint="eastAsia" w:cs="Times New Roman"/>
                <w:b/>
                <w:bCs/>
                <w:color w:val="auto"/>
                <w:sz w:val="24"/>
                <w:szCs w:val="24"/>
                <w:highlight w:val="none"/>
                <w:lang w:val="en-US" w:eastAsia="zh-CN"/>
              </w:rPr>
              <w:t>1.</w:t>
            </w:r>
            <w:r>
              <w:rPr>
                <w:rFonts w:hint="default" w:ascii="Times New Roman" w:hAnsi="Times New Roman" w:eastAsia="宋体" w:cs="Times New Roman"/>
                <w:b/>
                <w:bCs/>
                <w:color w:val="auto"/>
                <w:sz w:val="24"/>
                <w:szCs w:val="24"/>
                <w:highlight w:val="none"/>
                <w:lang w:val="en-US" w:eastAsia="zh-CN"/>
              </w:rPr>
              <w:t>噪声源强分析</w:t>
            </w:r>
          </w:p>
          <w:p w14:paraId="6143C7AC">
            <w:pPr>
              <w:pageBreakBefore w:val="0"/>
              <w:widowControl w:val="0"/>
              <w:kinsoku/>
              <w:wordWrap/>
              <w:overflowPunct/>
              <w:topLinePunct w:val="0"/>
              <w:autoSpaceDE/>
              <w:autoSpaceDN/>
              <w:bidi w:val="0"/>
              <w:spacing w:line="360" w:lineRule="auto"/>
              <w:ind w:firstLine="480" w:firstLineChars="200"/>
              <w:jc w:val="left"/>
              <w:rPr>
                <w:rFonts w:hint="default" w:ascii="Times New Roman" w:hAnsi="Times New Roman" w:eastAsia="宋体" w:cs="Times New Roman"/>
                <w:color w:val="auto"/>
                <w:sz w:val="24"/>
                <w:szCs w:val="32"/>
                <w:highlight w:val="none"/>
                <w:lang w:val="en-US" w:eastAsia="zh-CN"/>
              </w:rPr>
            </w:pPr>
            <w:r>
              <w:rPr>
                <w:rFonts w:hint="default" w:ascii="Times New Roman" w:hAnsi="Times New Roman" w:eastAsia="宋体" w:cs="Times New Roman"/>
                <w:color w:val="auto"/>
                <w:sz w:val="24"/>
                <w:szCs w:val="32"/>
                <w:highlight w:val="none"/>
                <w:lang w:eastAsia="zh-CN"/>
              </w:rPr>
              <w:t>本项目噪声主要来自</w:t>
            </w:r>
            <w:r>
              <w:rPr>
                <w:rFonts w:hint="eastAsia" w:ascii="Times New Roman" w:hAnsi="Times New Roman" w:eastAsia="宋体" w:cs="Times New Roman"/>
                <w:color w:val="auto"/>
                <w:sz w:val="24"/>
                <w:szCs w:val="32"/>
                <w:highlight w:val="none"/>
                <w:lang w:val="en-US" w:eastAsia="zh-CN"/>
              </w:rPr>
              <w:t>搅拌机、行车、预制件震动台、小型振动棒、自动化流水线、二氧化碳保焊机等</w:t>
            </w:r>
            <w:r>
              <w:rPr>
                <w:rFonts w:hint="default" w:ascii="Times New Roman" w:hAnsi="Times New Roman" w:eastAsia="宋体" w:cs="Times New Roman"/>
                <w:color w:val="auto"/>
                <w:sz w:val="24"/>
                <w:szCs w:val="32"/>
                <w:highlight w:val="none"/>
                <w:lang w:val="en-US" w:eastAsia="zh-CN"/>
              </w:rPr>
              <w:t>运行产生的噪声，其声级值为</w:t>
            </w:r>
            <w:r>
              <w:rPr>
                <w:rFonts w:hint="eastAsia" w:cs="Times New Roman"/>
                <w:color w:val="auto"/>
                <w:sz w:val="24"/>
                <w:szCs w:val="32"/>
                <w:highlight w:val="none"/>
                <w:lang w:val="en-US" w:eastAsia="zh-CN"/>
              </w:rPr>
              <w:t>70~85</w:t>
            </w:r>
            <w:r>
              <w:rPr>
                <w:rFonts w:hint="default" w:ascii="Times New Roman" w:hAnsi="Times New Roman" w:eastAsia="宋体" w:cs="Times New Roman"/>
                <w:color w:val="auto"/>
                <w:sz w:val="24"/>
                <w:szCs w:val="32"/>
                <w:highlight w:val="none"/>
                <w:lang w:val="en-US" w:eastAsia="zh-CN"/>
              </w:rPr>
              <w:t>dB（A），噪声源强具体见下表。</w:t>
            </w:r>
          </w:p>
          <w:p w14:paraId="1325EE36">
            <w:pPr>
              <w:pStyle w:val="56"/>
              <w:numPr>
                <w:ilvl w:val="0"/>
                <w:numId w:val="0"/>
              </w:numPr>
              <w:tabs>
                <w:tab w:val="left" w:pos="0"/>
              </w:tabs>
              <w:bidi w:val="0"/>
              <w:ind w:leftChars="0"/>
              <w:jc w:val="center"/>
              <w:rPr>
                <w:b/>
                <w:bCs w:val="0"/>
              </w:rPr>
            </w:pPr>
            <w:r>
              <w:rPr>
                <w:rFonts w:hint="eastAsia"/>
                <w:b/>
                <w:bCs w:val="0"/>
                <w:lang w:val="en-US" w:eastAsia="zh-CN"/>
              </w:rPr>
              <w:t xml:space="preserve">表4-12 </w:t>
            </w:r>
            <w:r>
              <w:rPr>
                <w:b/>
                <w:bCs w:val="0"/>
              </w:rPr>
              <w:t>工业企业噪声源强调查清单（室内声源）</w:t>
            </w:r>
          </w:p>
          <w:tbl>
            <w:tblPr>
              <w:tblStyle w:val="41"/>
              <w:tblW w:w="499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28" w:type="dxa"/>
                <w:bottom w:w="0" w:type="dxa"/>
                <w:right w:w="28" w:type="dxa"/>
              </w:tblCellMar>
            </w:tblPr>
            <w:tblGrid>
              <w:gridCol w:w="578"/>
              <w:gridCol w:w="494"/>
              <w:gridCol w:w="333"/>
              <w:gridCol w:w="1352"/>
              <w:gridCol w:w="1962"/>
              <w:gridCol w:w="1495"/>
              <w:gridCol w:w="1166"/>
              <w:gridCol w:w="495"/>
              <w:gridCol w:w="582"/>
              <w:gridCol w:w="541"/>
              <w:gridCol w:w="582"/>
              <w:gridCol w:w="593"/>
              <w:gridCol w:w="1022"/>
              <w:gridCol w:w="772"/>
              <w:gridCol w:w="593"/>
              <w:gridCol w:w="1027"/>
            </w:tblGrid>
            <w:tr w14:paraId="16F378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213" w:type="pct"/>
                  <w:vMerge w:val="restart"/>
                  <w:tcBorders>
                    <w:tl2br w:val="nil"/>
                    <w:tr2bl w:val="nil"/>
                  </w:tcBorders>
                  <w:vAlign w:val="center"/>
                </w:tcPr>
                <w:p w14:paraId="3DB70433">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rFonts w:hint="eastAsia"/>
                      <w:color w:val="auto"/>
                    </w:rPr>
                    <w:t>序号</w:t>
                  </w:r>
                </w:p>
              </w:tc>
              <w:tc>
                <w:tcPr>
                  <w:tcW w:w="182" w:type="pct"/>
                  <w:vMerge w:val="restart"/>
                  <w:tcBorders>
                    <w:tl2br w:val="nil"/>
                    <w:tr2bl w:val="nil"/>
                  </w:tcBorders>
                  <w:vAlign w:val="center"/>
                </w:tcPr>
                <w:p w14:paraId="58DB2ABF">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rFonts w:hint="eastAsia"/>
                      <w:color w:val="auto"/>
                    </w:rPr>
                    <w:t>建筑物名称</w:t>
                  </w:r>
                </w:p>
              </w:tc>
              <w:tc>
                <w:tcPr>
                  <w:tcW w:w="123" w:type="pct"/>
                  <w:vMerge w:val="restart"/>
                  <w:tcBorders>
                    <w:tl2br w:val="nil"/>
                    <w:tr2bl w:val="nil"/>
                  </w:tcBorders>
                  <w:vAlign w:val="center"/>
                </w:tcPr>
                <w:p w14:paraId="5291ED2F">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rFonts w:hint="eastAsia"/>
                      <w:color w:val="auto"/>
                    </w:rPr>
                    <w:t>数量</w:t>
                  </w:r>
                </w:p>
              </w:tc>
              <w:tc>
                <w:tcPr>
                  <w:tcW w:w="498" w:type="pct"/>
                  <w:vMerge w:val="restart"/>
                  <w:tcBorders>
                    <w:tl2br w:val="nil"/>
                    <w:tr2bl w:val="nil"/>
                  </w:tcBorders>
                  <w:vAlign w:val="center"/>
                </w:tcPr>
                <w:p w14:paraId="6F446F69">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rFonts w:hint="eastAsia"/>
                      <w:color w:val="auto"/>
                    </w:rPr>
                    <w:t>声源名称</w:t>
                  </w:r>
                </w:p>
              </w:tc>
              <w:tc>
                <w:tcPr>
                  <w:tcW w:w="722" w:type="pct"/>
                  <w:vMerge w:val="restart"/>
                  <w:tcBorders>
                    <w:tl2br w:val="nil"/>
                    <w:tr2bl w:val="nil"/>
                  </w:tcBorders>
                  <w:vAlign w:val="center"/>
                </w:tcPr>
                <w:p w14:paraId="59225054">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rFonts w:hint="eastAsia"/>
                      <w:color w:val="auto"/>
                    </w:rPr>
                    <w:t>型号</w:t>
                  </w:r>
                </w:p>
              </w:tc>
              <w:tc>
                <w:tcPr>
                  <w:tcW w:w="550" w:type="pct"/>
                  <w:vMerge w:val="restart"/>
                  <w:tcBorders>
                    <w:tl2br w:val="nil"/>
                    <w:tr2bl w:val="nil"/>
                  </w:tcBorders>
                  <w:vAlign w:val="center"/>
                </w:tcPr>
                <w:p w14:paraId="3AB12798">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声源源强（声压级/距声源距离）dB(A)/m</w:t>
                  </w:r>
                </w:p>
              </w:tc>
              <w:tc>
                <w:tcPr>
                  <w:tcW w:w="429" w:type="pct"/>
                  <w:vMerge w:val="restart"/>
                  <w:tcBorders>
                    <w:tl2br w:val="nil"/>
                    <w:tr2bl w:val="nil"/>
                  </w:tcBorders>
                  <w:vAlign w:val="center"/>
                </w:tcPr>
                <w:p w14:paraId="4A296711">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rFonts w:hint="eastAsia"/>
                      <w:color w:val="auto"/>
                    </w:rPr>
                    <w:t>声源控</w:t>
                  </w:r>
                </w:p>
                <w:p w14:paraId="4D0324EA">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rFonts w:hint="eastAsia"/>
                      <w:color w:val="auto"/>
                    </w:rPr>
                    <w:t>制措施</w:t>
                  </w:r>
                </w:p>
              </w:tc>
              <w:tc>
                <w:tcPr>
                  <w:tcW w:w="595" w:type="pct"/>
                  <w:gridSpan w:val="3"/>
                  <w:tcBorders>
                    <w:tl2br w:val="nil"/>
                    <w:tr2bl w:val="nil"/>
                  </w:tcBorders>
                  <w:vAlign w:val="center"/>
                </w:tcPr>
                <w:p w14:paraId="143FECD0">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空间相对位置/m</w:t>
                  </w:r>
                </w:p>
              </w:tc>
              <w:tc>
                <w:tcPr>
                  <w:tcW w:w="214" w:type="pct"/>
                  <w:vMerge w:val="restart"/>
                  <w:tcBorders>
                    <w:tl2br w:val="nil"/>
                    <w:tr2bl w:val="nil"/>
                  </w:tcBorders>
                  <w:vAlign w:val="center"/>
                </w:tcPr>
                <w:p w14:paraId="3F80C538">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距室内边界距离/m</w:t>
                  </w:r>
                </w:p>
              </w:tc>
              <w:tc>
                <w:tcPr>
                  <w:tcW w:w="218" w:type="pct"/>
                  <w:vMerge w:val="restart"/>
                  <w:tcBorders>
                    <w:tl2br w:val="nil"/>
                    <w:tr2bl w:val="nil"/>
                  </w:tcBorders>
                  <w:vAlign w:val="center"/>
                </w:tcPr>
                <w:p w14:paraId="1BF1C62D">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室内边界声级dB(A)</w:t>
                  </w:r>
                </w:p>
              </w:tc>
              <w:tc>
                <w:tcPr>
                  <w:tcW w:w="376" w:type="pct"/>
                  <w:vMerge w:val="restart"/>
                  <w:tcBorders>
                    <w:tl2br w:val="nil"/>
                    <w:tr2bl w:val="nil"/>
                  </w:tcBorders>
                  <w:vAlign w:val="center"/>
                </w:tcPr>
                <w:p w14:paraId="0AFEB8C1">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rFonts w:hint="eastAsia"/>
                      <w:color w:val="auto"/>
                    </w:rPr>
                    <w:t>运行时段</w:t>
                  </w:r>
                </w:p>
              </w:tc>
              <w:tc>
                <w:tcPr>
                  <w:tcW w:w="284" w:type="pct"/>
                  <w:vMerge w:val="restart"/>
                  <w:tcBorders>
                    <w:tl2br w:val="nil"/>
                    <w:tr2bl w:val="nil"/>
                  </w:tcBorders>
                  <w:vAlign w:val="center"/>
                </w:tcPr>
                <w:p w14:paraId="2B2A7361">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建筑物插入损失/dB(A)</w:t>
                  </w:r>
                </w:p>
              </w:tc>
              <w:tc>
                <w:tcPr>
                  <w:tcW w:w="592" w:type="pct"/>
                  <w:gridSpan w:val="2"/>
                  <w:tcBorders>
                    <w:tl2br w:val="nil"/>
                    <w:tr2bl w:val="nil"/>
                  </w:tcBorders>
                  <w:vAlign w:val="center"/>
                </w:tcPr>
                <w:p w14:paraId="47E10F93">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rFonts w:hint="eastAsia"/>
                      <w:color w:val="auto"/>
                    </w:rPr>
                    <w:t>建筑物外噪声</w:t>
                  </w:r>
                </w:p>
              </w:tc>
            </w:tr>
            <w:tr w14:paraId="632D57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213" w:type="pct"/>
                  <w:vMerge w:val="continue"/>
                  <w:tcBorders>
                    <w:tl2br w:val="nil"/>
                    <w:tr2bl w:val="nil"/>
                  </w:tcBorders>
                  <w:vAlign w:val="center"/>
                </w:tcPr>
                <w:p w14:paraId="050FD42F">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182" w:type="pct"/>
                  <w:vMerge w:val="continue"/>
                  <w:tcBorders>
                    <w:tl2br w:val="nil"/>
                    <w:tr2bl w:val="nil"/>
                  </w:tcBorders>
                  <w:vAlign w:val="center"/>
                </w:tcPr>
                <w:p w14:paraId="49AF9488">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123" w:type="pct"/>
                  <w:vMerge w:val="continue"/>
                  <w:tcBorders>
                    <w:tl2br w:val="nil"/>
                    <w:tr2bl w:val="nil"/>
                  </w:tcBorders>
                  <w:vAlign w:val="center"/>
                </w:tcPr>
                <w:p w14:paraId="7BAA9794">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498" w:type="pct"/>
                  <w:vMerge w:val="continue"/>
                  <w:tcBorders>
                    <w:tl2br w:val="nil"/>
                    <w:tr2bl w:val="nil"/>
                  </w:tcBorders>
                  <w:vAlign w:val="center"/>
                </w:tcPr>
                <w:p w14:paraId="131D8985">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722" w:type="pct"/>
                  <w:vMerge w:val="continue"/>
                  <w:tcBorders>
                    <w:tl2br w:val="nil"/>
                    <w:tr2bl w:val="nil"/>
                  </w:tcBorders>
                  <w:vAlign w:val="center"/>
                </w:tcPr>
                <w:p w14:paraId="08BDEA11">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550" w:type="pct"/>
                  <w:vMerge w:val="continue"/>
                  <w:tcBorders>
                    <w:tl2br w:val="nil"/>
                    <w:tr2bl w:val="nil"/>
                  </w:tcBorders>
                  <w:vAlign w:val="center"/>
                </w:tcPr>
                <w:p w14:paraId="0931E228">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429" w:type="pct"/>
                  <w:vMerge w:val="continue"/>
                  <w:tcBorders>
                    <w:tl2br w:val="nil"/>
                    <w:tr2bl w:val="nil"/>
                  </w:tcBorders>
                  <w:vAlign w:val="center"/>
                </w:tcPr>
                <w:p w14:paraId="3FE0D447">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182" w:type="pct"/>
                  <w:tcBorders>
                    <w:tl2br w:val="nil"/>
                    <w:tr2bl w:val="nil"/>
                  </w:tcBorders>
                  <w:vAlign w:val="center"/>
                </w:tcPr>
                <w:p w14:paraId="2822B729">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X</w:t>
                  </w:r>
                </w:p>
              </w:tc>
              <w:tc>
                <w:tcPr>
                  <w:tcW w:w="214" w:type="pct"/>
                  <w:tcBorders>
                    <w:tl2br w:val="nil"/>
                    <w:tr2bl w:val="nil"/>
                  </w:tcBorders>
                  <w:vAlign w:val="center"/>
                </w:tcPr>
                <w:p w14:paraId="029ECDD6">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Y</w:t>
                  </w:r>
                </w:p>
              </w:tc>
              <w:tc>
                <w:tcPr>
                  <w:tcW w:w="199" w:type="pct"/>
                  <w:tcBorders>
                    <w:tl2br w:val="nil"/>
                    <w:tr2bl w:val="nil"/>
                  </w:tcBorders>
                  <w:vAlign w:val="center"/>
                </w:tcPr>
                <w:p w14:paraId="3BBDB8E5">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Z</w:t>
                  </w:r>
                </w:p>
              </w:tc>
              <w:tc>
                <w:tcPr>
                  <w:tcW w:w="214" w:type="pct"/>
                  <w:vMerge w:val="continue"/>
                  <w:tcBorders>
                    <w:tl2br w:val="nil"/>
                    <w:tr2bl w:val="nil"/>
                  </w:tcBorders>
                  <w:vAlign w:val="center"/>
                </w:tcPr>
                <w:p w14:paraId="486433C7">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218" w:type="pct"/>
                  <w:vMerge w:val="continue"/>
                  <w:tcBorders>
                    <w:tl2br w:val="nil"/>
                    <w:tr2bl w:val="nil"/>
                  </w:tcBorders>
                  <w:vAlign w:val="center"/>
                </w:tcPr>
                <w:p w14:paraId="6949FFF3">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376" w:type="pct"/>
                  <w:vMerge w:val="continue"/>
                  <w:tcBorders>
                    <w:tl2br w:val="nil"/>
                    <w:tr2bl w:val="nil"/>
                  </w:tcBorders>
                  <w:vAlign w:val="center"/>
                </w:tcPr>
                <w:p w14:paraId="74DFBE51">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284" w:type="pct"/>
                  <w:vMerge w:val="continue"/>
                  <w:tcBorders>
                    <w:tl2br w:val="nil"/>
                    <w:tr2bl w:val="nil"/>
                  </w:tcBorders>
                  <w:vAlign w:val="center"/>
                </w:tcPr>
                <w:p w14:paraId="3FE77A8F">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218" w:type="pct"/>
                  <w:tcBorders>
                    <w:tl2br w:val="nil"/>
                    <w:tr2bl w:val="nil"/>
                  </w:tcBorders>
                  <w:vAlign w:val="center"/>
                </w:tcPr>
                <w:p w14:paraId="40852FDD">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声压级dB(A)</w:t>
                  </w:r>
                </w:p>
              </w:tc>
              <w:tc>
                <w:tcPr>
                  <w:tcW w:w="373" w:type="pct"/>
                  <w:tcBorders>
                    <w:tl2br w:val="nil"/>
                    <w:tr2bl w:val="nil"/>
                  </w:tcBorders>
                  <w:vAlign w:val="center"/>
                </w:tcPr>
                <w:p w14:paraId="5F44C15A">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建筑物外距离m</w:t>
                  </w:r>
                </w:p>
              </w:tc>
            </w:tr>
            <w:tr w14:paraId="715C40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213" w:type="pct"/>
                  <w:tcBorders>
                    <w:tl2br w:val="nil"/>
                    <w:tr2bl w:val="nil"/>
                  </w:tcBorders>
                  <w:vAlign w:val="center"/>
                </w:tcPr>
                <w:p w14:paraId="1548B8D1">
                  <w:pPr>
                    <w:pStyle w:val="66"/>
                    <w:keepNext w:val="0"/>
                    <w:keepLines w:val="0"/>
                    <w:pageBreakBefore w:val="0"/>
                    <w:numPr>
                      <w:ilvl w:val="0"/>
                      <w:numId w:val="9"/>
                    </w:numPr>
                    <w:kinsoku/>
                    <w:wordWrap/>
                    <w:overflowPunct/>
                    <w:topLinePunct w:val="0"/>
                    <w:autoSpaceDE/>
                    <w:autoSpaceDN/>
                    <w:bidi w:val="0"/>
                    <w:adjustRightInd w:val="0"/>
                    <w:snapToGrid w:val="0"/>
                    <w:spacing w:line="240" w:lineRule="auto"/>
                    <w:ind w:left="240" w:leftChars="0" w:firstLine="0" w:firstLineChars="0"/>
                    <w:jc w:val="both"/>
                    <w:rPr>
                      <w:color w:val="auto"/>
                    </w:rPr>
                  </w:pPr>
                </w:p>
              </w:tc>
              <w:tc>
                <w:tcPr>
                  <w:tcW w:w="182" w:type="pct"/>
                  <w:vMerge w:val="restart"/>
                  <w:tcBorders>
                    <w:tl2br w:val="nil"/>
                    <w:tr2bl w:val="nil"/>
                  </w:tcBorders>
                  <w:vAlign w:val="center"/>
                </w:tcPr>
                <w:p w14:paraId="7B6A564D">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2#车间</w:t>
                  </w:r>
                </w:p>
              </w:tc>
              <w:tc>
                <w:tcPr>
                  <w:tcW w:w="123" w:type="pct"/>
                  <w:tcBorders>
                    <w:tl2br w:val="nil"/>
                    <w:tr2bl w:val="nil"/>
                  </w:tcBorders>
                  <w:vAlign w:val="center"/>
                </w:tcPr>
                <w:p w14:paraId="218D8DB5">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eastAsia" w:eastAsia="宋体"/>
                      <w:color w:val="auto"/>
                      <w:lang w:eastAsia="zh-CN"/>
                    </w:rPr>
                  </w:pPr>
                  <w:r>
                    <w:rPr>
                      <w:rFonts w:hint="eastAsia"/>
                      <w:color w:val="auto"/>
                      <w:lang w:val="en-US" w:eastAsia="zh-CN"/>
                    </w:rPr>
                    <w:t>1</w:t>
                  </w:r>
                </w:p>
              </w:tc>
              <w:tc>
                <w:tcPr>
                  <w:tcW w:w="498" w:type="pct"/>
                  <w:tcBorders>
                    <w:tl2br w:val="nil"/>
                    <w:tr2bl w:val="nil"/>
                  </w:tcBorders>
                  <w:shd w:val="clear" w:color="auto" w:fill="auto"/>
                  <w:vAlign w:val="center"/>
                </w:tcPr>
                <w:p w14:paraId="56071521">
                  <w:pPr>
                    <w:pStyle w:val="56"/>
                    <w:keepNext w:val="0"/>
                    <w:keepLines w:val="0"/>
                    <w:pageBreakBefore w:val="0"/>
                    <w:kinsoku/>
                    <w:wordWrap/>
                    <w:overflowPunct/>
                    <w:topLinePunct w:val="0"/>
                    <w:autoSpaceDE/>
                    <w:autoSpaceDN/>
                    <w:bidi w:val="0"/>
                    <w:adjustRightInd w:val="0"/>
                    <w:snapToGrid w:val="0"/>
                    <w:spacing w:line="240" w:lineRule="auto"/>
                    <w:ind w:left="0" w:firstLine="0" w:firstLineChars="0"/>
                    <w:rPr>
                      <w:rFonts w:hint="eastAsia" w:ascii="Times New Roman" w:hAnsi="Times New Roman" w:eastAsia="宋体" w:cs="Times New Roman"/>
                      <w:b w:val="0"/>
                      <w:bCs/>
                      <w:color w:val="auto"/>
                      <w:kern w:val="0"/>
                      <w:sz w:val="21"/>
                      <w:szCs w:val="21"/>
                      <w:lang w:val="en-US" w:eastAsia="zh-CN" w:bidi="ar-SA"/>
                    </w:rPr>
                  </w:pPr>
                  <w:r>
                    <w:rPr>
                      <w:rFonts w:hint="eastAsia"/>
                      <w:lang w:val="en-US" w:eastAsia="zh-CN"/>
                    </w:rPr>
                    <w:t>搅拌机</w:t>
                  </w:r>
                </w:p>
              </w:tc>
              <w:tc>
                <w:tcPr>
                  <w:tcW w:w="722" w:type="pct"/>
                  <w:tcBorders>
                    <w:tl2br w:val="nil"/>
                    <w:tr2bl w:val="nil"/>
                  </w:tcBorders>
                  <w:vAlign w:val="center"/>
                </w:tcPr>
                <w:p w14:paraId="0B14A410">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JS750</w:t>
                  </w:r>
                </w:p>
              </w:tc>
              <w:tc>
                <w:tcPr>
                  <w:tcW w:w="550" w:type="pct"/>
                  <w:tcBorders>
                    <w:tl2br w:val="nil"/>
                    <w:tr2bl w:val="nil"/>
                  </w:tcBorders>
                  <w:vAlign w:val="center"/>
                </w:tcPr>
                <w:p w14:paraId="1AB13D67">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rFonts w:hint="eastAsia"/>
                      <w:color w:val="auto"/>
                      <w:lang w:val="en-US" w:eastAsia="zh-CN"/>
                    </w:rPr>
                    <w:t>85</w:t>
                  </w:r>
                  <w:r>
                    <w:rPr>
                      <w:rFonts w:hint="eastAsia"/>
                      <w:color w:val="auto"/>
                    </w:rPr>
                    <w:t>/1</w:t>
                  </w:r>
                </w:p>
              </w:tc>
              <w:tc>
                <w:tcPr>
                  <w:tcW w:w="429" w:type="pct"/>
                  <w:vMerge w:val="restart"/>
                  <w:tcBorders>
                    <w:tl2br w:val="nil"/>
                    <w:tr2bl w:val="nil"/>
                  </w:tcBorders>
                  <w:vAlign w:val="center"/>
                </w:tcPr>
                <w:p w14:paraId="7FA52A48">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rFonts w:hint="eastAsia"/>
                      <w:color w:val="auto"/>
                      <w:sz w:val="21"/>
                      <w:szCs w:val="21"/>
                    </w:rPr>
                    <w:t>选用低噪声设备、消声、隔声、减振、距离衰减等</w:t>
                  </w:r>
                </w:p>
              </w:tc>
              <w:tc>
                <w:tcPr>
                  <w:tcW w:w="182" w:type="pct"/>
                  <w:tcBorders>
                    <w:tl2br w:val="nil"/>
                    <w:tr2bl w:val="nil"/>
                  </w:tcBorders>
                  <w:vAlign w:val="center"/>
                </w:tcPr>
                <w:p w14:paraId="329146D7">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-65</w:t>
                  </w:r>
                </w:p>
              </w:tc>
              <w:tc>
                <w:tcPr>
                  <w:tcW w:w="214" w:type="pct"/>
                  <w:tcBorders>
                    <w:tl2br w:val="nil"/>
                    <w:tr2bl w:val="nil"/>
                  </w:tcBorders>
                  <w:vAlign w:val="center"/>
                </w:tcPr>
                <w:p w14:paraId="3EEA49A2">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-35</w:t>
                  </w:r>
                </w:p>
              </w:tc>
              <w:tc>
                <w:tcPr>
                  <w:tcW w:w="199" w:type="pct"/>
                  <w:tcBorders>
                    <w:tl2br w:val="nil"/>
                    <w:tr2bl w:val="nil"/>
                  </w:tcBorders>
                  <w:vAlign w:val="center"/>
                </w:tcPr>
                <w:p w14:paraId="44896A92">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color w:val="auto"/>
                      <w:lang w:val="en-US" w:eastAsia="zh-CN"/>
                    </w:rPr>
                  </w:pPr>
                  <w:r>
                    <w:rPr>
                      <w:rFonts w:hint="default"/>
                      <w:color w:val="auto"/>
                      <w:lang w:val="en-US" w:eastAsia="zh-CN"/>
                    </w:rPr>
                    <w:t>2</w:t>
                  </w:r>
                </w:p>
              </w:tc>
              <w:tc>
                <w:tcPr>
                  <w:tcW w:w="214" w:type="pct"/>
                  <w:tcBorders>
                    <w:tl2br w:val="nil"/>
                    <w:tr2bl w:val="nil"/>
                  </w:tcBorders>
                  <w:vAlign w:val="center"/>
                </w:tcPr>
                <w:p w14:paraId="16599E5A">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30</w:t>
                  </w:r>
                </w:p>
              </w:tc>
              <w:tc>
                <w:tcPr>
                  <w:tcW w:w="218" w:type="pct"/>
                  <w:tcBorders>
                    <w:tl2br w:val="nil"/>
                    <w:tr2bl w:val="nil"/>
                  </w:tcBorders>
                  <w:vAlign w:val="center"/>
                </w:tcPr>
                <w:p w14:paraId="312911F4">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rPr>
                    <w:t>55.</w:t>
                  </w:r>
                  <w:r>
                    <w:rPr>
                      <w:rFonts w:hint="eastAsia"/>
                      <w:color w:val="auto"/>
                      <w:lang w:val="en-US" w:eastAsia="zh-CN"/>
                    </w:rPr>
                    <w:t>5</w:t>
                  </w:r>
                </w:p>
              </w:tc>
              <w:tc>
                <w:tcPr>
                  <w:tcW w:w="376" w:type="pct"/>
                  <w:vMerge w:val="restart"/>
                  <w:tcBorders>
                    <w:tl2br w:val="nil"/>
                    <w:tr2bl w:val="nil"/>
                  </w:tcBorders>
                  <w:vAlign w:val="center"/>
                </w:tcPr>
                <w:p w14:paraId="5FF0A434">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8:00~18:00</w:t>
                  </w:r>
                </w:p>
              </w:tc>
              <w:tc>
                <w:tcPr>
                  <w:tcW w:w="284" w:type="pct"/>
                  <w:tcBorders>
                    <w:tl2br w:val="nil"/>
                    <w:tr2bl w:val="nil"/>
                  </w:tcBorders>
                  <w:vAlign w:val="center"/>
                </w:tcPr>
                <w:p w14:paraId="2E0B9562">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25</w:t>
                  </w:r>
                </w:p>
              </w:tc>
              <w:tc>
                <w:tcPr>
                  <w:tcW w:w="218" w:type="pct"/>
                  <w:tcBorders>
                    <w:tl2br w:val="nil"/>
                    <w:tr2bl w:val="nil"/>
                  </w:tcBorders>
                  <w:vAlign w:val="center"/>
                </w:tcPr>
                <w:p w14:paraId="017DCA12">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30.5</w:t>
                  </w:r>
                </w:p>
              </w:tc>
              <w:tc>
                <w:tcPr>
                  <w:tcW w:w="373" w:type="pct"/>
                  <w:tcBorders>
                    <w:tl2br w:val="nil"/>
                    <w:tr2bl w:val="nil"/>
                  </w:tcBorders>
                  <w:vAlign w:val="center"/>
                </w:tcPr>
                <w:p w14:paraId="70D24020">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1</w:t>
                  </w:r>
                </w:p>
              </w:tc>
            </w:tr>
            <w:tr w14:paraId="7AAB09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213" w:type="pct"/>
                  <w:tcBorders>
                    <w:tl2br w:val="nil"/>
                    <w:tr2bl w:val="nil"/>
                  </w:tcBorders>
                  <w:vAlign w:val="center"/>
                </w:tcPr>
                <w:p w14:paraId="45292BF8">
                  <w:pPr>
                    <w:pStyle w:val="66"/>
                    <w:keepNext w:val="0"/>
                    <w:keepLines w:val="0"/>
                    <w:pageBreakBefore w:val="0"/>
                    <w:numPr>
                      <w:ilvl w:val="0"/>
                      <w:numId w:val="9"/>
                    </w:numPr>
                    <w:kinsoku/>
                    <w:wordWrap/>
                    <w:overflowPunct/>
                    <w:topLinePunct w:val="0"/>
                    <w:autoSpaceDE/>
                    <w:autoSpaceDN/>
                    <w:bidi w:val="0"/>
                    <w:adjustRightInd w:val="0"/>
                    <w:snapToGrid w:val="0"/>
                    <w:spacing w:line="240" w:lineRule="auto"/>
                    <w:ind w:left="240" w:leftChars="0" w:firstLine="0" w:firstLineChars="0"/>
                    <w:jc w:val="both"/>
                    <w:rPr>
                      <w:color w:val="auto"/>
                    </w:rPr>
                  </w:pPr>
                </w:p>
              </w:tc>
              <w:tc>
                <w:tcPr>
                  <w:tcW w:w="182" w:type="pct"/>
                  <w:vMerge w:val="continue"/>
                  <w:tcBorders>
                    <w:tl2br w:val="nil"/>
                    <w:tr2bl w:val="nil"/>
                  </w:tcBorders>
                  <w:vAlign w:val="center"/>
                </w:tcPr>
                <w:p w14:paraId="1941D6A4">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123" w:type="pct"/>
                  <w:tcBorders>
                    <w:tl2br w:val="nil"/>
                    <w:tr2bl w:val="nil"/>
                  </w:tcBorders>
                  <w:vAlign w:val="center"/>
                </w:tcPr>
                <w:p w14:paraId="5F001ECF">
                  <w:pPr>
                    <w:pStyle w:val="56"/>
                    <w:keepNext w:val="0"/>
                    <w:keepLines w:val="0"/>
                    <w:pageBreakBefore w:val="0"/>
                    <w:kinsoku/>
                    <w:wordWrap/>
                    <w:overflowPunct/>
                    <w:topLinePunct w:val="0"/>
                    <w:autoSpaceDE/>
                    <w:autoSpaceDN/>
                    <w:bidi w:val="0"/>
                    <w:adjustRightInd w:val="0"/>
                    <w:snapToGrid w:val="0"/>
                    <w:spacing w:line="240" w:lineRule="auto"/>
                    <w:ind w:left="0" w:firstLine="0" w:firstLineChars="0"/>
                    <w:rPr>
                      <w:rFonts w:hint="eastAsia" w:eastAsia="宋体"/>
                      <w:color w:val="auto"/>
                      <w:lang w:eastAsia="zh-CN"/>
                    </w:rPr>
                  </w:pPr>
                  <w:r>
                    <w:rPr>
                      <w:rFonts w:hint="eastAsia"/>
                      <w:lang w:val="en-US" w:eastAsia="zh-CN"/>
                    </w:rPr>
                    <w:t>3</w:t>
                  </w:r>
                </w:p>
              </w:tc>
              <w:tc>
                <w:tcPr>
                  <w:tcW w:w="498" w:type="pct"/>
                  <w:tcBorders>
                    <w:tl2br w:val="nil"/>
                    <w:tr2bl w:val="nil"/>
                  </w:tcBorders>
                  <w:shd w:val="clear" w:color="auto" w:fill="auto"/>
                  <w:vAlign w:val="center"/>
                </w:tcPr>
                <w:p w14:paraId="53A897A0">
                  <w:pPr>
                    <w:pStyle w:val="56"/>
                    <w:keepNext w:val="0"/>
                    <w:keepLines w:val="0"/>
                    <w:pageBreakBefore w:val="0"/>
                    <w:kinsoku/>
                    <w:wordWrap/>
                    <w:overflowPunct/>
                    <w:topLinePunct w:val="0"/>
                    <w:autoSpaceDE/>
                    <w:autoSpaceDN/>
                    <w:bidi w:val="0"/>
                    <w:adjustRightInd w:val="0"/>
                    <w:snapToGrid w:val="0"/>
                    <w:spacing w:line="240" w:lineRule="auto"/>
                    <w:ind w:left="0" w:firstLine="0" w:firstLineChars="0"/>
                    <w:rPr>
                      <w:rFonts w:hint="eastAsia" w:ascii="Times New Roman" w:hAnsi="Times New Roman" w:eastAsia="宋体" w:cs="Times New Roman"/>
                      <w:b w:val="0"/>
                      <w:bCs/>
                      <w:color w:val="auto"/>
                      <w:kern w:val="0"/>
                      <w:sz w:val="21"/>
                      <w:szCs w:val="21"/>
                      <w:lang w:val="en-US" w:eastAsia="zh-CN" w:bidi="ar-SA"/>
                    </w:rPr>
                  </w:pPr>
                  <w:r>
                    <w:rPr>
                      <w:rFonts w:hint="eastAsia"/>
                      <w:lang w:val="en-US" w:eastAsia="zh-CN"/>
                    </w:rPr>
                    <w:t>行车</w:t>
                  </w:r>
                </w:p>
              </w:tc>
              <w:tc>
                <w:tcPr>
                  <w:tcW w:w="722" w:type="pct"/>
                  <w:tcBorders>
                    <w:tl2br w:val="nil"/>
                    <w:tr2bl w:val="nil"/>
                  </w:tcBorders>
                  <w:shd w:val="clear" w:color="auto" w:fill="auto"/>
                  <w:vAlign w:val="center"/>
                </w:tcPr>
                <w:p w14:paraId="7643C9D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w:t>
                  </w:r>
                  <w:r>
                    <w:rPr>
                      <w:rFonts w:hint="eastAsia" w:ascii="宋体" w:hAnsi="宋体" w:eastAsia="宋体" w:cs="宋体"/>
                      <w:i w:val="0"/>
                      <w:iCs w:val="0"/>
                      <w:color w:val="000000"/>
                      <w:kern w:val="0"/>
                      <w:sz w:val="21"/>
                      <w:szCs w:val="21"/>
                      <w:u w:val="none"/>
                      <w:lang w:val="en-US" w:eastAsia="zh-CN" w:bidi="ar"/>
                    </w:rPr>
                    <w:t>吨</w:t>
                  </w:r>
                </w:p>
              </w:tc>
              <w:tc>
                <w:tcPr>
                  <w:tcW w:w="550" w:type="pct"/>
                  <w:tcBorders>
                    <w:tl2br w:val="nil"/>
                    <w:tr2bl w:val="nil"/>
                  </w:tcBorders>
                  <w:vAlign w:val="center"/>
                </w:tcPr>
                <w:p w14:paraId="0D58F9BB">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rFonts w:hint="eastAsia"/>
                      <w:color w:val="auto"/>
                      <w:lang w:val="en-US" w:eastAsia="zh-CN"/>
                    </w:rPr>
                    <w:t>70</w:t>
                  </w:r>
                  <w:r>
                    <w:rPr>
                      <w:rFonts w:hint="eastAsia"/>
                      <w:color w:val="auto"/>
                    </w:rPr>
                    <w:t>/1</w:t>
                  </w:r>
                </w:p>
              </w:tc>
              <w:tc>
                <w:tcPr>
                  <w:tcW w:w="429" w:type="pct"/>
                  <w:vMerge w:val="continue"/>
                  <w:tcBorders>
                    <w:tl2br w:val="nil"/>
                    <w:tr2bl w:val="nil"/>
                  </w:tcBorders>
                  <w:vAlign w:val="center"/>
                </w:tcPr>
                <w:p w14:paraId="65668B12">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182" w:type="pct"/>
                  <w:tcBorders>
                    <w:tl2br w:val="nil"/>
                    <w:tr2bl w:val="nil"/>
                  </w:tcBorders>
                  <w:vAlign w:val="center"/>
                </w:tcPr>
                <w:p w14:paraId="34F3C6DA">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eastAsia" w:eastAsia="宋体"/>
                      <w:color w:val="auto"/>
                      <w:lang w:eastAsia="zh-CN"/>
                    </w:rPr>
                  </w:pPr>
                  <w:r>
                    <w:rPr>
                      <w:rFonts w:hint="eastAsia"/>
                      <w:color w:val="auto"/>
                      <w:lang w:val="en-US" w:eastAsia="zh-CN"/>
                    </w:rPr>
                    <w:t>0</w:t>
                  </w:r>
                </w:p>
              </w:tc>
              <w:tc>
                <w:tcPr>
                  <w:tcW w:w="214" w:type="pct"/>
                  <w:tcBorders>
                    <w:tl2br w:val="nil"/>
                    <w:tr2bl w:val="nil"/>
                  </w:tcBorders>
                  <w:vAlign w:val="center"/>
                </w:tcPr>
                <w:p w14:paraId="4E782D12">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-35</w:t>
                  </w:r>
                </w:p>
              </w:tc>
              <w:tc>
                <w:tcPr>
                  <w:tcW w:w="199" w:type="pct"/>
                  <w:tcBorders>
                    <w:tl2br w:val="nil"/>
                    <w:tr2bl w:val="nil"/>
                  </w:tcBorders>
                  <w:vAlign w:val="center"/>
                </w:tcPr>
                <w:p w14:paraId="70ACE657">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color w:val="auto"/>
                      <w:lang w:val="en-US" w:eastAsia="zh-CN"/>
                    </w:rPr>
                  </w:pPr>
                  <w:r>
                    <w:rPr>
                      <w:rFonts w:hint="eastAsia"/>
                      <w:color w:val="auto"/>
                      <w:lang w:val="en-US" w:eastAsia="zh-CN"/>
                    </w:rPr>
                    <w:t>8</w:t>
                  </w:r>
                </w:p>
              </w:tc>
              <w:tc>
                <w:tcPr>
                  <w:tcW w:w="214" w:type="pct"/>
                  <w:tcBorders>
                    <w:tl2br w:val="nil"/>
                    <w:tr2bl w:val="nil"/>
                  </w:tcBorders>
                  <w:vAlign w:val="center"/>
                </w:tcPr>
                <w:p w14:paraId="14A7C970">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eastAsia" w:eastAsia="宋体"/>
                      <w:color w:val="auto"/>
                      <w:lang w:eastAsia="zh-CN"/>
                    </w:rPr>
                  </w:pPr>
                  <w:r>
                    <w:rPr>
                      <w:rFonts w:hint="eastAsia"/>
                      <w:color w:val="auto"/>
                      <w:lang w:val="en-US" w:eastAsia="zh-CN"/>
                    </w:rPr>
                    <w:t>30</w:t>
                  </w:r>
                </w:p>
              </w:tc>
              <w:tc>
                <w:tcPr>
                  <w:tcW w:w="218" w:type="pct"/>
                  <w:tcBorders>
                    <w:tl2br w:val="nil"/>
                    <w:tr2bl w:val="nil"/>
                  </w:tcBorders>
                  <w:vAlign w:val="center"/>
                </w:tcPr>
                <w:p w14:paraId="6D4B8517">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45.2</w:t>
                  </w:r>
                </w:p>
              </w:tc>
              <w:tc>
                <w:tcPr>
                  <w:tcW w:w="376" w:type="pct"/>
                  <w:vMerge w:val="continue"/>
                  <w:tcBorders>
                    <w:tl2br w:val="nil"/>
                    <w:tr2bl w:val="nil"/>
                  </w:tcBorders>
                  <w:vAlign w:val="center"/>
                </w:tcPr>
                <w:p w14:paraId="178B8CCD">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284" w:type="pct"/>
                  <w:tcBorders>
                    <w:tl2br w:val="nil"/>
                    <w:tr2bl w:val="nil"/>
                  </w:tcBorders>
                  <w:vAlign w:val="center"/>
                </w:tcPr>
                <w:p w14:paraId="5F4ED861">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25</w:t>
                  </w:r>
                </w:p>
              </w:tc>
              <w:tc>
                <w:tcPr>
                  <w:tcW w:w="218" w:type="pct"/>
                  <w:tcBorders>
                    <w:tl2br w:val="nil"/>
                    <w:tr2bl w:val="nil"/>
                  </w:tcBorders>
                  <w:vAlign w:val="center"/>
                </w:tcPr>
                <w:p w14:paraId="6704B63F">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20.2</w:t>
                  </w:r>
                </w:p>
              </w:tc>
              <w:tc>
                <w:tcPr>
                  <w:tcW w:w="373" w:type="pct"/>
                  <w:tcBorders>
                    <w:tl2br w:val="nil"/>
                    <w:tr2bl w:val="nil"/>
                  </w:tcBorders>
                  <w:vAlign w:val="center"/>
                </w:tcPr>
                <w:p w14:paraId="0A4FB722">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1</w:t>
                  </w:r>
                </w:p>
              </w:tc>
            </w:tr>
            <w:tr w14:paraId="11D8EE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31" w:hRule="atLeast"/>
              </w:trPr>
              <w:tc>
                <w:tcPr>
                  <w:tcW w:w="213" w:type="pct"/>
                  <w:tcBorders>
                    <w:tl2br w:val="nil"/>
                    <w:tr2bl w:val="nil"/>
                  </w:tcBorders>
                  <w:vAlign w:val="center"/>
                </w:tcPr>
                <w:p w14:paraId="5E65FDC3">
                  <w:pPr>
                    <w:pStyle w:val="66"/>
                    <w:keepNext w:val="0"/>
                    <w:keepLines w:val="0"/>
                    <w:pageBreakBefore w:val="0"/>
                    <w:numPr>
                      <w:ilvl w:val="0"/>
                      <w:numId w:val="9"/>
                    </w:numPr>
                    <w:kinsoku/>
                    <w:wordWrap/>
                    <w:overflowPunct/>
                    <w:topLinePunct w:val="0"/>
                    <w:autoSpaceDE/>
                    <w:autoSpaceDN/>
                    <w:bidi w:val="0"/>
                    <w:adjustRightInd w:val="0"/>
                    <w:snapToGrid w:val="0"/>
                    <w:spacing w:line="240" w:lineRule="auto"/>
                    <w:ind w:left="240" w:leftChars="0" w:firstLine="0" w:firstLineChars="0"/>
                    <w:jc w:val="both"/>
                    <w:rPr>
                      <w:color w:val="auto"/>
                    </w:rPr>
                  </w:pPr>
                </w:p>
              </w:tc>
              <w:tc>
                <w:tcPr>
                  <w:tcW w:w="182" w:type="pct"/>
                  <w:vMerge w:val="continue"/>
                  <w:tcBorders>
                    <w:tl2br w:val="nil"/>
                    <w:tr2bl w:val="nil"/>
                  </w:tcBorders>
                  <w:vAlign w:val="center"/>
                </w:tcPr>
                <w:p w14:paraId="7F8A8243">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123" w:type="pct"/>
                  <w:tcBorders>
                    <w:tl2br w:val="nil"/>
                    <w:tr2bl w:val="nil"/>
                  </w:tcBorders>
                  <w:vAlign w:val="center"/>
                </w:tcPr>
                <w:p w14:paraId="57B481CB">
                  <w:pPr>
                    <w:pStyle w:val="56"/>
                    <w:keepNext w:val="0"/>
                    <w:keepLines w:val="0"/>
                    <w:pageBreakBefore w:val="0"/>
                    <w:kinsoku/>
                    <w:wordWrap/>
                    <w:overflowPunct/>
                    <w:topLinePunct w:val="0"/>
                    <w:autoSpaceDE/>
                    <w:autoSpaceDN/>
                    <w:bidi w:val="0"/>
                    <w:adjustRightInd w:val="0"/>
                    <w:snapToGrid w:val="0"/>
                    <w:spacing w:line="240" w:lineRule="auto"/>
                    <w:ind w:left="0" w:firstLine="0" w:firstLineChars="0"/>
                    <w:rPr>
                      <w:color w:val="auto"/>
                    </w:rPr>
                  </w:pPr>
                  <w:r>
                    <w:t>2</w:t>
                  </w:r>
                </w:p>
              </w:tc>
              <w:tc>
                <w:tcPr>
                  <w:tcW w:w="498" w:type="pct"/>
                  <w:tcBorders>
                    <w:tl2br w:val="nil"/>
                    <w:tr2bl w:val="nil"/>
                  </w:tcBorders>
                  <w:shd w:val="clear" w:color="auto" w:fill="auto"/>
                  <w:vAlign w:val="center"/>
                </w:tcPr>
                <w:p w14:paraId="239A2938">
                  <w:pPr>
                    <w:pStyle w:val="56"/>
                    <w:keepNext w:val="0"/>
                    <w:keepLines w:val="0"/>
                    <w:pageBreakBefore w:val="0"/>
                    <w:kinsoku/>
                    <w:wordWrap/>
                    <w:overflowPunct/>
                    <w:topLinePunct w:val="0"/>
                    <w:autoSpaceDE/>
                    <w:autoSpaceDN/>
                    <w:bidi w:val="0"/>
                    <w:adjustRightInd w:val="0"/>
                    <w:snapToGrid w:val="0"/>
                    <w:spacing w:line="240" w:lineRule="auto"/>
                    <w:ind w:left="0" w:firstLine="0" w:firstLineChars="0"/>
                    <w:rPr>
                      <w:rFonts w:hint="default" w:ascii="Times New Roman" w:hAnsi="Times New Roman" w:eastAsia="宋体" w:cs="Times New Roman"/>
                      <w:b w:val="0"/>
                      <w:bCs/>
                      <w:color w:val="auto"/>
                      <w:kern w:val="0"/>
                      <w:sz w:val="21"/>
                      <w:szCs w:val="21"/>
                      <w:lang w:val="en-US" w:eastAsia="zh-CN" w:bidi="ar-SA"/>
                    </w:rPr>
                  </w:pPr>
                  <w:r>
                    <w:rPr>
                      <w:rFonts w:hint="eastAsia"/>
                      <w:lang w:val="en-US" w:eastAsia="zh-CN"/>
                    </w:rPr>
                    <w:t>预制件震动台</w:t>
                  </w:r>
                </w:p>
              </w:tc>
              <w:tc>
                <w:tcPr>
                  <w:tcW w:w="722" w:type="pct"/>
                  <w:tcBorders>
                    <w:tl2br w:val="nil"/>
                    <w:tr2bl w:val="nil"/>
                  </w:tcBorders>
                  <w:vAlign w:val="center"/>
                </w:tcPr>
                <w:p w14:paraId="6DCD683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w:t>
                  </w:r>
                </w:p>
              </w:tc>
              <w:tc>
                <w:tcPr>
                  <w:tcW w:w="550" w:type="pct"/>
                  <w:tcBorders>
                    <w:tl2br w:val="nil"/>
                    <w:tr2bl w:val="nil"/>
                  </w:tcBorders>
                  <w:vAlign w:val="center"/>
                </w:tcPr>
                <w:p w14:paraId="0CA19F26">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rFonts w:hint="eastAsia"/>
                      <w:color w:val="auto"/>
                      <w:lang w:val="en-US" w:eastAsia="zh-CN"/>
                    </w:rPr>
                    <w:t>85</w:t>
                  </w:r>
                  <w:r>
                    <w:rPr>
                      <w:rFonts w:hint="eastAsia"/>
                      <w:color w:val="auto"/>
                    </w:rPr>
                    <w:t>/1</w:t>
                  </w:r>
                </w:p>
              </w:tc>
              <w:tc>
                <w:tcPr>
                  <w:tcW w:w="429" w:type="pct"/>
                  <w:vMerge w:val="continue"/>
                  <w:tcBorders>
                    <w:tl2br w:val="nil"/>
                    <w:tr2bl w:val="nil"/>
                  </w:tcBorders>
                  <w:vAlign w:val="center"/>
                </w:tcPr>
                <w:p w14:paraId="65A5AA7B">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182" w:type="pct"/>
                  <w:tcBorders>
                    <w:tl2br w:val="nil"/>
                    <w:tr2bl w:val="nil"/>
                  </w:tcBorders>
                  <w:vAlign w:val="center"/>
                </w:tcPr>
                <w:p w14:paraId="682EBED4">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-30</w:t>
                  </w:r>
                </w:p>
              </w:tc>
              <w:tc>
                <w:tcPr>
                  <w:tcW w:w="214" w:type="pct"/>
                  <w:tcBorders>
                    <w:tl2br w:val="nil"/>
                    <w:tr2bl w:val="nil"/>
                  </w:tcBorders>
                  <w:vAlign w:val="center"/>
                </w:tcPr>
                <w:p w14:paraId="5493EE60">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-35</w:t>
                  </w:r>
                </w:p>
              </w:tc>
              <w:tc>
                <w:tcPr>
                  <w:tcW w:w="199" w:type="pct"/>
                  <w:tcBorders>
                    <w:tl2br w:val="nil"/>
                    <w:tr2bl w:val="nil"/>
                  </w:tcBorders>
                  <w:vAlign w:val="center"/>
                </w:tcPr>
                <w:p w14:paraId="47788DA8">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color w:val="auto"/>
                      <w:lang w:val="en-US" w:eastAsia="zh-CN"/>
                    </w:rPr>
                  </w:pPr>
                  <w:r>
                    <w:rPr>
                      <w:rFonts w:hint="eastAsia"/>
                      <w:color w:val="auto"/>
                      <w:lang w:val="en-US" w:eastAsia="zh-CN"/>
                    </w:rPr>
                    <w:t>1</w:t>
                  </w:r>
                </w:p>
              </w:tc>
              <w:tc>
                <w:tcPr>
                  <w:tcW w:w="214" w:type="pct"/>
                  <w:tcBorders>
                    <w:tl2br w:val="nil"/>
                    <w:tr2bl w:val="nil"/>
                  </w:tcBorders>
                  <w:vAlign w:val="center"/>
                </w:tcPr>
                <w:p w14:paraId="6E86476D">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30</w:t>
                  </w:r>
                </w:p>
              </w:tc>
              <w:tc>
                <w:tcPr>
                  <w:tcW w:w="218" w:type="pct"/>
                  <w:tcBorders>
                    <w:tl2br w:val="nil"/>
                    <w:tr2bl w:val="nil"/>
                  </w:tcBorders>
                  <w:vAlign w:val="center"/>
                </w:tcPr>
                <w:p w14:paraId="69C668FA">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58.5</w:t>
                  </w:r>
                </w:p>
              </w:tc>
              <w:tc>
                <w:tcPr>
                  <w:tcW w:w="376" w:type="pct"/>
                  <w:vMerge w:val="continue"/>
                  <w:tcBorders>
                    <w:tl2br w:val="nil"/>
                    <w:tr2bl w:val="nil"/>
                  </w:tcBorders>
                  <w:vAlign w:val="center"/>
                </w:tcPr>
                <w:p w14:paraId="0BE26C8F">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284" w:type="pct"/>
                  <w:tcBorders>
                    <w:tl2br w:val="nil"/>
                    <w:tr2bl w:val="nil"/>
                  </w:tcBorders>
                  <w:vAlign w:val="center"/>
                </w:tcPr>
                <w:p w14:paraId="56B4282C">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rFonts w:hint="eastAsia"/>
                      <w:color w:val="auto"/>
                    </w:rPr>
                    <w:t>25</w:t>
                  </w:r>
                </w:p>
              </w:tc>
              <w:tc>
                <w:tcPr>
                  <w:tcW w:w="218" w:type="pct"/>
                  <w:tcBorders>
                    <w:tl2br w:val="nil"/>
                    <w:tr2bl w:val="nil"/>
                  </w:tcBorders>
                  <w:vAlign w:val="center"/>
                </w:tcPr>
                <w:p w14:paraId="2C7B9E09">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33.5</w:t>
                  </w:r>
                </w:p>
              </w:tc>
              <w:tc>
                <w:tcPr>
                  <w:tcW w:w="373" w:type="pct"/>
                  <w:tcBorders>
                    <w:tl2br w:val="nil"/>
                    <w:tr2bl w:val="nil"/>
                  </w:tcBorders>
                  <w:vAlign w:val="center"/>
                </w:tcPr>
                <w:p w14:paraId="3811E3D7">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rFonts w:hint="eastAsia"/>
                      <w:color w:val="auto"/>
                    </w:rPr>
                    <w:t>1</w:t>
                  </w:r>
                </w:p>
              </w:tc>
            </w:tr>
            <w:tr w14:paraId="681ED5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30" w:hRule="atLeast"/>
              </w:trPr>
              <w:tc>
                <w:tcPr>
                  <w:tcW w:w="213" w:type="pct"/>
                  <w:tcBorders>
                    <w:tl2br w:val="nil"/>
                    <w:tr2bl w:val="nil"/>
                  </w:tcBorders>
                  <w:vAlign w:val="center"/>
                </w:tcPr>
                <w:p w14:paraId="5C23F490">
                  <w:pPr>
                    <w:pStyle w:val="66"/>
                    <w:keepNext w:val="0"/>
                    <w:keepLines w:val="0"/>
                    <w:pageBreakBefore w:val="0"/>
                    <w:numPr>
                      <w:ilvl w:val="0"/>
                      <w:numId w:val="9"/>
                    </w:numPr>
                    <w:kinsoku/>
                    <w:wordWrap/>
                    <w:overflowPunct/>
                    <w:topLinePunct w:val="0"/>
                    <w:autoSpaceDE/>
                    <w:autoSpaceDN/>
                    <w:bidi w:val="0"/>
                    <w:adjustRightInd w:val="0"/>
                    <w:snapToGrid w:val="0"/>
                    <w:spacing w:line="240" w:lineRule="auto"/>
                    <w:ind w:left="240" w:leftChars="0" w:firstLine="0" w:firstLineChars="0"/>
                    <w:jc w:val="both"/>
                    <w:rPr>
                      <w:color w:val="auto"/>
                    </w:rPr>
                  </w:pPr>
                </w:p>
              </w:tc>
              <w:tc>
                <w:tcPr>
                  <w:tcW w:w="182" w:type="pct"/>
                  <w:vMerge w:val="continue"/>
                  <w:tcBorders>
                    <w:tl2br w:val="nil"/>
                    <w:tr2bl w:val="nil"/>
                  </w:tcBorders>
                  <w:vAlign w:val="center"/>
                </w:tcPr>
                <w:p w14:paraId="319851C9">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123" w:type="pct"/>
                  <w:tcBorders>
                    <w:tl2br w:val="nil"/>
                    <w:tr2bl w:val="nil"/>
                  </w:tcBorders>
                  <w:vAlign w:val="center"/>
                </w:tcPr>
                <w:p w14:paraId="6F8836D6">
                  <w:pPr>
                    <w:pStyle w:val="56"/>
                    <w:keepNext w:val="0"/>
                    <w:keepLines w:val="0"/>
                    <w:pageBreakBefore w:val="0"/>
                    <w:kinsoku/>
                    <w:wordWrap/>
                    <w:overflowPunct/>
                    <w:topLinePunct w:val="0"/>
                    <w:autoSpaceDE/>
                    <w:autoSpaceDN/>
                    <w:bidi w:val="0"/>
                    <w:adjustRightInd w:val="0"/>
                    <w:snapToGrid w:val="0"/>
                    <w:spacing w:line="240" w:lineRule="auto"/>
                    <w:ind w:left="0" w:firstLine="0" w:firstLineChars="0"/>
                    <w:rPr>
                      <w:rFonts w:hint="eastAsia" w:eastAsia="宋体"/>
                      <w:color w:val="auto"/>
                      <w:lang w:eastAsia="zh-CN"/>
                    </w:rPr>
                  </w:pPr>
                  <w:r>
                    <w:rPr>
                      <w:rFonts w:hint="eastAsia"/>
                      <w:lang w:val="en-US" w:eastAsia="zh-CN"/>
                    </w:rPr>
                    <w:t>6</w:t>
                  </w:r>
                </w:p>
              </w:tc>
              <w:tc>
                <w:tcPr>
                  <w:tcW w:w="498" w:type="pct"/>
                  <w:tcBorders>
                    <w:tl2br w:val="nil"/>
                    <w:tr2bl w:val="nil"/>
                  </w:tcBorders>
                  <w:shd w:val="clear" w:color="auto" w:fill="auto"/>
                  <w:vAlign w:val="center"/>
                </w:tcPr>
                <w:p w14:paraId="0532CD31">
                  <w:pPr>
                    <w:pStyle w:val="56"/>
                    <w:keepNext w:val="0"/>
                    <w:keepLines w:val="0"/>
                    <w:pageBreakBefore w:val="0"/>
                    <w:kinsoku/>
                    <w:wordWrap/>
                    <w:overflowPunct/>
                    <w:topLinePunct w:val="0"/>
                    <w:autoSpaceDE/>
                    <w:autoSpaceDN/>
                    <w:bidi w:val="0"/>
                    <w:adjustRightInd w:val="0"/>
                    <w:snapToGrid w:val="0"/>
                    <w:spacing w:line="240" w:lineRule="auto"/>
                    <w:ind w:left="0" w:firstLine="0" w:firstLineChars="0"/>
                    <w:rPr>
                      <w:rFonts w:hint="default" w:ascii="Times New Roman" w:hAnsi="Times New Roman" w:eastAsia="宋体" w:cs="Times New Roman"/>
                      <w:b w:val="0"/>
                      <w:bCs/>
                      <w:color w:val="auto"/>
                      <w:kern w:val="0"/>
                      <w:sz w:val="21"/>
                      <w:szCs w:val="21"/>
                      <w:lang w:val="en-US" w:eastAsia="zh-CN" w:bidi="ar-SA"/>
                    </w:rPr>
                  </w:pPr>
                  <w:r>
                    <w:rPr>
                      <w:rFonts w:hint="eastAsia"/>
                      <w:lang w:val="en-US" w:eastAsia="zh-CN"/>
                    </w:rPr>
                    <w:t>小型振动棒</w:t>
                  </w:r>
                </w:p>
              </w:tc>
              <w:tc>
                <w:tcPr>
                  <w:tcW w:w="722" w:type="pct"/>
                  <w:tcBorders>
                    <w:tl2br w:val="nil"/>
                    <w:tr2bl w:val="nil"/>
                  </w:tcBorders>
                  <w:vAlign w:val="center"/>
                </w:tcPr>
                <w:p w14:paraId="3E23ABC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color w:val="auto"/>
                    </w:rPr>
                  </w:pPr>
                  <w:r>
                    <w:rPr>
                      <w:rFonts w:hint="default" w:ascii="Times New Roman" w:hAnsi="Times New Roman" w:eastAsia="宋体" w:cs="Times New Roman"/>
                      <w:i w:val="0"/>
                      <w:iCs w:val="0"/>
                      <w:color w:val="000000"/>
                      <w:kern w:val="0"/>
                      <w:sz w:val="21"/>
                      <w:szCs w:val="21"/>
                      <w:u w:val="none"/>
                      <w:lang w:val="en-US" w:eastAsia="zh-CN" w:bidi="ar"/>
                    </w:rPr>
                    <w:t>/</w:t>
                  </w:r>
                </w:p>
              </w:tc>
              <w:tc>
                <w:tcPr>
                  <w:tcW w:w="550" w:type="pct"/>
                  <w:tcBorders>
                    <w:tl2br w:val="nil"/>
                    <w:tr2bl w:val="nil"/>
                  </w:tcBorders>
                  <w:vAlign w:val="center"/>
                </w:tcPr>
                <w:p w14:paraId="74C2CEA7">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85</w:t>
                  </w:r>
                  <w:r>
                    <w:rPr>
                      <w:rFonts w:hint="eastAsia"/>
                      <w:color w:val="auto"/>
                    </w:rPr>
                    <w:t>/1</w:t>
                  </w:r>
                </w:p>
              </w:tc>
              <w:tc>
                <w:tcPr>
                  <w:tcW w:w="429" w:type="pct"/>
                  <w:vMerge w:val="continue"/>
                  <w:tcBorders>
                    <w:tl2br w:val="nil"/>
                    <w:tr2bl w:val="nil"/>
                  </w:tcBorders>
                  <w:vAlign w:val="center"/>
                </w:tcPr>
                <w:p w14:paraId="44BB4A4B">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182" w:type="pct"/>
                  <w:tcBorders>
                    <w:tl2br w:val="nil"/>
                    <w:tr2bl w:val="nil"/>
                  </w:tcBorders>
                  <w:vAlign w:val="center"/>
                </w:tcPr>
                <w:p w14:paraId="0D371B05">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-20</w:t>
                  </w:r>
                </w:p>
              </w:tc>
              <w:tc>
                <w:tcPr>
                  <w:tcW w:w="214" w:type="pct"/>
                  <w:tcBorders>
                    <w:tl2br w:val="nil"/>
                    <w:tr2bl w:val="nil"/>
                  </w:tcBorders>
                  <w:vAlign w:val="center"/>
                </w:tcPr>
                <w:p w14:paraId="42AFD8A2">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-35</w:t>
                  </w:r>
                </w:p>
              </w:tc>
              <w:tc>
                <w:tcPr>
                  <w:tcW w:w="199" w:type="pct"/>
                  <w:tcBorders>
                    <w:tl2br w:val="nil"/>
                    <w:tr2bl w:val="nil"/>
                  </w:tcBorders>
                  <w:vAlign w:val="center"/>
                </w:tcPr>
                <w:p w14:paraId="42EBAE81">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color w:val="auto"/>
                      <w:lang w:val="en-US" w:eastAsia="zh-CN"/>
                    </w:rPr>
                  </w:pPr>
                  <w:r>
                    <w:rPr>
                      <w:rFonts w:hint="eastAsia"/>
                      <w:color w:val="auto"/>
                      <w:lang w:val="en-US" w:eastAsia="zh-CN"/>
                    </w:rPr>
                    <w:t>1</w:t>
                  </w:r>
                </w:p>
              </w:tc>
              <w:tc>
                <w:tcPr>
                  <w:tcW w:w="214" w:type="pct"/>
                  <w:tcBorders>
                    <w:tl2br w:val="nil"/>
                    <w:tr2bl w:val="nil"/>
                  </w:tcBorders>
                  <w:vAlign w:val="center"/>
                </w:tcPr>
                <w:p w14:paraId="59156636">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30</w:t>
                  </w:r>
                </w:p>
              </w:tc>
              <w:tc>
                <w:tcPr>
                  <w:tcW w:w="218" w:type="pct"/>
                  <w:tcBorders>
                    <w:tl2br w:val="nil"/>
                    <w:tr2bl w:val="nil"/>
                  </w:tcBorders>
                  <w:vAlign w:val="center"/>
                </w:tcPr>
                <w:p w14:paraId="15A874B6">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63.2</w:t>
                  </w:r>
                </w:p>
              </w:tc>
              <w:tc>
                <w:tcPr>
                  <w:tcW w:w="376" w:type="pct"/>
                  <w:vMerge w:val="continue"/>
                  <w:tcBorders>
                    <w:tl2br w:val="nil"/>
                    <w:tr2bl w:val="nil"/>
                  </w:tcBorders>
                  <w:vAlign w:val="center"/>
                </w:tcPr>
                <w:p w14:paraId="35FE005B">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284" w:type="pct"/>
                  <w:tcBorders>
                    <w:tl2br w:val="nil"/>
                    <w:tr2bl w:val="nil"/>
                  </w:tcBorders>
                  <w:vAlign w:val="center"/>
                </w:tcPr>
                <w:p w14:paraId="673A9A7F">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25</w:t>
                  </w:r>
                </w:p>
              </w:tc>
              <w:tc>
                <w:tcPr>
                  <w:tcW w:w="218" w:type="pct"/>
                  <w:tcBorders>
                    <w:tl2br w:val="nil"/>
                    <w:tr2bl w:val="nil"/>
                  </w:tcBorders>
                  <w:vAlign w:val="center"/>
                </w:tcPr>
                <w:p w14:paraId="555109E9">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38.2</w:t>
                  </w:r>
                </w:p>
              </w:tc>
              <w:tc>
                <w:tcPr>
                  <w:tcW w:w="373" w:type="pct"/>
                  <w:tcBorders>
                    <w:tl2br w:val="nil"/>
                    <w:tr2bl w:val="nil"/>
                  </w:tcBorders>
                  <w:vAlign w:val="center"/>
                </w:tcPr>
                <w:p w14:paraId="05EF67B2">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1</w:t>
                  </w:r>
                </w:p>
              </w:tc>
            </w:tr>
            <w:tr w14:paraId="17BE88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213" w:type="pct"/>
                  <w:tcBorders>
                    <w:tl2br w:val="nil"/>
                    <w:tr2bl w:val="nil"/>
                  </w:tcBorders>
                  <w:vAlign w:val="center"/>
                </w:tcPr>
                <w:p w14:paraId="70D86D22">
                  <w:pPr>
                    <w:pStyle w:val="66"/>
                    <w:keepNext w:val="0"/>
                    <w:keepLines w:val="0"/>
                    <w:pageBreakBefore w:val="0"/>
                    <w:numPr>
                      <w:ilvl w:val="0"/>
                      <w:numId w:val="9"/>
                    </w:numPr>
                    <w:kinsoku/>
                    <w:wordWrap/>
                    <w:overflowPunct/>
                    <w:topLinePunct w:val="0"/>
                    <w:autoSpaceDE/>
                    <w:autoSpaceDN/>
                    <w:bidi w:val="0"/>
                    <w:adjustRightInd w:val="0"/>
                    <w:snapToGrid w:val="0"/>
                    <w:spacing w:line="240" w:lineRule="auto"/>
                    <w:ind w:left="240" w:leftChars="0" w:firstLine="0" w:firstLineChars="0"/>
                    <w:jc w:val="both"/>
                    <w:rPr>
                      <w:color w:val="auto"/>
                    </w:rPr>
                  </w:pPr>
                </w:p>
              </w:tc>
              <w:tc>
                <w:tcPr>
                  <w:tcW w:w="182" w:type="pct"/>
                  <w:vMerge w:val="continue"/>
                  <w:tcBorders>
                    <w:tl2br w:val="nil"/>
                    <w:tr2bl w:val="nil"/>
                  </w:tcBorders>
                  <w:vAlign w:val="center"/>
                </w:tcPr>
                <w:p w14:paraId="230EBE4F">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123" w:type="pct"/>
                  <w:tcBorders>
                    <w:tl2br w:val="nil"/>
                    <w:tr2bl w:val="nil"/>
                  </w:tcBorders>
                  <w:vAlign w:val="center"/>
                </w:tcPr>
                <w:p w14:paraId="5F0CFE8F">
                  <w:pPr>
                    <w:pStyle w:val="56"/>
                    <w:keepNext w:val="0"/>
                    <w:keepLines w:val="0"/>
                    <w:pageBreakBefore w:val="0"/>
                    <w:kinsoku/>
                    <w:wordWrap/>
                    <w:overflowPunct/>
                    <w:topLinePunct w:val="0"/>
                    <w:autoSpaceDE/>
                    <w:autoSpaceDN/>
                    <w:bidi w:val="0"/>
                    <w:adjustRightInd w:val="0"/>
                    <w:snapToGrid w:val="0"/>
                    <w:spacing w:line="240" w:lineRule="auto"/>
                    <w:ind w:left="0" w:firstLine="0" w:firstLineChars="0"/>
                    <w:rPr>
                      <w:rFonts w:hint="eastAsia" w:eastAsia="宋体"/>
                      <w:color w:val="auto"/>
                      <w:lang w:eastAsia="zh-CN"/>
                    </w:rPr>
                  </w:pPr>
                  <w:r>
                    <w:rPr>
                      <w:rFonts w:hint="eastAsia"/>
                      <w:lang w:val="en-US" w:eastAsia="zh-CN"/>
                    </w:rPr>
                    <w:t>2</w:t>
                  </w:r>
                </w:p>
              </w:tc>
              <w:tc>
                <w:tcPr>
                  <w:tcW w:w="498" w:type="pct"/>
                  <w:tcBorders>
                    <w:tl2br w:val="nil"/>
                    <w:tr2bl w:val="nil"/>
                  </w:tcBorders>
                  <w:shd w:val="clear" w:color="auto" w:fill="auto"/>
                  <w:vAlign w:val="center"/>
                </w:tcPr>
                <w:p w14:paraId="192553ED">
                  <w:pPr>
                    <w:pStyle w:val="56"/>
                    <w:keepNext w:val="0"/>
                    <w:keepLines w:val="0"/>
                    <w:pageBreakBefore w:val="0"/>
                    <w:kinsoku/>
                    <w:wordWrap/>
                    <w:overflowPunct/>
                    <w:topLinePunct w:val="0"/>
                    <w:autoSpaceDE/>
                    <w:autoSpaceDN/>
                    <w:bidi w:val="0"/>
                    <w:adjustRightInd w:val="0"/>
                    <w:snapToGrid w:val="0"/>
                    <w:spacing w:line="240" w:lineRule="auto"/>
                    <w:ind w:left="0" w:firstLine="0" w:firstLineChars="0"/>
                    <w:jc w:val="left"/>
                    <w:rPr>
                      <w:rFonts w:hint="default" w:ascii="Times New Roman" w:hAnsi="Times New Roman" w:eastAsia="宋体" w:cs="Times New Roman"/>
                      <w:b w:val="0"/>
                      <w:bCs/>
                      <w:color w:val="auto"/>
                      <w:kern w:val="0"/>
                      <w:sz w:val="21"/>
                      <w:szCs w:val="21"/>
                      <w:lang w:val="en-US" w:eastAsia="zh-CN" w:bidi="ar-SA"/>
                    </w:rPr>
                  </w:pPr>
                  <w:r>
                    <w:rPr>
                      <w:rFonts w:hint="eastAsia"/>
                      <w:lang w:val="en-US" w:eastAsia="zh-CN"/>
                    </w:rPr>
                    <w:t>自动化流水生产线</w:t>
                  </w:r>
                </w:p>
              </w:tc>
              <w:tc>
                <w:tcPr>
                  <w:tcW w:w="722" w:type="pct"/>
                  <w:tcBorders>
                    <w:tl2br w:val="nil"/>
                    <w:tr2bl w:val="nil"/>
                  </w:tcBorders>
                  <w:shd w:val="clear" w:color="auto" w:fill="auto"/>
                  <w:vAlign w:val="center"/>
                </w:tcPr>
                <w:p w14:paraId="2A110F8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PLD1200</w:t>
                  </w:r>
                </w:p>
              </w:tc>
              <w:tc>
                <w:tcPr>
                  <w:tcW w:w="550" w:type="pct"/>
                  <w:tcBorders>
                    <w:tl2br w:val="nil"/>
                    <w:tr2bl w:val="nil"/>
                  </w:tcBorders>
                  <w:vAlign w:val="center"/>
                </w:tcPr>
                <w:p w14:paraId="3A56A9C1">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rFonts w:hint="eastAsia"/>
                      <w:color w:val="auto"/>
                      <w:lang w:val="en-US" w:eastAsia="zh-CN"/>
                    </w:rPr>
                    <w:t>75</w:t>
                  </w:r>
                  <w:r>
                    <w:rPr>
                      <w:rFonts w:hint="eastAsia"/>
                      <w:color w:val="auto"/>
                    </w:rPr>
                    <w:t>/1</w:t>
                  </w:r>
                </w:p>
              </w:tc>
              <w:tc>
                <w:tcPr>
                  <w:tcW w:w="429" w:type="pct"/>
                  <w:vMerge w:val="continue"/>
                  <w:tcBorders>
                    <w:tl2br w:val="nil"/>
                    <w:tr2bl w:val="nil"/>
                  </w:tcBorders>
                  <w:vAlign w:val="center"/>
                </w:tcPr>
                <w:p w14:paraId="7636ED9F">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182" w:type="pct"/>
                  <w:tcBorders>
                    <w:tl2br w:val="nil"/>
                    <w:tr2bl w:val="nil"/>
                  </w:tcBorders>
                  <w:vAlign w:val="center"/>
                </w:tcPr>
                <w:p w14:paraId="53C14B6D">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eastAsia" w:eastAsia="宋体"/>
                      <w:color w:val="auto"/>
                      <w:lang w:eastAsia="zh-CN"/>
                    </w:rPr>
                  </w:pPr>
                  <w:r>
                    <w:rPr>
                      <w:rFonts w:hint="eastAsia"/>
                      <w:color w:val="auto"/>
                      <w:lang w:val="en-US" w:eastAsia="zh-CN"/>
                    </w:rPr>
                    <w:t>0</w:t>
                  </w:r>
                </w:p>
              </w:tc>
              <w:tc>
                <w:tcPr>
                  <w:tcW w:w="214" w:type="pct"/>
                  <w:tcBorders>
                    <w:tl2br w:val="nil"/>
                    <w:tr2bl w:val="nil"/>
                  </w:tcBorders>
                  <w:vAlign w:val="center"/>
                </w:tcPr>
                <w:p w14:paraId="031EB66E">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-35</w:t>
                  </w:r>
                </w:p>
              </w:tc>
              <w:tc>
                <w:tcPr>
                  <w:tcW w:w="199" w:type="pct"/>
                  <w:tcBorders>
                    <w:tl2br w:val="nil"/>
                    <w:tr2bl w:val="nil"/>
                  </w:tcBorders>
                  <w:vAlign w:val="center"/>
                </w:tcPr>
                <w:p w14:paraId="59CC483A">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color w:val="auto"/>
                      <w:lang w:val="en-US" w:eastAsia="zh-CN"/>
                    </w:rPr>
                  </w:pPr>
                  <w:r>
                    <w:rPr>
                      <w:rFonts w:hint="eastAsia"/>
                      <w:color w:val="auto"/>
                      <w:lang w:val="en-US" w:eastAsia="zh-CN"/>
                    </w:rPr>
                    <w:t>1</w:t>
                  </w:r>
                </w:p>
              </w:tc>
              <w:tc>
                <w:tcPr>
                  <w:tcW w:w="214" w:type="pct"/>
                  <w:tcBorders>
                    <w:tl2br w:val="nil"/>
                    <w:tr2bl w:val="nil"/>
                  </w:tcBorders>
                  <w:vAlign w:val="center"/>
                </w:tcPr>
                <w:p w14:paraId="607F4FB7">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30</w:t>
                  </w:r>
                </w:p>
              </w:tc>
              <w:tc>
                <w:tcPr>
                  <w:tcW w:w="218" w:type="pct"/>
                  <w:tcBorders>
                    <w:tl2br w:val="nil"/>
                    <w:tr2bl w:val="nil"/>
                  </w:tcBorders>
                  <w:vAlign w:val="center"/>
                </w:tcPr>
                <w:p w14:paraId="766BF39E">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48.5</w:t>
                  </w:r>
                </w:p>
              </w:tc>
              <w:tc>
                <w:tcPr>
                  <w:tcW w:w="376" w:type="pct"/>
                  <w:vMerge w:val="continue"/>
                  <w:tcBorders>
                    <w:tl2br w:val="nil"/>
                    <w:tr2bl w:val="nil"/>
                  </w:tcBorders>
                  <w:vAlign w:val="center"/>
                </w:tcPr>
                <w:p w14:paraId="4F9B7F45">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284" w:type="pct"/>
                  <w:tcBorders>
                    <w:tl2br w:val="nil"/>
                    <w:tr2bl w:val="nil"/>
                  </w:tcBorders>
                  <w:vAlign w:val="center"/>
                </w:tcPr>
                <w:p w14:paraId="048B2CC8">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25</w:t>
                  </w:r>
                </w:p>
              </w:tc>
              <w:tc>
                <w:tcPr>
                  <w:tcW w:w="218" w:type="pct"/>
                  <w:tcBorders>
                    <w:tl2br w:val="nil"/>
                    <w:tr2bl w:val="nil"/>
                  </w:tcBorders>
                  <w:vAlign w:val="center"/>
                </w:tcPr>
                <w:p w14:paraId="781E8BCC">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23.5</w:t>
                  </w:r>
                </w:p>
              </w:tc>
              <w:tc>
                <w:tcPr>
                  <w:tcW w:w="373" w:type="pct"/>
                  <w:tcBorders>
                    <w:tl2br w:val="nil"/>
                    <w:tr2bl w:val="nil"/>
                  </w:tcBorders>
                  <w:vAlign w:val="center"/>
                </w:tcPr>
                <w:p w14:paraId="49D1A9BF">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1</w:t>
                  </w:r>
                </w:p>
              </w:tc>
            </w:tr>
            <w:tr w14:paraId="16B542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213" w:type="pct"/>
                  <w:tcBorders>
                    <w:tl2br w:val="nil"/>
                    <w:tr2bl w:val="nil"/>
                  </w:tcBorders>
                  <w:vAlign w:val="center"/>
                </w:tcPr>
                <w:p w14:paraId="5D7E53E3">
                  <w:pPr>
                    <w:pStyle w:val="66"/>
                    <w:keepNext w:val="0"/>
                    <w:keepLines w:val="0"/>
                    <w:pageBreakBefore w:val="0"/>
                    <w:numPr>
                      <w:ilvl w:val="0"/>
                      <w:numId w:val="9"/>
                    </w:numPr>
                    <w:kinsoku/>
                    <w:wordWrap/>
                    <w:overflowPunct/>
                    <w:topLinePunct w:val="0"/>
                    <w:autoSpaceDE/>
                    <w:autoSpaceDN/>
                    <w:bidi w:val="0"/>
                    <w:adjustRightInd w:val="0"/>
                    <w:snapToGrid w:val="0"/>
                    <w:spacing w:line="240" w:lineRule="auto"/>
                    <w:ind w:left="240" w:leftChars="0" w:firstLine="0" w:firstLineChars="0"/>
                    <w:jc w:val="both"/>
                    <w:rPr>
                      <w:color w:val="FF0000"/>
                    </w:rPr>
                  </w:pPr>
                </w:p>
              </w:tc>
              <w:tc>
                <w:tcPr>
                  <w:tcW w:w="182" w:type="pct"/>
                  <w:vMerge w:val="continue"/>
                  <w:tcBorders>
                    <w:tl2br w:val="nil"/>
                    <w:tr2bl w:val="nil"/>
                  </w:tcBorders>
                  <w:vAlign w:val="center"/>
                </w:tcPr>
                <w:p w14:paraId="3EC91234">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FF0000"/>
                    </w:rPr>
                  </w:pPr>
                </w:p>
              </w:tc>
              <w:tc>
                <w:tcPr>
                  <w:tcW w:w="123" w:type="pct"/>
                  <w:tcBorders>
                    <w:tl2br w:val="nil"/>
                    <w:tr2bl w:val="nil"/>
                  </w:tcBorders>
                  <w:vAlign w:val="center"/>
                </w:tcPr>
                <w:p w14:paraId="2ACB0E5B">
                  <w:pPr>
                    <w:pStyle w:val="56"/>
                    <w:keepNext w:val="0"/>
                    <w:keepLines w:val="0"/>
                    <w:pageBreakBefore w:val="0"/>
                    <w:kinsoku/>
                    <w:wordWrap/>
                    <w:overflowPunct/>
                    <w:topLinePunct w:val="0"/>
                    <w:autoSpaceDE/>
                    <w:autoSpaceDN/>
                    <w:bidi w:val="0"/>
                    <w:adjustRightInd w:val="0"/>
                    <w:snapToGrid w:val="0"/>
                    <w:spacing w:line="240" w:lineRule="auto"/>
                    <w:ind w:left="0" w:firstLine="0" w:firstLineChars="0"/>
                    <w:rPr>
                      <w:rFonts w:hint="default"/>
                      <w:color w:val="FF0000"/>
                      <w:lang w:val="en-US" w:eastAsia="zh-CN"/>
                    </w:rPr>
                  </w:pPr>
                  <w:r>
                    <w:rPr>
                      <w:rFonts w:hint="eastAsia"/>
                      <w:color w:val="FF0000"/>
                      <w:lang w:val="en-US" w:eastAsia="zh-CN"/>
                    </w:rPr>
                    <w:t>2</w:t>
                  </w:r>
                </w:p>
              </w:tc>
              <w:tc>
                <w:tcPr>
                  <w:tcW w:w="498" w:type="pct"/>
                  <w:tcBorders>
                    <w:tl2br w:val="nil"/>
                    <w:tr2bl w:val="nil"/>
                  </w:tcBorders>
                  <w:shd w:val="clear" w:color="auto" w:fill="auto"/>
                  <w:vAlign w:val="center"/>
                </w:tcPr>
                <w:p w14:paraId="7CFDB507">
                  <w:pPr>
                    <w:pStyle w:val="56"/>
                    <w:keepNext w:val="0"/>
                    <w:keepLines w:val="0"/>
                    <w:pageBreakBefore w:val="0"/>
                    <w:kinsoku/>
                    <w:wordWrap/>
                    <w:overflowPunct/>
                    <w:topLinePunct w:val="0"/>
                    <w:autoSpaceDE/>
                    <w:autoSpaceDN/>
                    <w:bidi w:val="0"/>
                    <w:adjustRightInd w:val="0"/>
                    <w:snapToGrid w:val="0"/>
                    <w:spacing w:line="240" w:lineRule="auto"/>
                    <w:ind w:left="0" w:firstLine="0" w:firstLineChars="0"/>
                    <w:jc w:val="left"/>
                    <w:rPr>
                      <w:rFonts w:hint="default"/>
                      <w:color w:val="FF0000"/>
                      <w:lang w:val="en-US" w:eastAsia="zh-CN"/>
                    </w:rPr>
                  </w:pPr>
                  <w:r>
                    <w:rPr>
                      <w:rFonts w:hint="eastAsia"/>
                      <w:color w:val="FF0000"/>
                      <w:lang w:val="en-US" w:eastAsia="zh-CN"/>
                    </w:rPr>
                    <w:t>钢筋加工机</w:t>
                  </w:r>
                </w:p>
              </w:tc>
              <w:tc>
                <w:tcPr>
                  <w:tcW w:w="722" w:type="pct"/>
                  <w:tcBorders>
                    <w:tl2br w:val="nil"/>
                    <w:tr2bl w:val="nil"/>
                  </w:tcBorders>
                  <w:shd w:val="clear" w:color="auto" w:fill="auto"/>
                  <w:vAlign w:val="center"/>
                </w:tcPr>
                <w:p w14:paraId="7EB1516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w:t>
                  </w:r>
                </w:p>
              </w:tc>
              <w:tc>
                <w:tcPr>
                  <w:tcW w:w="550" w:type="pct"/>
                  <w:tcBorders>
                    <w:tl2br w:val="nil"/>
                    <w:tr2bl w:val="nil"/>
                  </w:tcBorders>
                  <w:vAlign w:val="center"/>
                </w:tcPr>
                <w:p w14:paraId="78A1AE92">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eastAsia"/>
                      <w:color w:val="FF0000"/>
                      <w:lang w:val="en-US" w:eastAsia="zh-CN"/>
                    </w:rPr>
                  </w:pPr>
                  <w:r>
                    <w:rPr>
                      <w:rFonts w:hint="eastAsia"/>
                      <w:color w:val="FF0000"/>
                      <w:lang w:val="en-US" w:eastAsia="zh-CN"/>
                    </w:rPr>
                    <w:t>70</w:t>
                  </w:r>
                  <w:r>
                    <w:rPr>
                      <w:rFonts w:hint="eastAsia"/>
                      <w:color w:val="FF0000"/>
                    </w:rPr>
                    <w:t>/1</w:t>
                  </w:r>
                </w:p>
              </w:tc>
              <w:tc>
                <w:tcPr>
                  <w:tcW w:w="429" w:type="pct"/>
                  <w:vMerge w:val="continue"/>
                  <w:tcBorders>
                    <w:tl2br w:val="nil"/>
                    <w:tr2bl w:val="nil"/>
                  </w:tcBorders>
                  <w:vAlign w:val="center"/>
                </w:tcPr>
                <w:p w14:paraId="351F436D">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FF0000"/>
                    </w:rPr>
                  </w:pPr>
                </w:p>
              </w:tc>
              <w:tc>
                <w:tcPr>
                  <w:tcW w:w="182" w:type="pct"/>
                  <w:tcBorders>
                    <w:tl2br w:val="nil"/>
                    <w:tr2bl w:val="nil"/>
                  </w:tcBorders>
                  <w:vAlign w:val="center"/>
                </w:tcPr>
                <w:p w14:paraId="5F90788F">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color w:val="FF0000"/>
                      <w:lang w:val="en-US" w:eastAsia="zh-CN"/>
                    </w:rPr>
                  </w:pPr>
                  <w:r>
                    <w:rPr>
                      <w:rFonts w:hint="eastAsia"/>
                      <w:color w:val="FF0000"/>
                      <w:lang w:val="en-US" w:eastAsia="zh-CN"/>
                    </w:rPr>
                    <w:t>80</w:t>
                  </w:r>
                </w:p>
              </w:tc>
              <w:tc>
                <w:tcPr>
                  <w:tcW w:w="214" w:type="pct"/>
                  <w:tcBorders>
                    <w:tl2br w:val="nil"/>
                    <w:tr2bl w:val="nil"/>
                  </w:tcBorders>
                  <w:vAlign w:val="center"/>
                </w:tcPr>
                <w:p w14:paraId="010251C9">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color w:val="FF0000"/>
                      <w:lang w:val="en-US" w:eastAsia="zh-CN"/>
                    </w:rPr>
                  </w:pPr>
                  <w:r>
                    <w:rPr>
                      <w:rFonts w:hint="eastAsia"/>
                      <w:color w:val="FF0000"/>
                      <w:lang w:val="en-US" w:eastAsia="zh-CN"/>
                    </w:rPr>
                    <w:t>-50</w:t>
                  </w:r>
                </w:p>
              </w:tc>
              <w:tc>
                <w:tcPr>
                  <w:tcW w:w="199" w:type="pct"/>
                  <w:tcBorders>
                    <w:tl2br w:val="nil"/>
                    <w:tr2bl w:val="nil"/>
                  </w:tcBorders>
                  <w:vAlign w:val="center"/>
                </w:tcPr>
                <w:p w14:paraId="1428BEBD">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color w:val="FF0000"/>
                      <w:lang w:val="en-US" w:eastAsia="zh-CN"/>
                    </w:rPr>
                  </w:pPr>
                  <w:r>
                    <w:rPr>
                      <w:rFonts w:hint="eastAsia"/>
                      <w:color w:val="FF0000"/>
                      <w:lang w:val="en-US" w:eastAsia="zh-CN"/>
                    </w:rPr>
                    <w:t>1</w:t>
                  </w:r>
                </w:p>
              </w:tc>
              <w:tc>
                <w:tcPr>
                  <w:tcW w:w="214" w:type="pct"/>
                  <w:tcBorders>
                    <w:tl2br w:val="nil"/>
                    <w:tr2bl w:val="nil"/>
                  </w:tcBorders>
                  <w:vAlign w:val="center"/>
                </w:tcPr>
                <w:p w14:paraId="36EE84C9">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color w:val="FF0000"/>
                      <w:lang w:val="en-US" w:eastAsia="zh-CN"/>
                    </w:rPr>
                  </w:pPr>
                  <w:r>
                    <w:rPr>
                      <w:rFonts w:hint="eastAsia"/>
                      <w:color w:val="FF0000"/>
                      <w:lang w:val="en-US" w:eastAsia="zh-CN"/>
                    </w:rPr>
                    <w:t>10</w:t>
                  </w:r>
                </w:p>
              </w:tc>
              <w:tc>
                <w:tcPr>
                  <w:tcW w:w="218" w:type="pct"/>
                  <w:tcBorders>
                    <w:tl2br w:val="nil"/>
                    <w:tr2bl w:val="nil"/>
                  </w:tcBorders>
                  <w:vAlign w:val="center"/>
                </w:tcPr>
                <w:p w14:paraId="71BE579A">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color w:val="FF0000"/>
                      <w:lang w:val="en-US" w:eastAsia="zh-CN"/>
                    </w:rPr>
                  </w:pPr>
                  <w:r>
                    <w:rPr>
                      <w:rFonts w:hint="eastAsia"/>
                      <w:color w:val="FF0000"/>
                      <w:lang w:val="en-US" w:eastAsia="zh-CN"/>
                    </w:rPr>
                    <w:t>53</w:t>
                  </w:r>
                </w:p>
              </w:tc>
              <w:tc>
                <w:tcPr>
                  <w:tcW w:w="376" w:type="pct"/>
                  <w:vMerge w:val="continue"/>
                  <w:tcBorders>
                    <w:tl2br w:val="nil"/>
                    <w:tr2bl w:val="nil"/>
                  </w:tcBorders>
                  <w:vAlign w:val="center"/>
                </w:tcPr>
                <w:p w14:paraId="2061F33F">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FF0000"/>
                    </w:rPr>
                  </w:pPr>
                </w:p>
              </w:tc>
              <w:tc>
                <w:tcPr>
                  <w:tcW w:w="284" w:type="pct"/>
                  <w:tcBorders>
                    <w:tl2br w:val="nil"/>
                    <w:tr2bl w:val="nil"/>
                  </w:tcBorders>
                  <w:vAlign w:val="center"/>
                </w:tcPr>
                <w:p w14:paraId="6A64456B">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FF0000"/>
                      <w:lang w:val="en-US" w:eastAsia="zh-CN"/>
                    </w:rPr>
                  </w:pPr>
                  <w:r>
                    <w:rPr>
                      <w:rFonts w:hint="eastAsia"/>
                      <w:color w:val="FF0000"/>
                      <w:lang w:val="en-US" w:eastAsia="zh-CN"/>
                    </w:rPr>
                    <w:t>25</w:t>
                  </w:r>
                </w:p>
              </w:tc>
              <w:tc>
                <w:tcPr>
                  <w:tcW w:w="218" w:type="pct"/>
                  <w:tcBorders>
                    <w:tl2br w:val="nil"/>
                    <w:tr2bl w:val="nil"/>
                  </w:tcBorders>
                  <w:vAlign w:val="center"/>
                </w:tcPr>
                <w:p w14:paraId="2ACF200F">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color w:val="FF0000"/>
                      <w:lang w:val="en-US" w:eastAsia="zh-CN"/>
                    </w:rPr>
                  </w:pPr>
                  <w:r>
                    <w:rPr>
                      <w:rFonts w:hint="eastAsia"/>
                      <w:color w:val="FF0000"/>
                      <w:lang w:val="en-US" w:eastAsia="zh-CN"/>
                    </w:rPr>
                    <w:t>28</w:t>
                  </w:r>
                </w:p>
              </w:tc>
              <w:tc>
                <w:tcPr>
                  <w:tcW w:w="373" w:type="pct"/>
                  <w:tcBorders>
                    <w:tl2br w:val="nil"/>
                    <w:tr2bl w:val="nil"/>
                  </w:tcBorders>
                  <w:vAlign w:val="center"/>
                </w:tcPr>
                <w:p w14:paraId="3B95B9FD">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eastAsia" w:eastAsia="宋体"/>
                      <w:color w:val="FF0000"/>
                      <w:lang w:val="en-US" w:eastAsia="zh-CN"/>
                    </w:rPr>
                  </w:pPr>
                  <w:r>
                    <w:rPr>
                      <w:rFonts w:hint="eastAsia"/>
                      <w:color w:val="FF0000"/>
                      <w:lang w:val="en-US" w:eastAsia="zh-CN"/>
                    </w:rPr>
                    <w:t>1</w:t>
                  </w:r>
                </w:p>
              </w:tc>
            </w:tr>
            <w:tr w14:paraId="59ECD2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213" w:type="pct"/>
                  <w:tcBorders>
                    <w:tl2br w:val="nil"/>
                    <w:tr2bl w:val="nil"/>
                  </w:tcBorders>
                  <w:vAlign w:val="center"/>
                </w:tcPr>
                <w:p w14:paraId="14CE3C27">
                  <w:pPr>
                    <w:pStyle w:val="66"/>
                    <w:keepNext w:val="0"/>
                    <w:keepLines w:val="0"/>
                    <w:pageBreakBefore w:val="0"/>
                    <w:numPr>
                      <w:ilvl w:val="0"/>
                      <w:numId w:val="9"/>
                    </w:numPr>
                    <w:kinsoku/>
                    <w:wordWrap/>
                    <w:overflowPunct/>
                    <w:topLinePunct w:val="0"/>
                    <w:autoSpaceDE/>
                    <w:autoSpaceDN/>
                    <w:bidi w:val="0"/>
                    <w:adjustRightInd w:val="0"/>
                    <w:snapToGrid w:val="0"/>
                    <w:spacing w:line="240" w:lineRule="auto"/>
                    <w:ind w:left="240" w:leftChars="0" w:firstLine="0" w:firstLineChars="0"/>
                    <w:jc w:val="both"/>
                    <w:rPr>
                      <w:color w:val="auto"/>
                    </w:rPr>
                  </w:pPr>
                </w:p>
              </w:tc>
              <w:tc>
                <w:tcPr>
                  <w:tcW w:w="182" w:type="pct"/>
                  <w:vMerge w:val="continue"/>
                  <w:tcBorders>
                    <w:tl2br w:val="nil"/>
                    <w:tr2bl w:val="nil"/>
                  </w:tcBorders>
                  <w:vAlign w:val="center"/>
                </w:tcPr>
                <w:p w14:paraId="6BB11E6A">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p>
              </w:tc>
              <w:tc>
                <w:tcPr>
                  <w:tcW w:w="123" w:type="pct"/>
                  <w:tcBorders>
                    <w:tl2br w:val="nil"/>
                    <w:tr2bl w:val="nil"/>
                  </w:tcBorders>
                  <w:vAlign w:val="center"/>
                </w:tcPr>
                <w:p w14:paraId="6444B841">
                  <w:pPr>
                    <w:pStyle w:val="56"/>
                    <w:keepNext w:val="0"/>
                    <w:keepLines w:val="0"/>
                    <w:pageBreakBefore w:val="0"/>
                    <w:kinsoku/>
                    <w:wordWrap/>
                    <w:overflowPunct/>
                    <w:topLinePunct w:val="0"/>
                    <w:autoSpaceDE/>
                    <w:autoSpaceDN/>
                    <w:bidi w:val="0"/>
                    <w:adjustRightInd w:val="0"/>
                    <w:snapToGrid w:val="0"/>
                    <w:spacing w:line="240" w:lineRule="auto"/>
                    <w:ind w:left="0" w:leftChars="0" w:firstLine="0" w:firstLineChars="0"/>
                    <w:rPr>
                      <w:rFonts w:hint="eastAsia"/>
                      <w:lang w:val="en-US" w:eastAsia="zh-CN"/>
                    </w:rPr>
                  </w:pPr>
                  <w:r>
                    <w:rPr>
                      <w:rFonts w:hint="eastAsia"/>
                      <w:lang w:val="en-US" w:eastAsia="zh-CN"/>
                    </w:rPr>
                    <w:t>2</w:t>
                  </w:r>
                </w:p>
              </w:tc>
              <w:tc>
                <w:tcPr>
                  <w:tcW w:w="498" w:type="pct"/>
                  <w:tcBorders>
                    <w:tl2br w:val="nil"/>
                    <w:tr2bl w:val="nil"/>
                  </w:tcBorders>
                  <w:shd w:val="clear" w:color="auto" w:fill="auto"/>
                  <w:vAlign w:val="center"/>
                </w:tcPr>
                <w:p w14:paraId="7E416410">
                  <w:pPr>
                    <w:pStyle w:val="56"/>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left"/>
                    <w:rPr>
                      <w:rFonts w:hint="eastAsia"/>
                      <w:lang w:val="en-US" w:eastAsia="zh-CN"/>
                    </w:rPr>
                  </w:pPr>
                  <w:r>
                    <w:rPr>
                      <w:rFonts w:hint="eastAsia"/>
                      <w:lang w:val="en-US" w:eastAsia="zh-CN"/>
                    </w:rPr>
                    <w:t>二氧化碳保焊机</w:t>
                  </w:r>
                </w:p>
              </w:tc>
              <w:tc>
                <w:tcPr>
                  <w:tcW w:w="722" w:type="pct"/>
                  <w:tcBorders>
                    <w:tl2br w:val="nil"/>
                    <w:tr2bl w:val="nil"/>
                  </w:tcBorders>
                  <w:shd w:val="clear" w:color="auto" w:fill="auto"/>
                  <w:vAlign w:val="center"/>
                </w:tcPr>
                <w:p w14:paraId="6B701052">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NB-500KR</w:t>
                  </w:r>
                </w:p>
              </w:tc>
              <w:tc>
                <w:tcPr>
                  <w:tcW w:w="550" w:type="pct"/>
                  <w:tcBorders>
                    <w:tl2br w:val="nil"/>
                    <w:tr2bl w:val="nil"/>
                  </w:tcBorders>
                  <w:vAlign w:val="center"/>
                </w:tcPr>
                <w:p w14:paraId="1353A8D7">
                  <w:pPr>
                    <w:pStyle w:val="66"/>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rPr>
                      <w:rFonts w:hint="eastAsia"/>
                      <w:color w:val="auto"/>
                      <w:lang w:val="en-US" w:eastAsia="zh-CN"/>
                    </w:rPr>
                  </w:pPr>
                  <w:r>
                    <w:rPr>
                      <w:rFonts w:hint="eastAsia"/>
                      <w:color w:val="auto"/>
                      <w:lang w:val="en-US" w:eastAsia="zh-CN"/>
                    </w:rPr>
                    <w:t>8</w:t>
                  </w:r>
                  <w:r>
                    <w:rPr>
                      <w:rFonts w:hint="eastAsia"/>
                      <w:color w:val="auto"/>
                    </w:rPr>
                    <w:t>0/1</w:t>
                  </w:r>
                </w:p>
              </w:tc>
              <w:tc>
                <w:tcPr>
                  <w:tcW w:w="429" w:type="pct"/>
                  <w:vMerge w:val="continue"/>
                  <w:tcBorders>
                    <w:tl2br w:val="nil"/>
                    <w:tr2bl w:val="nil"/>
                  </w:tcBorders>
                  <w:vAlign w:val="center"/>
                </w:tcPr>
                <w:p w14:paraId="5DBDF07B">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182" w:type="pct"/>
                  <w:tcBorders>
                    <w:tl2br w:val="nil"/>
                    <w:tr2bl w:val="nil"/>
                  </w:tcBorders>
                  <w:vAlign w:val="center"/>
                </w:tcPr>
                <w:p w14:paraId="4305E525">
                  <w:pPr>
                    <w:pStyle w:val="66"/>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rPr>
                      <w:rFonts w:hint="eastAsia"/>
                      <w:color w:val="auto"/>
                      <w:lang w:val="en-US" w:eastAsia="zh-CN"/>
                    </w:rPr>
                  </w:pPr>
                  <w:r>
                    <w:rPr>
                      <w:rFonts w:hint="eastAsia"/>
                      <w:color w:val="FF0000"/>
                      <w:lang w:val="en-US" w:eastAsia="zh-CN"/>
                    </w:rPr>
                    <w:t>80</w:t>
                  </w:r>
                </w:p>
              </w:tc>
              <w:tc>
                <w:tcPr>
                  <w:tcW w:w="214" w:type="pct"/>
                  <w:tcBorders>
                    <w:tl2br w:val="nil"/>
                    <w:tr2bl w:val="nil"/>
                  </w:tcBorders>
                  <w:vAlign w:val="center"/>
                </w:tcPr>
                <w:p w14:paraId="4E126273">
                  <w:pPr>
                    <w:pStyle w:val="66"/>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rPr>
                      <w:rFonts w:hint="eastAsia"/>
                      <w:color w:val="auto"/>
                      <w:lang w:val="en-US" w:eastAsia="zh-CN"/>
                    </w:rPr>
                  </w:pPr>
                  <w:r>
                    <w:rPr>
                      <w:rFonts w:hint="eastAsia"/>
                      <w:color w:val="FF0000"/>
                      <w:lang w:val="en-US" w:eastAsia="zh-CN"/>
                    </w:rPr>
                    <w:t>-50</w:t>
                  </w:r>
                </w:p>
              </w:tc>
              <w:tc>
                <w:tcPr>
                  <w:tcW w:w="199" w:type="pct"/>
                  <w:tcBorders>
                    <w:tl2br w:val="nil"/>
                    <w:tr2bl w:val="nil"/>
                  </w:tcBorders>
                  <w:vAlign w:val="center"/>
                </w:tcPr>
                <w:p w14:paraId="0E7E4C69">
                  <w:pPr>
                    <w:pStyle w:val="66"/>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rPr>
                      <w:rFonts w:hint="eastAsia"/>
                      <w:color w:val="auto"/>
                      <w:lang w:val="en-US" w:eastAsia="zh-CN"/>
                    </w:rPr>
                  </w:pPr>
                  <w:r>
                    <w:rPr>
                      <w:rFonts w:hint="eastAsia"/>
                      <w:color w:val="FF0000"/>
                      <w:lang w:val="en-US" w:eastAsia="zh-CN"/>
                    </w:rPr>
                    <w:t>1</w:t>
                  </w:r>
                </w:p>
              </w:tc>
              <w:tc>
                <w:tcPr>
                  <w:tcW w:w="214" w:type="pct"/>
                  <w:tcBorders>
                    <w:tl2br w:val="nil"/>
                    <w:tr2bl w:val="nil"/>
                  </w:tcBorders>
                  <w:vAlign w:val="center"/>
                </w:tcPr>
                <w:p w14:paraId="75F7C919">
                  <w:pPr>
                    <w:pStyle w:val="66"/>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rPr>
                      <w:rFonts w:hint="eastAsia"/>
                      <w:color w:val="auto"/>
                      <w:lang w:val="en-US" w:eastAsia="zh-CN"/>
                    </w:rPr>
                  </w:pPr>
                  <w:r>
                    <w:rPr>
                      <w:rFonts w:hint="eastAsia"/>
                      <w:color w:val="FF0000"/>
                      <w:lang w:val="en-US" w:eastAsia="zh-CN"/>
                    </w:rPr>
                    <w:t>10</w:t>
                  </w:r>
                </w:p>
              </w:tc>
              <w:tc>
                <w:tcPr>
                  <w:tcW w:w="218" w:type="pct"/>
                  <w:tcBorders>
                    <w:tl2br w:val="nil"/>
                    <w:tr2bl w:val="nil"/>
                  </w:tcBorders>
                  <w:vAlign w:val="center"/>
                </w:tcPr>
                <w:p w14:paraId="71B82FA7">
                  <w:pPr>
                    <w:pStyle w:val="66"/>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rPr>
                      <w:rFonts w:hint="eastAsia"/>
                      <w:color w:val="auto"/>
                      <w:lang w:val="en-US" w:eastAsia="zh-CN"/>
                    </w:rPr>
                  </w:pPr>
                  <w:r>
                    <w:rPr>
                      <w:rFonts w:hint="eastAsia"/>
                      <w:color w:val="auto"/>
                      <w:lang w:val="en-US" w:eastAsia="zh-CN"/>
                    </w:rPr>
                    <w:t>63</w:t>
                  </w:r>
                </w:p>
              </w:tc>
              <w:tc>
                <w:tcPr>
                  <w:tcW w:w="376" w:type="pct"/>
                  <w:vMerge w:val="continue"/>
                  <w:tcBorders>
                    <w:tl2br w:val="nil"/>
                    <w:tr2bl w:val="nil"/>
                  </w:tcBorders>
                  <w:vAlign w:val="center"/>
                </w:tcPr>
                <w:p w14:paraId="1B176231">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284" w:type="pct"/>
                  <w:tcBorders>
                    <w:tl2br w:val="nil"/>
                    <w:tr2bl w:val="nil"/>
                  </w:tcBorders>
                  <w:vAlign w:val="center"/>
                </w:tcPr>
                <w:p w14:paraId="3DEC0322">
                  <w:pPr>
                    <w:pStyle w:val="66"/>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rPr>
                      <w:color w:val="auto"/>
                    </w:rPr>
                  </w:pPr>
                  <w:r>
                    <w:rPr>
                      <w:color w:val="auto"/>
                    </w:rPr>
                    <w:t>25</w:t>
                  </w:r>
                </w:p>
              </w:tc>
              <w:tc>
                <w:tcPr>
                  <w:tcW w:w="218" w:type="pct"/>
                  <w:tcBorders>
                    <w:tl2br w:val="nil"/>
                    <w:tr2bl w:val="nil"/>
                  </w:tcBorders>
                  <w:vAlign w:val="center"/>
                </w:tcPr>
                <w:p w14:paraId="176AC098">
                  <w:pPr>
                    <w:pStyle w:val="66"/>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rPr>
                      <w:rFonts w:hint="default"/>
                      <w:color w:val="auto"/>
                      <w:lang w:val="en-US" w:eastAsia="zh-CN"/>
                    </w:rPr>
                  </w:pPr>
                  <w:r>
                    <w:rPr>
                      <w:rFonts w:hint="eastAsia"/>
                      <w:color w:val="auto"/>
                      <w:lang w:val="en-US" w:eastAsia="zh-CN"/>
                    </w:rPr>
                    <w:t>38</w:t>
                  </w:r>
                </w:p>
              </w:tc>
              <w:tc>
                <w:tcPr>
                  <w:tcW w:w="373" w:type="pct"/>
                  <w:tcBorders>
                    <w:tl2br w:val="nil"/>
                    <w:tr2bl w:val="nil"/>
                  </w:tcBorders>
                  <w:vAlign w:val="center"/>
                </w:tcPr>
                <w:p w14:paraId="143890B8">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rPr>
                      <w:color w:val="auto"/>
                    </w:rPr>
                  </w:pPr>
                  <w:r>
                    <w:rPr>
                      <w:color w:val="auto"/>
                    </w:rPr>
                    <w:t>1</w:t>
                  </w:r>
                </w:p>
              </w:tc>
            </w:tr>
            <w:tr w14:paraId="25938B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213" w:type="pct"/>
                  <w:tcBorders>
                    <w:tl2br w:val="nil"/>
                    <w:tr2bl w:val="nil"/>
                  </w:tcBorders>
                  <w:vAlign w:val="center"/>
                </w:tcPr>
                <w:p w14:paraId="49A5488E">
                  <w:pPr>
                    <w:pStyle w:val="66"/>
                    <w:keepNext w:val="0"/>
                    <w:keepLines w:val="0"/>
                    <w:pageBreakBefore w:val="0"/>
                    <w:numPr>
                      <w:ilvl w:val="0"/>
                      <w:numId w:val="9"/>
                    </w:numPr>
                    <w:kinsoku/>
                    <w:wordWrap/>
                    <w:overflowPunct/>
                    <w:topLinePunct w:val="0"/>
                    <w:autoSpaceDE/>
                    <w:autoSpaceDN/>
                    <w:bidi w:val="0"/>
                    <w:adjustRightInd w:val="0"/>
                    <w:snapToGrid w:val="0"/>
                    <w:spacing w:line="240" w:lineRule="auto"/>
                    <w:ind w:left="240" w:leftChars="0" w:firstLine="0" w:firstLineChars="0"/>
                    <w:jc w:val="both"/>
                    <w:rPr>
                      <w:color w:val="auto"/>
                    </w:rPr>
                  </w:pPr>
                </w:p>
              </w:tc>
              <w:tc>
                <w:tcPr>
                  <w:tcW w:w="182" w:type="pct"/>
                  <w:tcBorders>
                    <w:tl2br w:val="nil"/>
                    <w:tr2bl w:val="nil"/>
                  </w:tcBorders>
                  <w:vAlign w:val="center"/>
                </w:tcPr>
                <w:p w14:paraId="7A13251F">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1#车间</w:t>
                  </w:r>
                </w:p>
              </w:tc>
              <w:tc>
                <w:tcPr>
                  <w:tcW w:w="123" w:type="pct"/>
                  <w:tcBorders>
                    <w:tl2br w:val="nil"/>
                    <w:tr2bl w:val="nil"/>
                  </w:tcBorders>
                  <w:vAlign w:val="center"/>
                </w:tcPr>
                <w:p w14:paraId="45EFD650">
                  <w:pPr>
                    <w:pStyle w:val="56"/>
                    <w:keepNext w:val="0"/>
                    <w:keepLines w:val="0"/>
                    <w:pageBreakBefore w:val="0"/>
                    <w:kinsoku/>
                    <w:wordWrap/>
                    <w:overflowPunct/>
                    <w:topLinePunct w:val="0"/>
                    <w:autoSpaceDE/>
                    <w:autoSpaceDN/>
                    <w:bidi w:val="0"/>
                    <w:adjustRightInd w:val="0"/>
                    <w:snapToGrid w:val="0"/>
                    <w:spacing w:line="240" w:lineRule="auto"/>
                    <w:ind w:left="0" w:firstLine="0" w:firstLineChars="0"/>
                    <w:rPr>
                      <w:rFonts w:hint="eastAsia" w:eastAsia="宋体"/>
                      <w:lang w:eastAsia="zh-CN"/>
                    </w:rPr>
                  </w:pPr>
                  <w:r>
                    <w:rPr>
                      <w:rFonts w:hint="eastAsia"/>
                      <w:lang w:val="en-US" w:eastAsia="zh-CN"/>
                    </w:rPr>
                    <w:t>2</w:t>
                  </w:r>
                </w:p>
              </w:tc>
              <w:tc>
                <w:tcPr>
                  <w:tcW w:w="498" w:type="pct"/>
                  <w:tcBorders>
                    <w:tl2br w:val="nil"/>
                    <w:tr2bl w:val="nil"/>
                  </w:tcBorders>
                  <w:shd w:val="clear" w:color="auto" w:fill="auto"/>
                  <w:vAlign w:val="center"/>
                </w:tcPr>
                <w:p w14:paraId="58DCE2EC">
                  <w:pPr>
                    <w:pStyle w:val="56"/>
                    <w:keepNext w:val="0"/>
                    <w:keepLines w:val="0"/>
                    <w:pageBreakBefore w:val="0"/>
                    <w:kinsoku/>
                    <w:wordWrap/>
                    <w:overflowPunct/>
                    <w:topLinePunct w:val="0"/>
                    <w:autoSpaceDE/>
                    <w:autoSpaceDN/>
                    <w:bidi w:val="0"/>
                    <w:adjustRightInd w:val="0"/>
                    <w:snapToGrid w:val="0"/>
                    <w:spacing w:line="240" w:lineRule="auto"/>
                    <w:ind w:left="0" w:firstLine="0" w:firstLineChars="0"/>
                    <w:jc w:val="left"/>
                    <w:rPr>
                      <w:rFonts w:hint="eastAsia"/>
                      <w:lang w:val="en-US" w:eastAsia="zh-CN"/>
                    </w:rPr>
                  </w:pPr>
                  <w:r>
                    <w:rPr>
                      <w:rFonts w:hint="eastAsia"/>
                      <w:lang w:val="en-US" w:eastAsia="zh-CN"/>
                    </w:rPr>
                    <w:t>二氧化碳保焊机</w:t>
                  </w:r>
                </w:p>
              </w:tc>
              <w:tc>
                <w:tcPr>
                  <w:tcW w:w="722" w:type="pct"/>
                  <w:tcBorders>
                    <w:tl2br w:val="nil"/>
                    <w:tr2bl w:val="nil"/>
                  </w:tcBorders>
                  <w:shd w:val="clear" w:color="auto" w:fill="auto"/>
                  <w:vAlign w:val="center"/>
                </w:tcPr>
                <w:p w14:paraId="613228E5">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eastAsia"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NB-500KR</w:t>
                  </w:r>
                </w:p>
              </w:tc>
              <w:tc>
                <w:tcPr>
                  <w:tcW w:w="550" w:type="pct"/>
                  <w:tcBorders>
                    <w:tl2br w:val="nil"/>
                    <w:tr2bl w:val="nil"/>
                  </w:tcBorders>
                  <w:vAlign w:val="center"/>
                </w:tcPr>
                <w:p w14:paraId="6EF6986D">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eastAsia"/>
                      <w:color w:val="auto"/>
                    </w:rPr>
                  </w:pPr>
                  <w:r>
                    <w:rPr>
                      <w:rFonts w:hint="eastAsia"/>
                      <w:color w:val="auto"/>
                      <w:lang w:val="en-US" w:eastAsia="zh-CN"/>
                    </w:rPr>
                    <w:t>8</w:t>
                  </w:r>
                  <w:r>
                    <w:rPr>
                      <w:rFonts w:hint="eastAsia"/>
                      <w:color w:val="auto"/>
                    </w:rPr>
                    <w:t>0/1</w:t>
                  </w:r>
                </w:p>
              </w:tc>
              <w:tc>
                <w:tcPr>
                  <w:tcW w:w="429" w:type="pct"/>
                  <w:vMerge w:val="continue"/>
                  <w:tcBorders>
                    <w:tl2br w:val="nil"/>
                    <w:tr2bl w:val="nil"/>
                  </w:tcBorders>
                  <w:vAlign w:val="center"/>
                </w:tcPr>
                <w:p w14:paraId="2FFFB388">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182" w:type="pct"/>
                  <w:tcBorders>
                    <w:tl2br w:val="nil"/>
                    <w:tr2bl w:val="nil"/>
                  </w:tcBorders>
                  <w:vAlign w:val="center"/>
                </w:tcPr>
                <w:p w14:paraId="08DBBD6D">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0</w:t>
                  </w:r>
                </w:p>
              </w:tc>
              <w:tc>
                <w:tcPr>
                  <w:tcW w:w="214" w:type="pct"/>
                  <w:tcBorders>
                    <w:tl2br w:val="nil"/>
                    <w:tr2bl w:val="nil"/>
                  </w:tcBorders>
                  <w:vAlign w:val="center"/>
                </w:tcPr>
                <w:p w14:paraId="0A6F3BF8">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35</w:t>
                  </w:r>
                </w:p>
              </w:tc>
              <w:tc>
                <w:tcPr>
                  <w:tcW w:w="199" w:type="pct"/>
                  <w:tcBorders>
                    <w:tl2br w:val="nil"/>
                    <w:tr2bl w:val="nil"/>
                  </w:tcBorders>
                  <w:vAlign w:val="center"/>
                </w:tcPr>
                <w:p w14:paraId="5EA1B69A">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color w:val="auto"/>
                      <w:lang w:val="en-US" w:eastAsia="zh-CN"/>
                    </w:rPr>
                  </w:pPr>
                  <w:r>
                    <w:rPr>
                      <w:rFonts w:hint="eastAsia"/>
                      <w:color w:val="auto"/>
                      <w:lang w:val="en-US" w:eastAsia="zh-CN"/>
                    </w:rPr>
                    <w:t>1</w:t>
                  </w:r>
                </w:p>
              </w:tc>
              <w:tc>
                <w:tcPr>
                  <w:tcW w:w="214" w:type="pct"/>
                  <w:tcBorders>
                    <w:tl2br w:val="nil"/>
                    <w:tr2bl w:val="nil"/>
                  </w:tcBorders>
                  <w:vAlign w:val="center"/>
                </w:tcPr>
                <w:p w14:paraId="1D03CE14">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20</w:t>
                  </w:r>
                </w:p>
              </w:tc>
              <w:tc>
                <w:tcPr>
                  <w:tcW w:w="218" w:type="pct"/>
                  <w:tcBorders>
                    <w:tl2br w:val="nil"/>
                    <w:tr2bl w:val="nil"/>
                  </w:tcBorders>
                  <w:vAlign w:val="center"/>
                </w:tcPr>
                <w:p w14:paraId="314E593D">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57</w:t>
                  </w:r>
                </w:p>
              </w:tc>
              <w:tc>
                <w:tcPr>
                  <w:tcW w:w="376" w:type="pct"/>
                  <w:vMerge w:val="continue"/>
                  <w:tcBorders>
                    <w:tl2br w:val="nil"/>
                    <w:tr2bl w:val="nil"/>
                  </w:tcBorders>
                  <w:vAlign w:val="center"/>
                </w:tcPr>
                <w:p w14:paraId="77FAC3CB">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p>
              </w:tc>
              <w:tc>
                <w:tcPr>
                  <w:tcW w:w="284" w:type="pct"/>
                  <w:tcBorders>
                    <w:tl2br w:val="nil"/>
                    <w:tr2bl w:val="nil"/>
                  </w:tcBorders>
                  <w:vAlign w:val="center"/>
                </w:tcPr>
                <w:p w14:paraId="064BD05B">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25</w:t>
                  </w:r>
                </w:p>
              </w:tc>
              <w:tc>
                <w:tcPr>
                  <w:tcW w:w="218" w:type="pct"/>
                  <w:tcBorders>
                    <w:tl2br w:val="nil"/>
                    <w:tr2bl w:val="nil"/>
                  </w:tcBorders>
                  <w:vAlign w:val="center"/>
                </w:tcPr>
                <w:p w14:paraId="7E9914EC">
                  <w:pPr>
                    <w:pStyle w:val="66"/>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default" w:eastAsia="宋体"/>
                      <w:color w:val="auto"/>
                      <w:lang w:val="en-US" w:eastAsia="zh-CN"/>
                    </w:rPr>
                  </w:pPr>
                  <w:r>
                    <w:rPr>
                      <w:rFonts w:hint="eastAsia"/>
                      <w:color w:val="auto"/>
                      <w:lang w:val="en-US" w:eastAsia="zh-CN"/>
                    </w:rPr>
                    <w:t>32</w:t>
                  </w:r>
                </w:p>
              </w:tc>
              <w:tc>
                <w:tcPr>
                  <w:tcW w:w="373" w:type="pct"/>
                  <w:tcBorders>
                    <w:tl2br w:val="nil"/>
                    <w:tr2bl w:val="nil"/>
                  </w:tcBorders>
                  <w:vAlign w:val="center"/>
                </w:tcPr>
                <w:p w14:paraId="69EBA3FD">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color w:val="auto"/>
                    </w:rPr>
                  </w:pPr>
                  <w:r>
                    <w:rPr>
                      <w:color w:val="auto"/>
                    </w:rPr>
                    <w:t>1</w:t>
                  </w:r>
                </w:p>
              </w:tc>
            </w:tr>
            <w:tr w14:paraId="22E407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5000" w:type="pct"/>
                  <w:gridSpan w:val="16"/>
                  <w:tcBorders>
                    <w:tl2br w:val="nil"/>
                    <w:tr2bl w:val="nil"/>
                  </w:tcBorders>
                  <w:vAlign w:val="center"/>
                </w:tcPr>
                <w:p w14:paraId="1674C940">
                  <w:pPr>
                    <w:pStyle w:val="22"/>
                    <w:keepNext w:val="0"/>
                    <w:keepLines w:val="0"/>
                    <w:pageBreakBefore w:val="0"/>
                    <w:kinsoku/>
                    <w:wordWrap/>
                    <w:overflowPunct/>
                    <w:topLinePunct w:val="0"/>
                    <w:autoSpaceDE/>
                    <w:autoSpaceDN/>
                    <w:bidi w:val="0"/>
                    <w:adjustRightInd w:val="0"/>
                    <w:snapToGrid w:val="0"/>
                    <w:spacing w:line="240" w:lineRule="auto"/>
                    <w:ind w:left="0" w:firstLine="0" w:firstLineChars="0"/>
                    <w:jc w:val="left"/>
                    <w:rPr>
                      <w:color w:val="auto"/>
                    </w:rPr>
                  </w:pPr>
                  <w:r>
                    <w:rPr>
                      <w:rFonts w:hint="default" w:ascii="Times New Roman" w:hAnsi="Times New Roman" w:eastAsia="宋体" w:cs="Times New Roman"/>
                      <w:b w:val="0"/>
                      <w:color w:val="auto"/>
                      <w:sz w:val="21"/>
                      <w:szCs w:val="21"/>
                      <w:highlight w:val="none"/>
                      <w:lang w:val="en-US" w:eastAsia="zh-CN"/>
                    </w:rPr>
                    <w:t>注：取</w:t>
                  </w:r>
                  <w:r>
                    <w:rPr>
                      <w:rFonts w:hint="eastAsia" w:cs="Times New Roman"/>
                      <w:b w:val="0"/>
                      <w:color w:val="auto"/>
                      <w:sz w:val="21"/>
                      <w:szCs w:val="21"/>
                      <w:highlight w:val="none"/>
                      <w:lang w:val="en-US" w:eastAsia="zh-CN"/>
                    </w:rPr>
                    <w:t>厂房</w:t>
                  </w:r>
                  <w:r>
                    <w:rPr>
                      <w:rFonts w:hint="default" w:ascii="Times New Roman" w:hAnsi="Times New Roman" w:eastAsia="宋体" w:cs="Times New Roman"/>
                      <w:b w:val="0"/>
                      <w:color w:val="auto"/>
                      <w:sz w:val="21"/>
                      <w:szCs w:val="21"/>
                      <w:highlight w:val="none"/>
                      <w:lang w:val="en-US" w:eastAsia="zh-CN"/>
                    </w:rPr>
                    <w:t>中心（</w:t>
                  </w:r>
                  <w:r>
                    <w:rPr>
                      <w:rFonts w:hint="default" w:ascii="Times New Roman" w:hAnsi="Times New Roman" w:cs="Times New Roman"/>
                      <w:bCs/>
                      <w:snapToGrid w:val="0"/>
                      <w:color w:val="auto"/>
                      <w:spacing w:val="0"/>
                      <w:kern w:val="0"/>
                      <w:sz w:val="21"/>
                      <w:szCs w:val="21"/>
                    </w:rPr>
                    <w:t>E115°28′17.298″</w:t>
                  </w:r>
                  <w:r>
                    <w:rPr>
                      <w:rFonts w:hint="eastAsia" w:ascii="Times New Roman" w:hAnsi="Times New Roman" w:cs="Times New Roman"/>
                      <w:bCs/>
                      <w:snapToGrid w:val="0"/>
                      <w:color w:val="auto"/>
                      <w:spacing w:val="0"/>
                      <w:kern w:val="0"/>
                      <w:sz w:val="21"/>
                      <w:szCs w:val="21"/>
                      <w:lang w:eastAsia="zh-CN"/>
                    </w:rPr>
                    <w:t>，</w:t>
                  </w:r>
                  <w:r>
                    <w:rPr>
                      <w:rFonts w:hint="eastAsia" w:ascii="Times New Roman" w:hAnsi="Times New Roman" w:cs="Times New Roman"/>
                      <w:bCs/>
                      <w:snapToGrid w:val="0"/>
                      <w:color w:val="auto"/>
                      <w:spacing w:val="0"/>
                      <w:kern w:val="0"/>
                      <w:sz w:val="21"/>
                      <w:szCs w:val="21"/>
                      <w:lang w:val="en-US" w:eastAsia="zh-CN"/>
                    </w:rPr>
                    <w:t>N</w:t>
                  </w:r>
                  <w:r>
                    <w:rPr>
                      <w:rFonts w:hint="default" w:ascii="Times New Roman" w:hAnsi="Times New Roman" w:cs="Times New Roman"/>
                      <w:bCs/>
                      <w:snapToGrid w:val="0"/>
                      <w:color w:val="auto"/>
                      <w:spacing w:val="0"/>
                      <w:kern w:val="0"/>
                      <w:sz w:val="21"/>
                      <w:szCs w:val="21"/>
                    </w:rPr>
                    <w:t>28°29′5.80383″</w:t>
                  </w:r>
                  <w:r>
                    <w:rPr>
                      <w:rFonts w:hint="default" w:ascii="Times New Roman" w:hAnsi="Times New Roman" w:eastAsia="宋体" w:cs="Times New Roman"/>
                      <w:b w:val="0"/>
                      <w:color w:val="auto"/>
                      <w:sz w:val="21"/>
                      <w:szCs w:val="21"/>
                      <w:highlight w:val="none"/>
                      <w:lang w:val="en-US" w:eastAsia="zh-CN"/>
                    </w:rPr>
                    <w:t>）位置为（0,0）点，以正东方向为X轴，以正北方向为Y轴。</w:t>
                  </w:r>
                </w:p>
              </w:tc>
            </w:tr>
          </w:tbl>
          <w:p w14:paraId="79EB04DF">
            <w:pPr>
              <w:pStyle w:val="56"/>
              <w:numPr>
                <w:ilvl w:val="0"/>
                <w:numId w:val="0"/>
              </w:numPr>
              <w:tabs>
                <w:tab w:val="left" w:pos="0"/>
              </w:tabs>
              <w:bidi w:val="0"/>
              <w:ind w:leftChars="0"/>
              <w:jc w:val="center"/>
              <w:rPr>
                <w:b/>
                <w:bCs w:val="0"/>
              </w:rPr>
            </w:pPr>
            <w:r>
              <w:rPr>
                <w:rFonts w:hint="eastAsia"/>
                <w:b/>
                <w:bCs w:val="0"/>
                <w:lang w:val="en-US" w:eastAsia="zh-CN"/>
              </w:rPr>
              <w:t xml:space="preserve">表4-13 </w:t>
            </w:r>
            <w:r>
              <w:rPr>
                <w:rFonts w:hint="eastAsia"/>
                <w:b/>
                <w:bCs w:val="0"/>
              </w:rPr>
              <w:t>工业企业噪声源强调查清单（室外声源）</w:t>
            </w:r>
          </w:p>
          <w:tbl>
            <w:tblPr>
              <w:tblStyle w:val="41"/>
              <w:tblW w:w="4995" w:type="pct"/>
              <w:jc w:val="center"/>
              <w:tblBorders>
                <w:top w:val="single" w:color="auto" w:sz="6" w:space="0"/>
                <w:left w:val="none" w:color="auto" w:sz="0" w:space="0"/>
                <w:bottom w:val="single" w:color="auto" w:sz="6"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980"/>
              <w:gridCol w:w="1023"/>
              <w:gridCol w:w="1434"/>
              <w:gridCol w:w="710"/>
              <w:gridCol w:w="743"/>
              <w:gridCol w:w="754"/>
              <w:gridCol w:w="2066"/>
              <w:gridCol w:w="1339"/>
              <w:gridCol w:w="1149"/>
              <w:gridCol w:w="1707"/>
              <w:gridCol w:w="1000"/>
            </w:tblGrid>
            <w:tr w14:paraId="7ADB007C">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259" w:type="pct"/>
                  <w:vMerge w:val="restart"/>
                  <w:tcBorders>
                    <w:top w:val="single" w:color="000000" w:sz="12" w:space="0"/>
                    <w:bottom w:val="single" w:color="000000" w:sz="4" w:space="0"/>
                    <w:right w:val="single" w:color="000000" w:sz="6" w:space="0"/>
                    <w:tl2br w:val="nil"/>
                    <w:tr2bl w:val="nil"/>
                  </w:tcBorders>
                  <w:noWrap w:val="0"/>
                  <w:vAlign w:val="center"/>
                </w:tcPr>
                <w:p w14:paraId="2D8CCB3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360" w:type="pct"/>
                  <w:vMerge w:val="restart"/>
                  <w:tcBorders>
                    <w:top w:val="single" w:color="000000" w:sz="12" w:space="0"/>
                    <w:left w:val="single" w:color="000000" w:sz="6" w:space="0"/>
                    <w:right w:val="single" w:color="000000" w:sz="6" w:space="0"/>
                    <w:tl2br w:val="nil"/>
                    <w:tr2bl w:val="nil"/>
                  </w:tcBorders>
                  <w:noWrap w:val="0"/>
                  <w:vAlign w:val="center"/>
                </w:tcPr>
                <w:p w14:paraId="7A57A5B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区域</w:t>
                  </w:r>
                </w:p>
              </w:tc>
              <w:tc>
                <w:tcPr>
                  <w:tcW w:w="376" w:type="pct"/>
                  <w:vMerge w:val="restart"/>
                  <w:tcBorders>
                    <w:top w:val="single" w:color="000000" w:sz="12" w:space="0"/>
                    <w:left w:val="single" w:color="000000" w:sz="6" w:space="0"/>
                    <w:bottom w:val="single" w:color="000000" w:sz="4" w:space="0"/>
                    <w:right w:val="single" w:color="000000" w:sz="6" w:space="0"/>
                    <w:tl2br w:val="nil"/>
                    <w:tr2bl w:val="nil"/>
                  </w:tcBorders>
                  <w:noWrap w:val="0"/>
                  <w:vAlign w:val="center"/>
                </w:tcPr>
                <w:p w14:paraId="28C5E77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声源名称</w:t>
                  </w:r>
                </w:p>
              </w:tc>
              <w:tc>
                <w:tcPr>
                  <w:tcW w:w="527" w:type="pct"/>
                  <w:vMerge w:val="restart"/>
                  <w:tcBorders>
                    <w:top w:val="single" w:color="000000" w:sz="12" w:space="0"/>
                    <w:left w:val="single" w:color="000000" w:sz="6" w:space="0"/>
                    <w:bottom w:val="single" w:color="000000" w:sz="4" w:space="0"/>
                    <w:right w:val="single" w:color="000000" w:sz="6" w:space="0"/>
                    <w:tl2br w:val="nil"/>
                    <w:tr2bl w:val="nil"/>
                  </w:tcBorders>
                  <w:noWrap w:val="0"/>
                  <w:vAlign w:val="center"/>
                </w:tcPr>
                <w:p w14:paraId="430C40E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型号</w:t>
                  </w:r>
                </w:p>
              </w:tc>
              <w:tc>
                <w:tcPr>
                  <w:tcW w:w="811" w:type="pct"/>
                  <w:gridSpan w:val="3"/>
                  <w:tcBorders>
                    <w:top w:val="single" w:color="000000" w:sz="12" w:space="0"/>
                    <w:left w:val="single" w:color="000000" w:sz="6" w:space="0"/>
                    <w:bottom w:val="single" w:color="000000" w:sz="6" w:space="0"/>
                    <w:right w:val="single" w:color="000000" w:sz="6" w:space="0"/>
                    <w:tl2br w:val="nil"/>
                    <w:tr2bl w:val="nil"/>
                  </w:tcBorders>
                  <w:noWrap w:val="0"/>
                  <w:vAlign w:val="center"/>
                </w:tcPr>
                <w:p w14:paraId="502A8B4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空间相对位置/m</w:t>
                  </w:r>
                </w:p>
              </w:tc>
              <w:tc>
                <w:tcPr>
                  <w:tcW w:w="1251" w:type="pct"/>
                  <w:gridSpan w:val="2"/>
                  <w:tcBorders>
                    <w:top w:val="single" w:color="000000" w:sz="12" w:space="0"/>
                    <w:left w:val="single" w:color="000000" w:sz="6" w:space="0"/>
                    <w:bottom w:val="single" w:color="000000" w:sz="6" w:space="0"/>
                    <w:right w:val="single" w:color="000000" w:sz="6" w:space="0"/>
                    <w:tl2br w:val="nil"/>
                    <w:tr2bl w:val="nil"/>
                  </w:tcBorders>
                  <w:noWrap w:val="0"/>
                  <w:vAlign w:val="center"/>
                </w:tcPr>
                <w:p w14:paraId="32BC206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声源源强（任选一种）</w:t>
                  </w:r>
                </w:p>
              </w:tc>
              <w:tc>
                <w:tcPr>
                  <w:tcW w:w="422" w:type="pct"/>
                  <w:vMerge w:val="restart"/>
                  <w:tcBorders>
                    <w:top w:val="single" w:color="000000" w:sz="12" w:space="0"/>
                    <w:left w:val="single" w:color="000000" w:sz="6" w:space="0"/>
                    <w:bottom w:val="single" w:color="000000" w:sz="4" w:space="0"/>
                    <w:right w:val="single" w:color="000000" w:sz="6" w:space="0"/>
                    <w:tl2br w:val="nil"/>
                    <w:tr2bl w:val="nil"/>
                  </w:tcBorders>
                  <w:noWrap w:val="0"/>
                  <w:vAlign w:val="center"/>
                </w:tcPr>
                <w:p w14:paraId="08DF5F4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声源控制措施</w:t>
                  </w:r>
                </w:p>
              </w:tc>
              <w:tc>
                <w:tcPr>
                  <w:tcW w:w="627" w:type="pct"/>
                  <w:vMerge w:val="restart"/>
                  <w:tcBorders>
                    <w:top w:val="single" w:color="000000" w:sz="12" w:space="0"/>
                    <w:left w:val="single" w:color="000000" w:sz="6" w:space="0"/>
                    <w:tl2br w:val="nil"/>
                    <w:tr2bl w:val="nil"/>
                  </w:tcBorders>
                  <w:noWrap w:val="0"/>
                  <w:vAlign w:val="center"/>
                </w:tcPr>
                <w:p w14:paraId="5A95093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减振效果</w:t>
                  </w:r>
                </w:p>
              </w:tc>
              <w:tc>
                <w:tcPr>
                  <w:tcW w:w="363" w:type="pct"/>
                  <w:vMerge w:val="restart"/>
                  <w:tcBorders>
                    <w:top w:val="single" w:color="000000" w:sz="12" w:space="0"/>
                    <w:left w:val="single" w:color="000000" w:sz="6" w:space="0"/>
                    <w:bottom w:val="single" w:color="000000" w:sz="4" w:space="0"/>
                    <w:tl2br w:val="nil"/>
                    <w:tr2bl w:val="nil"/>
                  </w:tcBorders>
                  <w:noWrap w:val="0"/>
                  <w:vAlign w:val="center"/>
                </w:tcPr>
                <w:p w14:paraId="6D17CE4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运行时段</w:t>
                  </w:r>
                </w:p>
              </w:tc>
            </w:tr>
            <w:tr w14:paraId="67A99640">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59" w:type="pct"/>
                  <w:vMerge w:val="continue"/>
                  <w:tcBorders>
                    <w:top w:val="single" w:color="000000" w:sz="4" w:space="0"/>
                    <w:bottom w:val="single" w:color="000000" w:sz="6" w:space="0"/>
                    <w:right w:val="single" w:color="000000" w:sz="6" w:space="0"/>
                    <w:tl2br w:val="nil"/>
                    <w:tr2bl w:val="nil"/>
                  </w:tcBorders>
                  <w:noWrap w:val="0"/>
                  <w:vAlign w:val="center"/>
                </w:tcPr>
                <w:p w14:paraId="4410613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sz w:val="21"/>
                      <w:szCs w:val="21"/>
                      <w:highlight w:val="none"/>
                    </w:rPr>
                  </w:pPr>
                </w:p>
              </w:tc>
              <w:tc>
                <w:tcPr>
                  <w:tcW w:w="360" w:type="pct"/>
                  <w:vMerge w:val="continue"/>
                  <w:tcBorders>
                    <w:left w:val="single" w:color="000000" w:sz="6" w:space="0"/>
                    <w:bottom w:val="single" w:color="000000" w:sz="6" w:space="0"/>
                    <w:right w:val="single" w:color="000000" w:sz="6" w:space="0"/>
                    <w:tl2br w:val="nil"/>
                    <w:tr2bl w:val="nil"/>
                  </w:tcBorders>
                  <w:noWrap w:val="0"/>
                  <w:vAlign w:val="center"/>
                </w:tcPr>
                <w:p w14:paraId="7D72AF2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sz w:val="21"/>
                      <w:szCs w:val="21"/>
                      <w:highlight w:val="none"/>
                    </w:rPr>
                  </w:pPr>
                </w:p>
              </w:tc>
              <w:tc>
                <w:tcPr>
                  <w:tcW w:w="376" w:type="pct"/>
                  <w:vMerge w:val="continue"/>
                  <w:tcBorders>
                    <w:top w:val="single" w:color="000000" w:sz="4" w:space="0"/>
                    <w:left w:val="single" w:color="000000" w:sz="6" w:space="0"/>
                    <w:bottom w:val="single" w:color="000000" w:sz="6" w:space="0"/>
                    <w:right w:val="single" w:color="000000" w:sz="6" w:space="0"/>
                    <w:tl2br w:val="nil"/>
                    <w:tr2bl w:val="nil"/>
                  </w:tcBorders>
                  <w:noWrap w:val="0"/>
                  <w:vAlign w:val="center"/>
                </w:tcPr>
                <w:p w14:paraId="489A2A7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sz w:val="21"/>
                      <w:szCs w:val="21"/>
                      <w:highlight w:val="none"/>
                    </w:rPr>
                  </w:pPr>
                </w:p>
              </w:tc>
              <w:tc>
                <w:tcPr>
                  <w:tcW w:w="527" w:type="pct"/>
                  <w:vMerge w:val="continue"/>
                  <w:tcBorders>
                    <w:top w:val="single" w:color="000000" w:sz="4" w:space="0"/>
                    <w:left w:val="single" w:color="000000" w:sz="6" w:space="0"/>
                    <w:bottom w:val="single" w:color="000000" w:sz="6" w:space="0"/>
                    <w:right w:val="single" w:color="000000" w:sz="6" w:space="0"/>
                    <w:tl2br w:val="nil"/>
                    <w:tr2bl w:val="nil"/>
                  </w:tcBorders>
                  <w:noWrap w:val="0"/>
                  <w:vAlign w:val="center"/>
                </w:tcPr>
                <w:p w14:paraId="55410DC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sz w:val="21"/>
                      <w:szCs w:val="21"/>
                      <w:highlight w:val="none"/>
                    </w:rPr>
                  </w:pPr>
                </w:p>
              </w:tc>
              <w:tc>
                <w:tcPr>
                  <w:tcW w:w="261"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4CB4E82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X</w:t>
                  </w:r>
                </w:p>
              </w:tc>
              <w:tc>
                <w:tcPr>
                  <w:tcW w:w="273"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6670C7F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Y</w:t>
                  </w:r>
                </w:p>
              </w:tc>
              <w:tc>
                <w:tcPr>
                  <w:tcW w:w="277"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16EE87C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Z</w:t>
                  </w:r>
                </w:p>
              </w:tc>
              <w:tc>
                <w:tcPr>
                  <w:tcW w:w="759"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5E1CFC2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（声压级/距声源距离）/dB(A)/m）</w:t>
                  </w:r>
                </w:p>
              </w:tc>
              <w:tc>
                <w:tcPr>
                  <w:tcW w:w="492"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39E561C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声功率级/dB(A)</w:t>
                  </w:r>
                </w:p>
              </w:tc>
              <w:tc>
                <w:tcPr>
                  <w:tcW w:w="422" w:type="pct"/>
                  <w:vMerge w:val="continue"/>
                  <w:tcBorders>
                    <w:top w:val="single" w:color="000000" w:sz="4" w:space="0"/>
                    <w:left w:val="single" w:color="000000" w:sz="6" w:space="0"/>
                    <w:bottom w:val="single" w:color="000000" w:sz="6" w:space="0"/>
                    <w:right w:val="single" w:color="000000" w:sz="6" w:space="0"/>
                    <w:tl2br w:val="nil"/>
                    <w:tr2bl w:val="nil"/>
                  </w:tcBorders>
                  <w:noWrap w:val="0"/>
                  <w:vAlign w:val="center"/>
                </w:tcPr>
                <w:p w14:paraId="42EC340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sz w:val="21"/>
                      <w:szCs w:val="21"/>
                      <w:highlight w:val="none"/>
                    </w:rPr>
                  </w:pPr>
                </w:p>
              </w:tc>
              <w:tc>
                <w:tcPr>
                  <w:tcW w:w="627" w:type="pct"/>
                  <w:vMerge w:val="continue"/>
                  <w:tcBorders>
                    <w:left w:val="single" w:color="000000" w:sz="6" w:space="0"/>
                    <w:bottom w:val="single" w:color="000000" w:sz="6" w:space="0"/>
                    <w:tl2br w:val="nil"/>
                    <w:tr2bl w:val="nil"/>
                  </w:tcBorders>
                  <w:noWrap w:val="0"/>
                  <w:vAlign w:val="center"/>
                </w:tcPr>
                <w:p w14:paraId="63819DA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sz w:val="21"/>
                      <w:szCs w:val="21"/>
                      <w:highlight w:val="none"/>
                    </w:rPr>
                  </w:pPr>
                </w:p>
              </w:tc>
              <w:tc>
                <w:tcPr>
                  <w:tcW w:w="363" w:type="pct"/>
                  <w:vMerge w:val="continue"/>
                  <w:tcBorders>
                    <w:top w:val="single" w:color="000000" w:sz="4" w:space="0"/>
                    <w:left w:val="single" w:color="000000" w:sz="6" w:space="0"/>
                    <w:bottom w:val="single" w:color="000000" w:sz="6" w:space="0"/>
                    <w:tl2br w:val="nil"/>
                    <w:tr2bl w:val="nil"/>
                  </w:tcBorders>
                  <w:noWrap w:val="0"/>
                  <w:vAlign w:val="center"/>
                </w:tcPr>
                <w:p w14:paraId="322EDFC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sz w:val="21"/>
                      <w:szCs w:val="21"/>
                      <w:highlight w:val="none"/>
                    </w:rPr>
                  </w:pPr>
                </w:p>
              </w:tc>
            </w:tr>
            <w:tr w14:paraId="1BA34FF9">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259" w:type="pct"/>
                  <w:tcBorders>
                    <w:top w:val="single" w:color="000000" w:sz="6" w:space="0"/>
                    <w:bottom w:val="single" w:color="000000" w:sz="6" w:space="0"/>
                    <w:right w:val="single" w:color="000000" w:sz="6" w:space="0"/>
                    <w:tl2br w:val="nil"/>
                    <w:tr2bl w:val="nil"/>
                  </w:tcBorders>
                  <w:noWrap w:val="0"/>
                  <w:vAlign w:val="center"/>
                </w:tcPr>
                <w:p w14:paraId="05FF150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kern w:val="2"/>
                      <w:sz w:val="21"/>
                      <w:szCs w:val="21"/>
                      <w:highlight w:val="none"/>
                      <w:lang w:val="en-US" w:eastAsia="zh-CN" w:bidi="ar-SA"/>
                    </w:rPr>
                    <w:t>1</w:t>
                  </w:r>
                </w:p>
              </w:tc>
              <w:tc>
                <w:tcPr>
                  <w:tcW w:w="360" w:type="pct"/>
                  <w:tcBorders>
                    <w:top w:val="single" w:color="000000" w:sz="6" w:space="0"/>
                    <w:left w:val="single" w:color="000000" w:sz="6" w:space="0"/>
                    <w:right w:val="single" w:color="000000" w:sz="6" w:space="0"/>
                    <w:tl2br w:val="nil"/>
                    <w:tr2bl w:val="nil"/>
                  </w:tcBorders>
                  <w:noWrap w:val="0"/>
                  <w:vAlign w:val="center"/>
                </w:tcPr>
                <w:p w14:paraId="79A3D04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eastAsia" w:ascii="Times New Roman" w:hAnsi="Times New Roman" w:eastAsia="宋体" w:cs="Times New Roman"/>
                      <w:b w:val="0"/>
                      <w:color w:val="auto"/>
                      <w:kern w:val="2"/>
                      <w:sz w:val="21"/>
                      <w:szCs w:val="21"/>
                      <w:highlight w:val="none"/>
                      <w:lang w:val="en-US" w:eastAsia="zh-CN" w:bidi="ar-SA"/>
                    </w:rPr>
                    <w:t>2#车间西侧</w:t>
                  </w:r>
                </w:p>
              </w:tc>
              <w:tc>
                <w:tcPr>
                  <w:tcW w:w="376"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099B7B2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color w:val="auto"/>
                      <w:sz w:val="21"/>
                      <w:szCs w:val="18"/>
                      <w:highlight w:val="none"/>
                      <w:lang w:val="en-US" w:eastAsia="zh-CN"/>
                    </w:rPr>
                    <w:t>风机</w:t>
                  </w:r>
                </w:p>
              </w:tc>
              <w:tc>
                <w:tcPr>
                  <w:tcW w:w="527"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3C330E3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lang w:val="en-US" w:eastAsia="zh-CN"/>
                    </w:rPr>
                    <w:t>/</w:t>
                  </w:r>
                </w:p>
              </w:tc>
              <w:tc>
                <w:tcPr>
                  <w:tcW w:w="261"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5FEA3E0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-105</w:t>
                  </w:r>
                </w:p>
              </w:tc>
              <w:tc>
                <w:tcPr>
                  <w:tcW w:w="273"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33C6D9C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-5</w:t>
                  </w:r>
                </w:p>
              </w:tc>
              <w:tc>
                <w:tcPr>
                  <w:tcW w:w="277"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3DE580B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eastAsia" w:cs="Times New Roman"/>
                      <w:b w:val="0"/>
                      <w:color w:val="auto"/>
                      <w:sz w:val="21"/>
                      <w:szCs w:val="21"/>
                      <w:highlight w:val="none"/>
                      <w:lang w:val="en-US" w:eastAsia="zh-CN"/>
                    </w:rPr>
                    <w:t>1</w:t>
                  </w:r>
                </w:p>
              </w:tc>
              <w:tc>
                <w:tcPr>
                  <w:tcW w:w="759"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5EC91AD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w:t>
                  </w:r>
                </w:p>
              </w:tc>
              <w:tc>
                <w:tcPr>
                  <w:tcW w:w="492"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65D7C2F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eastAsia" w:cs="Times New Roman"/>
                      <w:b w:val="0"/>
                      <w:color w:val="auto"/>
                      <w:sz w:val="21"/>
                      <w:szCs w:val="21"/>
                      <w:highlight w:val="none"/>
                      <w:lang w:val="en-US" w:eastAsia="zh-CN"/>
                    </w:rPr>
                    <w:t>75</w:t>
                  </w:r>
                </w:p>
              </w:tc>
              <w:tc>
                <w:tcPr>
                  <w:tcW w:w="422"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0629574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sz w:val="21"/>
                      <w:szCs w:val="21"/>
                      <w:highlight w:val="none"/>
                      <w:lang w:eastAsia="zh-CN"/>
                    </w:rPr>
                  </w:pPr>
                  <w:r>
                    <w:rPr>
                      <w:rFonts w:hint="default" w:ascii="Times New Roman" w:hAnsi="Times New Roman" w:eastAsia="宋体" w:cs="Times New Roman"/>
                      <w:b w:val="0"/>
                      <w:color w:val="auto"/>
                      <w:sz w:val="21"/>
                      <w:szCs w:val="21"/>
                      <w:highlight w:val="none"/>
                      <w:lang w:eastAsia="zh-CN"/>
                    </w:rPr>
                    <w:t>减振</w:t>
                  </w:r>
                </w:p>
              </w:tc>
              <w:tc>
                <w:tcPr>
                  <w:tcW w:w="627" w:type="pct"/>
                  <w:tcBorders>
                    <w:top w:val="single" w:color="000000" w:sz="6" w:space="0"/>
                    <w:left w:val="single" w:color="000000" w:sz="6" w:space="0"/>
                    <w:bottom w:val="single" w:color="000000" w:sz="6" w:space="0"/>
                    <w:tl2br w:val="nil"/>
                    <w:tr2bl w:val="nil"/>
                  </w:tcBorders>
                  <w:noWrap w:val="0"/>
                  <w:vAlign w:val="center"/>
                </w:tcPr>
                <w:p w14:paraId="3E3AABC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eastAsia" w:cs="Times New Roman"/>
                      <w:b w:val="0"/>
                      <w:color w:val="auto"/>
                      <w:sz w:val="21"/>
                      <w:szCs w:val="21"/>
                      <w:highlight w:val="none"/>
                      <w:lang w:val="en-US" w:eastAsia="zh-CN"/>
                    </w:rPr>
                    <w:t>-15</w:t>
                  </w:r>
                  <w:r>
                    <w:rPr>
                      <w:rFonts w:hint="default" w:ascii="Times New Roman" w:hAnsi="Times New Roman" w:eastAsia="宋体" w:cs="Times New Roman"/>
                      <w:b w:val="0"/>
                      <w:color w:val="auto"/>
                      <w:sz w:val="21"/>
                      <w:szCs w:val="21"/>
                      <w:highlight w:val="none"/>
                    </w:rPr>
                    <w:t>dB(A)</w:t>
                  </w:r>
                </w:p>
              </w:tc>
              <w:tc>
                <w:tcPr>
                  <w:tcW w:w="363" w:type="pct"/>
                  <w:tcBorders>
                    <w:top w:val="single" w:color="000000" w:sz="6" w:space="0"/>
                    <w:left w:val="single" w:color="000000" w:sz="6" w:space="0"/>
                    <w:bottom w:val="single" w:color="000000" w:sz="6" w:space="0"/>
                    <w:tl2br w:val="nil"/>
                    <w:tr2bl w:val="nil"/>
                  </w:tcBorders>
                  <w:noWrap w:val="0"/>
                  <w:vAlign w:val="center"/>
                </w:tcPr>
                <w:p w14:paraId="7E3B935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val="0"/>
                      <w:color w:val="auto"/>
                      <w:sz w:val="21"/>
                      <w:szCs w:val="21"/>
                      <w:highlight w:val="none"/>
                      <w:lang w:eastAsia="zh-CN"/>
                    </w:rPr>
                  </w:pPr>
                  <w:r>
                    <w:rPr>
                      <w:rFonts w:hint="default" w:ascii="Times New Roman" w:hAnsi="Times New Roman" w:eastAsia="宋体" w:cs="Times New Roman"/>
                      <w:b w:val="0"/>
                      <w:color w:val="auto"/>
                      <w:sz w:val="21"/>
                      <w:szCs w:val="21"/>
                      <w:highlight w:val="none"/>
                      <w:lang w:val="en-US" w:eastAsia="zh-CN"/>
                    </w:rPr>
                    <w:t>间断</w:t>
                  </w:r>
                </w:p>
              </w:tc>
            </w:tr>
            <w:tr w14:paraId="0480604F">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00" w:type="pct"/>
                  <w:gridSpan w:val="12"/>
                  <w:tcBorders>
                    <w:top w:val="single" w:color="000000" w:sz="6" w:space="0"/>
                    <w:bottom w:val="single" w:color="000000" w:sz="12" w:space="0"/>
                    <w:tl2br w:val="nil"/>
                    <w:tr2bl w:val="nil"/>
                  </w:tcBorders>
                  <w:noWrap w:val="0"/>
                  <w:vAlign w:val="center"/>
                </w:tcPr>
                <w:p w14:paraId="01B5183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注：取</w:t>
                  </w:r>
                  <w:r>
                    <w:rPr>
                      <w:rFonts w:hint="eastAsia" w:cs="Times New Roman"/>
                      <w:b w:val="0"/>
                      <w:color w:val="auto"/>
                      <w:sz w:val="21"/>
                      <w:szCs w:val="21"/>
                      <w:highlight w:val="none"/>
                      <w:lang w:val="en-US" w:eastAsia="zh-CN"/>
                    </w:rPr>
                    <w:t>厂房</w:t>
                  </w:r>
                  <w:r>
                    <w:rPr>
                      <w:rFonts w:hint="default" w:ascii="Times New Roman" w:hAnsi="Times New Roman" w:eastAsia="宋体" w:cs="Times New Roman"/>
                      <w:b w:val="0"/>
                      <w:color w:val="auto"/>
                      <w:sz w:val="21"/>
                      <w:szCs w:val="21"/>
                      <w:highlight w:val="none"/>
                      <w:lang w:val="en-US" w:eastAsia="zh-CN"/>
                    </w:rPr>
                    <w:t>中心（</w:t>
                  </w:r>
                  <w:r>
                    <w:rPr>
                      <w:rFonts w:hint="default" w:ascii="Times New Roman" w:hAnsi="Times New Roman" w:cs="Times New Roman"/>
                      <w:bCs/>
                      <w:snapToGrid w:val="0"/>
                      <w:color w:val="auto"/>
                      <w:spacing w:val="0"/>
                      <w:kern w:val="0"/>
                      <w:sz w:val="21"/>
                      <w:szCs w:val="21"/>
                    </w:rPr>
                    <w:t>E115°28′17.298″</w:t>
                  </w:r>
                  <w:r>
                    <w:rPr>
                      <w:rFonts w:hint="eastAsia" w:ascii="Times New Roman" w:hAnsi="Times New Roman" w:cs="Times New Roman"/>
                      <w:bCs/>
                      <w:snapToGrid w:val="0"/>
                      <w:color w:val="auto"/>
                      <w:spacing w:val="0"/>
                      <w:kern w:val="0"/>
                      <w:sz w:val="21"/>
                      <w:szCs w:val="21"/>
                      <w:lang w:eastAsia="zh-CN"/>
                    </w:rPr>
                    <w:t>，</w:t>
                  </w:r>
                  <w:r>
                    <w:rPr>
                      <w:rFonts w:hint="eastAsia" w:ascii="Times New Roman" w:hAnsi="Times New Roman" w:cs="Times New Roman"/>
                      <w:bCs/>
                      <w:snapToGrid w:val="0"/>
                      <w:color w:val="auto"/>
                      <w:spacing w:val="0"/>
                      <w:kern w:val="0"/>
                      <w:sz w:val="21"/>
                      <w:szCs w:val="21"/>
                      <w:lang w:val="en-US" w:eastAsia="zh-CN"/>
                    </w:rPr>
                    <w:t>N</w:t>
                  </w:r>
                  <w:r>
                    <w:rPr>
                      <w:rFonts w:hint="default" w:ascii="Times New Roman" w:hAnsi="Times New Roman" w:cs="Times New Roman"/>
                      <w:bCs/>
                      <w:snapToGrid w:val="0"/>
                      <w:color w:val="auto"/>
                      <w:spacing w:val="0"/>
                      <w:kern w:val="0"/>
                      <w:sz w:val="21"/>
                      <w:szCs w:val="21"/>
                    </w:rPr>
                    <w:t>28°29′5.80383″</w:t>
                  </w:r>
                  <w:r>
                    <w:rPr>
                      <w:rFonts w:hint="default" w:ascii="Times New Roman" w:hAnsi="Times New Roman" w:eastAsia="宋体" w:cs="Times New Roman"/>
                      <w:b w:val="0"/>
                      <w:color w:val="auto"/>
                      <w:sz w:val="21"/>
                      <w:szCs w:val="21"/>
                      <w:highlight w:val="none"/>
                      <w:lang w:val="en-US" w:eastAsia="zh-CN"/>
                    </w:rPr>
                    <w:t>）位置为（0,0）点，以正东方向为X轴，以正北方向为Y轴。</w:t>
                  </w:r>
                </w:p>
              </w:tc>
            </w:tr>
          </w:tbl>
          <w:p w14:paraId="44EC51DD">
            <w:pPr>
              <w:pStyle w:val="6"/>
              <w:pageBreakBefore w:val="0"/>
              <w:numPr>
                <w:ilvl w:val="0"/>
                <w:numId w:val="0"/>
              </w:numPr>
              <w:kinsoku/>
              <w:wordWrap/>
              <w:overflowPunct/>
              <w:bidi w:val="0"/>
              <w:spacing w:line="360" w:lineRule="auto"/>
              <w:ind w:leftChars="200"/>
              <w:rPr>
                <w:rFonts w:hint="default" w:ascii="Times New Roman" w:hAnsi="Times New Roman" w:eastAsia="宋体" w:cs="Times New Roman"/>
                <w:b/>
                <w:bCs w:val="0"/>
                <w:color w:val="auto"/>
                <w:sz w:val="24"/>
                <w:szCs w:val="24"/>
                <w:highlight w:val="none"/>
              </w:rPr>
            </w:pPr>
            <w:r>
              <w:rPr>
                <w:rFonts w:hint="eastAsia" w:cs="Times New Roman"/>
                <w:b/>
                <w:bCs w:val="0"/>
                <w:color w:val="auto"/>
                <w:sz w:val="24"/>
                <w:szCs w:val="24"/>
                <w:highlight w:val="none"/>
                <w:lang w:val="en-US" w:eastAsia="zh-CN"/>
              </w:rPr>
              <w:t>2.</w:t>
            </w:r>
            <w:r>
              <w:rPr>
                <w:rFonts w:hint="default" w:ascii="Times New Roman" w:hAnsi="Times New Roman" w:eastAsia="宋体" w:cs="Times New Roman"/>
                <w:b/>
                <w:bCs w:val="0"/>
                <w:color w:val="auto"/>
                <w:sz w:val="24"/>
                <w:szCs w:val="24"/>
                <w:highlight w:val="none"/>
              </w:rPr>
              <w:t>预测模式选择</w:t>
            </w:r>
          </w:p>
          <w:p w14:paraId="72BEC462">
            <w:pPr>
              <w:pStyle w:val="168"/>
              <w:pageBreakBefore w:val="0"/>
              <w:kinsoku/>
              <w:wordWrap/>
              <w:overflowPunct/>
              <w:topLinePunct w:val="0"/>
              <w:autoSpaceDE/>
              <w:autoSpaceDN/>
              <w:bidi w:val="0"/>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本次噪声影响评价按《环境影响评价技术导则</w:t>
            </w:r>
            <w:r>
              <w:rPr>
                <w:rFonts w:hint="eastAsia" w:cs="Times New Roman"/>
                <w:color w:val="auto"/>
                <w:highlight w:val="none"/>
                <w:lang w:val="en-US" w:eastAsia="zh-CN"/>
              </w:rPr>
              <w:t xml:space="preserve"> </w:t>
            </w:r>
            <w:r>
              <w:rPr>
                <w:rFonts w:hint="default" w:ascii="Times New Roman" w:hAnsi="Times New Roman" w:eastAsia="宋体" w:cs="Times New Roman"/>
                <w:color w:val="auto"/>
                <w:highlight w:val="none"/>
              </w:rPr>
              <w:t>声环境》</w:t>
            </w:r>
            <w:r>
              <w:rPr>
                <w:rFonts w:hint="eastAsia" w:cs="Times New Roman"/>
                <w:color w:val="auto"/>
                <w:highlight w:val="none"/>
                <w:lang w:eastAsia="zh-CN"/>
              </w:rPr>
              <w:t>（</w:t>
            </w:r>
            <w:r>
              <w:rPr>
                <w:rFonts w:hint="default" w:ascii="Times New Roman" w:hAnsi="Times New Roman" w:eastAsia="宋体" w:cs="Times New Roman"/>
                <w:color w:val="auto"/>
                <w:highlight w:val="none"/>
              </w:rPr>
              <w:t>HJ2.4-2021</w:t>
            </w:r>
            <w:r>
              <w:rPr>
                <w:rFonts w:hint="eastAsia" w:cs="Times New Roman"/>
                <w:color w:val="auto"/>
                <w:highlight w:val="none"/>
                <w:lang w:eastAsia="zh-CN"/>
              </w:rPr>
              <w:t>）</w:t>
            </w:r>
            <w:r>
              <w:rPr>
                <w:rFonts w:hint="default" w:ascii="Times New Roman" w:hAnsi="Times New Roman" w:eastAsia="宋体" w:cs="Times New Roman"/>
                <w:color w:val="auto"/>
                <w:highlight w:val="none"/>
              </w:rPr>
              <w:t>要求概化为点声源衰减预测模式</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选用EIAN2.0噪声预测软件进行预测。具体</w:t>
            </w:r>
            <w:r>
              <w:rPr>
                <w:rFonts w:hint="default" w:ascii="Times New Roman" w:hAnsi="Times New Roman" w:eastAsia="宋体" w:cs="Times New Roman"/>
                <w:color w:val="auto"/>
                <w:highlight w:val="none"/>
              </w:rPr>
              <w:t>如下：</w:t>
            </w:r>
          </w:p>
          <w:p w14:paraId="39EF490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snapToGrid/>
                <w:color w:val="auto"/>
                <w:kern w:val="2"/>
                <w:sz w:val="24"/>
                <w:szCs w:val="24"/>
                <w:highlight w:val="none"/>
                <w:lang w:val="zh-CN" w:eastAsia="zh-CN" w:bidi="ar-SA"/>
              </w:rPr>
            </w:pPr>
            <w:r>
              <w:rPr>
                <w:rFonts w:hint="default" w:ascii="Times New Roman" w:hAnsi="Times New Roman" w:eastAsia="宋体" w:cs="Times New Roman"/>
                <w:b w:val="0"/>
                <w:bCs/>
                <w:snapToGrid/>
                <w:color w:val="auto"/>
                <w:kern w:val="2"/>
                <w:sz w:val="24"/>
                <w:szCs w:val="24"/>
                <w:highlight w:val="none"/>
                <w:lang w:val="en-US" w:eastAsia="zh-CN" w:bidi="ar-SA"/>
              </w:rPr>
              <w:t>A、</w:t>
            </w:r>
            <w:r>
              <w:rPr>
                <w:rFonts w:hint="default" w:ascii="Times New Roman" w:hAnsi="Times New Roman" w:eastAsia="宋体" w:cs="Times New Roman"/>
                <w:b w:val="0"/>
                <w:bCs/>
                <w:snapToGrid/>
                <w:color w:val="auto"/>
                <w:kern w:val="2"/>
                <w:sz w:val="24"/>
                <w:szCs w:val="24"/>
                <w:highlight w:val="none"/>
                <w:lang w:val="zh-CN" w:eastAsia="zh-CN" w:bidi="ar-SA"/>
              </w:rPr>
              <w:t>室内声源等效室外声源声功率</w:t>
            </w:r>
            <w:r>
              <w:rPr>
                <w:rFonts w:hint="default" w:ascii="Times New Roman" w:hAnsi="Times New Roman" w:eastAsia="宋体" w:cs="Times New Roman"/>
                <w:b w:val="0"/>
                <w:bCs/>
                <w:snapToGrid/>
                <w:color w:val="auto"/>
                <w:kern w:val="2"/>
                <w:sz w:val="24"/>
                <w:szCs w:val="24"/>
                <w:highlight w:val="none"/>
                <w:lang w:val="en-US" w:eastAsia="zh-CN" w:bidi="ar-SA"/>
              </w:rPr>
              <w:t>等</w:t>
            </w:r>
            <w:r>
              <w:rPr>
                <w:rFonts w:hint="default" w:ascii="Times New Roman" w:hAnsi="Times New Roman" w:eastAsia="宋体" w:cs="Times New Roman"/>
                <w:b w:val="0"/>
                <w:bCs/>
                <w:snapToGrid/>
                <w:color w:val="auto"/>
                <w:kern w:val="2"/>
                <w:sz w:val="24"/>
                <w:szCs w:val="24"/>
                <w:highlight w:val="none"/>
                <w:lang w:val="zh-CN" w:eastAsia="zh-CN" w:bidi="ar-SA"/>
              </w:rPr>
              <w:t>级计算</w:t>
            </w:r>
          </w:p>
          <w:p w14:paraId="26D29F5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bookmarkStart w:id="12" w:name="_Toc421261672"/>
            <w:bookmarkStart w:id="13" w:name="_Toc421261103"/>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p2</w:t>
            </w: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p1</w:t>
            </w:r>
            <w:r>
              <w:rPr>
                <w:rFonts w:hint="default" w:ascii="Times New Roman" w:hAnsi="Times New Roman" w:eastAsia="宋体" w:cs="Times New Roman"/>
                <w:color w:val="auto"/>
                <w:sz w:val="24"/>
                <w:szCs w:val="24"/>
                <w:highlight w:val="none"/>
              </w:rPr>
              <w:t>-(TL+6)</w:t>
            </w:r>
            <w:bookmarkEnd w:id="12"/>
            <w:bookmarkEnd w:id="13"/>
          </w:p>
          <w:p w14:paraId="681C0CD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式中：TL隔墙的隔声量，dB。</w:t>
            </w:r>
          </w:p>
          <w:p w14:paraId="3BACF41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position w:val="-28"/>
                <w:sz w:val="24"/>
                <w:szCs w:val="24"/>
                <w:highlight w:val="none"/>
              </w:rPr>
              <w:object>
                <v:shape id="_x0000_i1028" o:spt="75" type="#_x0000_t75" style="height:34.65pt;width:141.7pt;" o:ole="t" filled="f" o:preferrelative="t" stroked="f" coordsize="21600,21600">
                  <v:path/>
                  <v:fill on="f" focussize="0,0"/>
                  <v:stroke on="f"/>
                  <v:imagedata r:id="rId29" o:title=""/>
                  <o:lock v:ext="edit" aspectratio="t"/>
                  <w10:wrap type="none"/>
                  <w10:anchorlock/>
                </v:shape>
                <o:OLEObject Type="Embed" ProgID="Equations" ShapeID="_x0000_i1028" DrawAspect="Content" ObjectID="_1468075728" r:id="rId28">
                  <o:LockedField>false</o:LockedField>
                </o:OLEObject>
              </w:object>
            </w:r>
          </w:p>
          <w:p w14:paraId="114123D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color w:val="auto"/>
                <w:sz w:val="24"/>
                <w:szCs w:val="24"/>
                <w:highlight w:val="none"/>
                <w:vertAlign w:val="subscript"/>
              </w:rPr>
              <w:t>w</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声源的声功率</w:t>
            </w:r>
            <w:r>
              <w:rPr>
                <w:rFonts w:hint="default" w:ascii="Times New Roman" w:hAnsi="Times New Roman" w:eastAsia="宋体" w:cs="Times New Roman"/>
                <w:color w:val="auto"/>
                <w:sz w:val="24"/>
                <w:szCs w:val="24"/>
                <w:highlight w:val="none"/>
                <w:lang w:val="en-US" w:eastAsia="zh-CN"/>
              </w:rPr>
              <w:t>等</w:t>
            </w:r>
            <w:r>
              <w:rPr>
                <w:rFonts w:hint="default" w:ascii="Times New Roman" w:hAnsi="Times New Roman" w:eastAsia="宋体" w:cs="Times New Roman"/>
                <w:color w:val="auto"/>
                <w:sz w:val="24"/>
                <w:szCs w:val="24"/>
                <w:highlight w:val="none"/>
              </w:rPr>
              <w:t>级，dB；</w:t>
            </w:r>
            <w:r>
              <w:rPr>
                <w:rFonts w:hint="default" w:ascii="Times New Roman" w:hAnsi="Times New Roman" w:eastAsia="宋体" w:cs="Times New Roman"/>
                <w:i/>
                <w:color w:val="auto"/>
                <w:sz w:val="24"/>
                <w:szCs w:val="24"/>
                <w:highlight w:val="none"/>
              </w:rPr>
              <w:t>r</w:t>
            </w:r>
            <w:r>
              <w:rPr>
                <w:rFonts w:hint="eastAsia" w:cs="Times New Roman"/>
                <w:i/>
                <w:color w:val="auto"/>
                <w:sz w:val="24"/>
                <w:szCs w:val="24"/>
                <w:highlight w:val="none"/>
                <w:lang w:eastAsia="zh-CN"/>
              </w:rPr>
              <w:t>－</w:t>
            </w:r>
            <w:r>
              <w:rPr>
                <w:rFonts w:hint="default" w:ascii="Times New Roman" w:hAnsi="Times New Roman" w:eastAsia="宋体" w:cs="Times New Roman"/>
                <w:color w:val="auto"/>
                <w:sz w:val="24"/>
                <w:szCs w:val="24"/>
                <w:highlight w:val="none"/>
              </w:rPr>
              <w:t>离声源的距离，m；</w:t>
            </w:r>
            <w:r>
              <w:rPr>
                <w:rFonts w:hint="default" w:ascii="Times New Roman" w:hAnsi="Times New Roman" w:eastAsia="宋体" w:cs="Times New Roman"/>
                <w:i/>
                <w:color w:val="auto"/>
                <w:sz w:val="24"/>
                <w:szCs w:val="24"/>
                <w:highlight w:val="none"/>
              </w:rPr>
              <w:t>R</w:t>
            </w:r>
            <w:r>
              <w:rPr>
                <w:rFonts w:hint="eastAsia" w:cs="Times New Roman"/>
                <w:i/>
                <w:color w:val="auto"/>
                <w:sz w:val="24"/>
                <w:szCs w:val="24"/>
                <w:highlight w:val="none"/>
                <w:lang w:eastAsia="zh-CN"/>
              </w:rPr>
              <w:t>－</w:t>
            </w:r>
            <w:r>
              <w:rPr>
                <w:rFonts w:hint="default" w:ascii="Times New Roman" w:hAnsi="Times New Roman" w:eastAsia="宋体" w:cs="Times New Roman"/>
                <w:color w:val="auto"/>
                <w:sz w:val="24"/>
                <w:szCs w:val="24"/>
                <w:highlight w:val="none"/>
              </w:rPr>
              <w:t>房间常数，室内平均吸声系数；</w:t>
            </w:r>
            <w:r>
              <w:rPr>
                <w:rFonts w:hint="default" w:ascii="Times New Roman" w:hAnsi="Times New Roman" w:eastAsia="宋体" w:cs="Times New Roman"/>
                <w:i/>
                <w:color w:val="auto"/>
                <w:sz w:val="24"/>
                <w:szCs w:val="24"/>
                <w:highlight w:val="none"/>
              </w:rPr>
              <w:t>S</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室内总表面积，m；</w:t>
            </w:r>
            <w:r>
              <w:rPr>
                <w:rFonts w:hint="default" w:ascii="Times New Roman" w:hAnsi="Times New Roman" w:eastAsia="宋体" w:cs="Times New Roman"/>
                <w:i/>
                <w:color w:val="auto"/>
                <w:sz w:val="24"/>
                <w:szCs w:val="24"/>
                <w:highlight w:val="none"/>
              </w:rPr>
              <w:t>Q</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指向性因数，取值为1、2、4、8。</w:t>
            </w:r>
          </w:p>
          <w:p w14:paraId="6B70B8D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用下式计算出中心位置位于透声面积</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S</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处的等效室外声源的声功率</w:t>
            </w:r>
            <w:r>
              <w:rPr>
                <w:rFonts w:hint="default" w:ascii="Times New Roman" w:hAnsi="Times New Roman" w:eastAsia="宋体" w:cs="Times New Roman"/>
                <w:color w:val="auto"/>
                <w:sz w:val="24"/>
                <w:szCs w:val="24"/>
                <w:highlight w:val="none"/>
                <w:lang w:val="en-US" w:eastAsia="zh-CN"/>
              </w:rPr>
              <w:t>等</w:t>
            </w:r>
            <w:r>
              <w:rPr>
                <w:rFonts w:hint="default" w:ascii="Times New Roman" w:hAnsi="Times New Roman" w:eastAsia="宋体" w:cs="Times New Roman"/>
                <w:color w:val="auto"/>
                <w:sz w:val="24"/>
                <w:szCs w:val="24"/>
                <w:highlight w:val="none"/>
              </w:rPr>
              <w:t>级。</w:t>
            </w:r>
          </w:p>
          <w:p w14:paraId="50713CC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object>
                <v:shape id="_x0000_i1029" o:spt="75" type="#_x0000_t75" style="height:18.1pt;width:111.65pt;" o:ole="t" filled="f" o:preferrelative="t" stroked="f" coordsize="21600,21600">
                  <v:path/>
                  <v:fill on="f" focussize="0,0"/>
                  <v:stroke on="f"/>
                  <v:imagedata r:id="rId31" o:title=""/>
                  <o:lock v:ext="edit" aspectratio="t"/>
                  <w10:wrap type="none"/>
                  <w10:anchorlock/>
                </v:shape>
                <o:OLEObject Type="Embed" ProgID="Equations" ShapeID="_x0000_i1029" DrawAspect="Content" ObjectID="_1468075729" r:id="rId30">
                  <o:LockedField>false</o:LockedField>
                </o:OLEObject>
              </w:object>
            </w:r>
          </w:p>
          <w:p w14:paraId="30344C3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z w:val="24"/>
                <w:szCs w:val="24"/>
                <w:highlight w:val="none"/>
                <w:lang w:val="zh-CN"/>
              </w:rPr>
            </w:pPr>
            <w:r>
              <w:rPr>
                <w:rFonts w:hint="default" w:ascii="Times New Roman" w:hAnsi="Times New Roman" w:eastAsia="宋体" w:cs="Times New Roman"/>
                <w:bCs/>
                <w:color w:val="auto"/>
                <w:sz w:val="24"/>
                <w:szCs w:val="24"/>
                <w:highlight w:val="none"/>
                <w:lang w:val="en-US" w:eastAsia="zh-CN"/>
              </w:rPr>
              <w:t>B</w:t>
            </w:r>
            <w:r>
              <w:rPr>
                <w:rFonts w:hint="eastAsia"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lang w:val="zh-CN"/>
              </w:rPr>
              <w:t>单个室外的点声源在预测点产生的声压级的预测（只考虑距离的衰减）</w:t>
            </w:r>
          </w:p>
          <w:p w14:paraId="26E4CDC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bookmarkStart w:id="14" w:name="_Toc421261673"/>
            <w:bookmarkStart w:id="15" w:name="_Toc421261104"/>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w:t>
            </w: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w</w:t>
            </w:r>
            <w:r>
              <w:rPr>
                <w:rFonts w:hint="default" w:ascii="Times New Roman" w:hAnsi="Times New Roman" w:eastAsia="宋体" w:cs="Times New Roman"/>
                <w:color w:val="auto"/>
                <w:sz w:val="24"/>
                <w:szCs w:val="24"/>
                <w:highlight w:val="none"/>
              </w:rPr>
              <w:t>-A</w:t>
            </w:r>
            <w:r>
              <w:rPr>
                <w:rFonts w:hint="default" w:ascii="Times New Roman" w:hAnsi="Times New Roman" w:eastAsia="宋体" w:cs="Times New Roman"/>
                <w:color w:val="auto"/>
                <w:sz w:val="24"/>
                <w:szCs w:val="24"/>
                <w:highlight w:val="none"/>
                <w:vertAlign w:val="subscript"/>
              </w:rPr>
              <w:t>d</w:t>
            </w:r>
            <w:r>
              <w:rPr>
                <w:rFonts w:hint="default" w:ascii="Times New Roman" w:hAnsi="Times New Roman" w:eastAsia="宋体" w:cs="Times New Roman"/>
                <w:color w:val="auto"/>
                <w:sz w:val="24"/>
                <w:szCs w:val="24"/>
                <w:highlight w:val="none"/>
              </w:rPr>
              <w:t>+D</w:t>
            </w:r>
            <w:r>
              <w:rPr>
                <w:rFonts w:hint="default" w:ascii="Times New Roman" w:hAnsi="Times New Roman" w:eastAsia="宋体" w:cs="Times New Roman"/>
                <w:color w:val="auto"/>
                <w:sz w:val="24"/>
                <w:szCs w:val="24"/>
                <w:highlight w:val="none"/>
                <w:vertAlign w:val="subscript"/>
              </w:rPr>
              <w:t>c</w:t>
            </w:r>
            <w:bookmarkEnd w:id="14"/>
            <w:bookmarkEnd w:id="15"/>
          </w:p>
          <w:p w14:paraId="00BFEFA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i/>
                <w:color w:val="auto"/>
                <w:sz w:val="24"/>
                <w:szCs w:val="24"/>
                <w:highlight w:val="none"/>
              </w:rPr>
              <w:t>D</w:t>
            </w:r>
            <w:r>
              <w:rPr>
                <w:rFonts w:hint="default" w:ascii="Times New Roman" w:hAnsi="Times New Roman" w:eastAsia="宋体" w:cs="Times New Roman"/>
                <w:color w:val="auto"/>
                <w:sz w:val="24"/>
                <w:szCs w:val="24"/>
                <w:highlight w:val="none"/>
                <w:vertAlign w:val="subscript"/>
              </w:rPr>
              <w:t>C</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指向性指数，dB(A</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i/>
                <w:color w:val="auto"/>
                <w:sz w:val="24"/>
                <w:szCs w:val="24"/>
                <w:highlight w:val="none"/>
              </w:rPr>
              <w:t>A</w:t>
            </w:r>
            <w:r>
              <w:rPr>
                <w:rFonts w:hint="default" w:ascii="Times New Roman" w:hAnsi="Times New Roman" w:eastAsia="宋体" w:cs="Times New Roman"/>
                <w:color w:val="auto"/>
                <w:sz w:val="24"/>
                <w:szCs w:val="24"/>
                <w:highlight w:val="none"/>
                <w:vertAlign w:val="subscript"/>
              </w:rPr>
              <w:t>d</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几何发散引起的衰减，dB(A</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eastAsia="zh-CN"/>
              </w:rPr>
              <w:t>。</w:t>
            </w:r>
          </w:p>
          <w:p w14:paraId="32635F6C">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bCs/>
                <w:color w:val="auto"/>
                <w:sz w:val="24"/>
                <w:szCs w:val="24"/>
                <w:highlight w:val="none"/>
                <w:lang w:val="zh-CN"/>
              </w:rPr>
            </w:pPr>
            <w:r>
              <w:rPr>
                <w:rFonts w:hint="default" w:ascii="Times New Roman" w:hAnsi="Times New Roman" w:eastAsia="宋体" w:cs="Times New Roman"/>
                <w:bCs/>
                <w:color w:val="auto"/>
                <w:sz w:val="24"/>
                <w:szCs w:val="24"/>
                <w:highlight w:val="none"/>
                <w:lang w:val="en-US" w:eastAsia="zh-CN"/>
              </w:rPr>
              <w:t>C</w:t>
            </w:r>
            <w:r>
              <w:rPr>
                <w:rFonts w:hint="eastAsia"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lang w:val="zh-CN"/>
              </w:rPr>
              <w:t>声级的计算</w:t>
            </w:r>
          </w:p>
          <w:p w14:paraId="645F7A2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bookmarkStart w:id="16" w:name="_Toc421261674"/>
            <w:bookmarkStart w:id="17" w:name="_Toc421261105"/>
            <w:r>
              <w:rPr>
                <w:rFonts w:hint="eastAsia"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建设项目声源在预测点产生的等效声级贡献值：</w:t>
            </w:r>
            <w:bookmarkEnd w:id="16"/>
            <w:bookmarkEnd w:id="17"/>
          </w:p>
          <w:p w14:paraId="09EB028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object>
                <v:shape id="_x0000_i1030" o:spt="75" type="#_x0000_t75" style="height:39.65pt;width:134.35pt;" o:ole="t" filled="f" o:preferrelative="t" stroked="f" coordsize="21600,21600">
                  <v:path/>
                  <v:fill on="f" focussize="0,0"/>
                  <v:stroke on="f"/>
                  <v:imagedata r:id="rId33" o:title=""/>
                  <o:lock v:ext="edit" aspectratio="t"/>
                  <w10:wrap type="none"/>
                  <w10:anchorlock/>
                </v:shape>
                <o:OLEObject Type="Embed" ProgID="Equations" ShapeID="_x0000_i1030" DrawAspect="Content" ObjectID="_1468075730" r:id="rId32">
                  <o:LockedField>false</o:LockedField>
                </o:OLEObject>
              </w:object>
            </w:r>
          </w:p>
          <w:p w14:paraId="1C847BD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i/>
                <w:color w:val="auto"/>
                <w:sz w:val="24"/>
                <w:szCs w:val="24"/>
                <w:highlight w:val="none"/>
                <w:vertAlign w:val="subscript"/>
              </w:rPr>
              <w:t>eqg</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建设项目声源在预测点的等效声级贡献值，dB(A</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color w:val="auto"/>
                <w:sz w:val="24"/>
                <w:szCs w:val="24"/>
                <w:highlight w:val="none"/>
                <w:vertAlign w:val="subscript"/>
              </w:rPr>
              <w:t>Ai</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i/>
                <w:color w:val="auto"/>
                <w:sz w:val="24"/>
                <w:szCs w:val="24"/>
                <w:highlight w:val="none"/>
              </w:rPr>
              <w:t>i</w:t>
            </w:r>
            <w:r>
              <w:rPr>
                <w:rFonts w:hint="default" w:ascii="Times New Roman" w:hAnsi="Times New Roman" w:eastAsia="宋体" w:cs="Times New Roman"/>
                <w:color w:val="auto"/>
                <w:sz w:val="24"/>
                <w:szCs w:val="24"/>
                <w:highlight w:val="none"/>
              </w:rPr>
              <w:t>声源在预测点产生的A声级，dB(A</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i/>
                <w:color w:val="auto"/>
                <w:sz w:val="24"/>
                <w:szCs w:val="24"/>
                <w:highlight w:val="none"/>
              </w:rPr>
              <w:t>T</w:t>
            </w:r>
            <w:r>
              <w:rPr>
                <w:rFonts w:hint="eastAsia" w:cs="Times New Roman"/>
                <w:i/>
                <w:color w:val="auto"/>
                <w:sz w:val="24"/>
                <w:szCs w:val="24"/>
                <w:highlight w:val="none"/>
                <w:lang w:eastAsia="zh-CN"/>
              </w:rPr>
              <w:t>－</w:t>
            </w:r>
            <w:r>
              <w:rPr>
                <w:rFonts w:hint="default" w:ascii="Times New Roman" w:hAnsi="Times New Roman" w:eastAsia="宋体" w:cs="Times New Roman"/>
                <w:color w:val="auto"/>
                <w:sz w:val="24"/>
                <w:szCs w:val="24"/>
                <w:highlight w:val="none"/>
              </w:rPr>
              <w:t>预测计算的时间段，S；</w:t>
            </w:r>
            <w:r>
              <w:rPr>
                <w:rFonts w:hint="default" w:ascii="Times New Roman" w:hAnsi="Times New Roman" w:eastAsia="宋体" w:cs="Times New Roman"/>
                <w:i/>
                <w:color w:val="auto"/>
                <w:sz w:val="24"/>
                <w:szCs w:val="24"/>
                <w:highlight w:val="none"/>
              </w:rPr>
              <w:t>T</w:t>
            </w:r>
            <w:r>
              <w:rPr>
                <w:rFonts w:hint="default" w:ascii="Times New Roman" w:hAnsi="Times New Roman" w:eastAsia="宋体" w:cs="Times New Roman"/>
                <w:i/>
                <w:color w:val="auto"/>
                <w:sz w:val="24"/>
                <w:szCs w:val="24"/>
                <w:highlight w:val="none"/>
                <w:vertAlign w:val="subscript"/>
              </w:rPr>
              <w:t>i</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i/>
                <w:color w:val="auto"/>
                <w:sz w:val="24"/>
                <w:szCs w:val="24"/>
                <w:highlight w:val="none"/>
              </w:rPr>
              <w:t>i</w:t>
            </w:r>
            <w:r>
              <w:rPr>
                <w:rFonts w:hint="default" w:ascii="Times New Roman" w:hAnsi="Times New Roman" w:eastAsia="宋体" w:cs="Times New Roman"/>
                <w:color w:val="auto"/>
                <w:sz w:val="24"/>
                <w:szCs w:val="24"/>
                <w:highlight w:val="none"/>
              </w:rPr>
              <w:t>声源在</w:t>
            </w:r>
            <w:r>
              <w:rPr>
                <w:rFonts w:hint="default" w:ascii="Times New Roman" w:hAnsi="Times New Roman" w:eastAsia="宋体" w:cs="Times New Roman"/>
                <w:i/>
                <w:color w:val="auto"/>
                <w:sz w:val="24"/>
                <w:szCs w:val="24"/>
                <w:highlight w:val="none"/>
              </w:rPr>
              <w:t>T</w:t>
            </w:r>
            <w:r>
              <w:rPr>
                <w:rFonts w:hint="default" w:ascii="Times New Roman" w:hAnsi="Times New Roman" w:eastAsia="宋体" w:cs="Times New Roman"/>
                <w:color w:val="auto"/>
                <w:sz w:val="24"/>
                <w:szCs w:val="24"/>
                <w:highlight w:val="none"/>
              </w:rPr>
              <w:t>时段内的运行时间。</w:t>
            </w:r>
          </w:p>
          <w:p w14:paraId="201AF79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bookmarkStart w:id="18" w:name="_Toc421261106"/>
            <w:bookmarkStart w:id="19" w:name="_Toc421261675"/>
            <w:r>
              <w:rPr>
                <w:rFonts w:hint="eastAsia"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预测点的预测等效声级计算</w:t>
            </w:r>
            <w:bookmarkEnd w:id="18"/>
            <w:bookmarkEnd w:id="19"/>
          </w:p>
          <w:p w14:paraId="0750711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object>
                <v:shape id="_x0000_i1031" o:spt="75" type="#_x0000_t75" style="height:21.95pt;width:140.9pt;" o:ole="t" filled="f" o:preferrelative="t" stroked="f" coordsize="21600,21600">
                  <v:path/>
                  <v:fill on="f" focussize="0,0"/>
                  <v:stroke on="f"/>
                  <v:imagedata r:id="rId35" o:title=""/>
                  <o:lock v:ext="edit" aspectratio="t"/>
                  <w10:wrap type="none"/>
                  <w10:anchorlock/>
                </v:shape>
                <o:OLEObject Type="Embed" ProgID="Equations" ShapeID="_x0000_i1031" DrawAspect="Content" ObjectID="_1468075731" r:id="rId34">
                  <o:LockedField>false</o:LockedField>
                </o:OLEObject>
              </w:object>
            </w:r>
          </w:p>
          <w:p w14:paraId="7A7E0717">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i/>
                <w:color w:val="auto"/>
                <w:sz w:val="24"/>
                <w:szCs w:val="24"/>
                <w:highlight w:val="none"/>
                <w:vertAlign w:val="subscript"/>
              </w:rPr>
              <w:t>eqg</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建设项目声源在预测点的等效声级贡献值，dB(A</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i/>
                <w:color w:val="auto"/>
                <w:sz w:val="24"/>
                <w:szCs w:val="24"/>
                <w:highlight w:val="none"/>
                <w:vertAlign w:val="subscript"/>
              </w:rPr>
              <w:t>eqb</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预测点的背景值，dB(A</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p>
          <w:p w14:paraId="6D0CBAA4">
            <w:pPr>
              <w:pStyle w:val="6"/>
              <w:pageBreakBefore w:val="0"/>
              <w:numPr>
                <w:ilvl w:val="2"/>
                <w:numId w:val="0"/>
              </w:numPr>
              <w:kinsoku/>
              <w:wordWrap/>
              <w:overflowPunct/>
              <w:topLinePunct w:val="0"/>
              <w:autoSpaceDE/>
              <w:autoSpaceDN/>
              <w:bidi w:val="0"/>
              <w:spacing w:line="360" w:lineRule="auto"/>
              <w:ind w:leftChars="200"/>
              <w:rPr>
                <w:rFonts w:hint="default" w:ascii="Times New Roman" w:hAnsi="Times New Roman" w:eastAsia="宋体" w:cs="Times New Roman"/>
                <w:b/>
                <w:bCs/>
                <w:color w:val="auto"/>
                <w:sz w:val="24"/>
                <w:szCs w:val="24"/>
                <w:highlight w:val="none"/>
              </w:rPr>
            </w:pPr>
            <w:r>
              <w:rPr>
                <w:rFonts w:hint="eastAsia" w:cs="Times New Roman"/>
                <w:b/>
                <w:bCs/>
                <w:color w:val="auto"/>
                <w:sz w:val="24"/>
                <w:szCs w:val="24"/>
                <w:highlight w:val="none"/>
                <w:lang w:val="en-US" w:eastAsia="zh-CN"/>
              </w:rPr>
              <w:t>3.</w:t>
            </w:r>
            <w:r>
              <w:rPr>
                <w:rFonts w:hint="default" w:ascii="Times New Roman" w:hAnsi="Times New Roman" w:eastAsia="宋体" w:cs="Times New Roman"/>
                <w:b/>
                <w:bCs/>
                <w:color w:val="auto"/>
                <w:sz w:val="24"/>
                <w:szCs w:val="24"/>
                <w:highlight w:val="none"/>
              </w:rPr>
              <w:t>预测结果及达标分析</w:t>
            </w:r>
          </w:p>
          <w:p w14:paraId="2E33C72F">
            <w:pPr>
              <w:pStyle w:val="17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highlight w:val="none"/>
              </w:rPr>
              <w:t>各厂界噪声预测结果见</w:t>
            </w:r>
            <w:r>
              <w:rPr>
                <w:rFonts w:hint="default" w:ascii="Times New Roman" w:hAnsi="Times New Roman" w:eastAsia="宋体" w:cs="Times New Roman"/>
                <w:color w:val="auto"/>
                <w:sz w:val="24"/>
                <w:highlight w:val="none"/>
                <w:lang w:val="en-US" w:eastAsia="zh-CN"/>
              </w:rPr>
              <w:t>下</w:t>
            </w:r>
            <w:r>
              <w:rPr>
                <w:rFonts w:hint="default" w:ascii="Times New Roman" w:hAnsi="Times New Roman" w:eastAsia="宋体" w:cs="Times New Roman"/>
                <w:color w:val="auto"/>
                <w:sz w:val="24"/>
                <w:highlight w:val="none"/>
              </w:rPr>
              <w:t>表</w:t>
            </w:r>
            <w:r>
              <w:rPr>
                <w:rFonts w:hint="default" w:ascii="Times New Roman" w:hAnsi="Times New Roman" w:eastAsia="宋体" w:cs="Times New Roman"/>
                <w:color w:val="auto"/>
                <w:highlight w:val="none"/>
              </w:rPr>
              <w:t>。</w:t>
            </w:r>
          </w:p>
          <w:p w14:paraId="490B4636">
            <w:pPr>
              <w:spacing w:line="240" w:lineRule="auto"/>
              <w:ind w:firstLine="422" w:firstLineChars="200"/>
              <w:jc w:val="center"/>
              <w:rPr>
                <w:rFonts w:hint="eastAsia"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表4-</w:t>
            </w:r>
            <w:r>
              <w:rPr>
                <w:rFonts w:hint="eastAsia" w:ascii="Times New Roman" w:hAnsi="Times New Roman" w:eastAsia="宋体" w:cs="Times New Roman"/>
                <w:b/>
                <w:bCs/>
                <w:color w:val="auto"/>
                <w:sz w:val="21"/>
                <w:szCs w:val="21"/>
                <w:highlight w:val="none"/>
                <w:lang w:val="en-US" w:eastAsia="zh-CN"/>
              </w:rPr>
              <w:t>1</w:t>
            </w:r>
            <w:r>
              <w:rPr>
                <w:rFonts w:hint="eastAsia" w:cs="Times New Roman"/>
                <w:b/>
                <w:bCs/>
                <w:color w:val="auto"/>
                <w:sz w:val="21"/>
                <w:szCs w:val="21"/>
                <w:highlight w:val="none"/>
                <w:lang w:val="en-US" w:eastAsia="zh-CN"/>
              </w:rPr>
              <w:t>4</w:t>
            </w:r>
            <w:r>
              <w:rPr>
                <w:rFonts w:hint="eastAsia" w:ascii="Times New Roman" w:hAnsi="Times New Roman" w:eastAsia="宋体" w:cs="Times New Roman"/>
                <w:b/>
                <w:bCs/>
                <w:color w:val="auto"/>
                <w:sz w:val="21"/>
                <w:szCs w:val="21"/>
                <w:highlight w:val="none"/>
                <w:lang w:val="en-US" w:eastAsia="zh-CN"/>
              </w:rPr>
              <w:t xml:space="preserve"> </w:t>
            </w:r>
            <w:r>
              <w:rPr>
                <w:rFonts w:hint="eastAsia" w:ascii="Times New Roman" w:hAnsi="Times New Roman" w:eastAsia="宋体" w:cs="Times New Roman"/>
                <w:b/>
                <w:bCs/>
                <w:color w:val="auto"/>
                <w:sz w:val="21"/>
                <w:szCs w:val="21"/>
                <w:highlight w:val="none"/>
              </w:rPr>
              <w:t>项目运营期噪声源情况一览表 单位：dB（A）</w:t>
            </w:r>
          </w:p>
          <w:tbl>
            <w:tblPr>
              <w:tblStyle w:val="41"/>
              <w:tblW w:w="0" w:type="auto"/>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2047"/>
              <w:gridCol w:w="1283"/>
              <w:gridCol w:w="1450"/>
              <w:gridCol w:w="849"/>
              <w:gridCol w:w="849"/>
              <w:gridCol w:w="849"/>
              <w:gridCol w:w="849"/>
            </w:tblGrid>
            <w:tr w14:paraId="70AC0DF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894" w:type="dxa"/>
                  <w:vMerge w:val="restart"/>
                  <w:noWrap w:val="0"/>
                  <w:vAlign w:val="center"/>
                </w:tcPr>
                <w:p w14:paraId="6C3B980F">
                  <w:pPr>
                    <w:pStyle w:val="171"/>
                    <w:keepNext w:val="0"/>
                    <w:keepLines w:val="0"/>
                    <w:pageBreakBefore w:val="0"/>
                    <w:kinsoku/>
                    <w:wordWrap/>
                    <w:overflowPunct w:val="0"/>
                    <w:topLinePunct w:val="0"/>
                    <w:autoSpaceDE/>
                    <w:autoSpaceDN/>
                    <w:bidi w:val="0"/>
                    <w:adjustRightInd w:val="0"/>
                    <w:snapToGrid w:val="0"/>
                    <w:spacing w:line="240" w:lineRule="auto"/>
                    <w:ind w:firstLine="0" w:firstLineChars="0"/>
                    <w:textAlignment w:val="baseline"/>
                    <w:rPr>
                      <w:rFonts w:hint="eastAsia"/>
                      <w:b/>
                      <w:color w:val="auto"/>
                      <w:kern w:val="0"/>
                      <w:sz w:val="21"/>
                      <w:szCs w:val="21"/>
                    </w:rPr>
                  </w:pPr>
                  <w:r>
                    <w:rPr>
                      <w:rFonts w:hint="eastAsia"/>
                      <w:color w:val="auto"/>
                      <w:kern w:val="0"/>
                      <w:sz w:val="21"/>
                      <w:szCs w:val="21"/>
                    </w:rPr>
                    <w:t>位置</w:t>
                  </w:r>
                </w:p>
              </w:tc>
              <w:tc>
                <w:tcPr>
                  <w:tcW w:w="2047" w:type="dxa"/>
                  <w:vMerge w:val="restart"/>
                  <w:noWrap w:val="0"/>
                  <w:vAlign w:val="center"/>
                </w:tcPr>
                <w:p w14:paraId="38C24DB7">
                  <w:pPr>
                    <w:pStyle w:val="171"/>
                    <w:keepNext w:val="0"/>
                    <w:keepLines w:val="0"/>
                    <w:pageBreakBefore w:val="0"/>
                    <w:kinsoku/>
                    <w:wordWrap/>
                    <w:overflowPunct w:val="0"/>
                    <w:topLinePunct w:val="0"/>
                    <w:autoSpaceDE/>
                    <w:autoSpaceDN/>
                    <w:bidi w:val="0"/>
                    <w:adjustRightInd w:val="0"/>
                    <w:snapToGrid w:val="0"/>
                    <w:spacing w:line="240" w:lineRule="auto"/>
                    <w:ind w:firstLine="0" w:firstLineChars="0"/>
                    <w:textAlignment w:val="baseline"/>
                    <w:rPr>
                      <w:rFonts w:hint="eastAsia"/>
                      <w:b/>
                      <w:color w:val="auto"/>
                      <w:kern w:val="0"/>
                      <w:sz w:val="21"/>
                      <w:szCs w:val="21"/>
                    </w:rPr>
                  </w:pPr>
                  <w:r>
                    <w:rPr>
                      <w:color w:val="auto"/>
                      <w:kern w:val="0"/>
                      <w:sz w:val="21"/>
                      <w:szCs w:val="21"/>
                    </w:rPr>
                    <w:t>主要声源设备</w:t>
                  </w:r>
                </w:p>
              </w:tc>
              <w:tc>
                <w:tcPr>
                  <w:tcW w:w="1283" w:type="dxa"/>
                  <w:vMerge w:val="restart"/>
                  <w:noWrap w:val="0"/>
                  <w:vAlign w:val="center"/>
                </w:tcPr>
                <w:p w14:paraId="44BB958B">
                  <w:pPr>
                    <w:pStyle w:val="171"/>
                    <w:keepNext w:val="0"/>
                    <w:keepLines w:val="0"/>
                    <w:pageBreakBefore w:val="0"/>
                    <w:kinsoku/>
                    <w:wordWrap/>
                    <w:overflowPunct w:val="0"/>
                    <w:topLinePunct w:val="0"/>
                    <w:autoSpaceDE/>
                    <w:autoSpaceDN/>
                    <w:bidi w:val="0"/>
                    <w:adjustRightInd w:val="0"/>
                    <w:snapToGrid w:val="0"/>
                    <w:spacing w:line="240" w:lineRule="auto"/>
                    <w:ind w:firstLine="0" w:firstLineChars="0"/>
                    <w:textAlignment w:val="baseline"/>
                    <w:rPr>
                      <w:rFonts w:hint="eastAsia"/>
                      <w:b/>
                      <w:color w:val="auto"/>
                      <w:kern w:val="0"/>
                      <w:sz w:val="21"/>
                      <w:szCs w:val="21"/>
                    </w:rPr>
                  </w:pPr>
                  <w:r>
                    <w:rPr>
                      <w:color w:val="auto"/>
                      <w:kern w:val="0"/>
                      <w:sz w:val="21"/>
                      <w:szCs w:val="21"/>
                    </w:rPr>
                    <w:t>数量</w:t>
                  </w:r>
                  <w:r>
                    <w:rPr>
                      <w:rFonts w:hint="eastAsia"/>
                      <w:color w:val="auto"/>
                      <w:kern w:val="0"/>
                      <w:sz w:val="21"/>
                      <w:szCs w:val="21"/>
                    </w:rPr>
                    <w:t>（台/条）</w:t>
                  </w:r>
                </w:p>
              </w:tc>
              <w:tc>
                <w:tcPr>
                  <w:tcW w:w="1450" w:type="dxa"/>
                  <w:vMerge w:val="restart"/>
                  <w:noWrap w:val="0"/>
                  <w:vAlign w:val="center"/>
                </w:tcPr>
                <w:p w14:paraId="7CE8B5EA">
                  <w:pPr>
                    <w:pStyle w:val="171"/>
                    <w:keepNext w:val="0"/>
                    <w:keepLines w:val="0"/>
                    <w:pageBreakBefore w:val="0"/>
                    <w:kinsoku/>
                    <w:wordWrap/>
                    <w:overflowPunct w:val="0"/>
                    <w:topLinePunct w:val="0"/>
                    <w:autoSpaceDE/>
                    <w:autoSpaceDN/>
                    <w:bidi w:val="0"/>
                    <w:adjustRightInd w:val="0"/>
                    <w:snapToGrid w:val="0"/>
                    <w:spacing w:line="240" w:lineRule="auto"/>
                    <w:ind w:firstLine="0" w:firstLineChars="0"/>
                    <w:textAlignment w:val="baseline"/>
                    <w:rPr>
                      <w:rFonts w:hint="eastAsia"/>
                      <w:b/>
                      <w:color w:val="auto"/>
                      <w:kern w:val="0"/>
                      <w:sz w:val="21"/>
                      <w:szCs w:val="21"/>
                    </w:rPr>
                  </w:pPr>
                  <w:r>
                    <w:rPr>
                      <w:color w:val="auto"/>
                      <w:kern w:val="0"/>
                      <w:sz w:val="21"/>
                      <w:szCs w:val="21"/>
                    </w:rPr>
                    <w:t>声压级dB(A)</w:t>
                  </w:r>
                </w:p>
              </w:tc>
              <w:tc>
                <w:tcPr>
                  <w:tcW w:w="3396" w:type="dxa"/>
                  <w:gridSpan w:val="4"/>
                  <w:noWrap w:val="0"/>
                  <w:vAlign w:val="center"/>
                </w:tcPr>
                <w:p w14:paraId="746A1017">
                  <w:pPr>
                    <w:pStyle w:val="171"/>
                    <w:keepNext w:val="0"/>
                    <w:keepLines w:val="0"/>
                    <w:pageBreakBefore w:val="0"/>
                    <w:kinsoku/>
                    <w:wordWrap/>
                    <w:overflowPunct w:val="0"/>
                    <w:topLinePunct w:val="0"/>
                    <w:autoSpaceDE/>
                    <w:autoSpaceDN/>
                    <w:bidi w:val="0"/>
                    <w:adjustRightInd w:val="0"/>
                    <w:snapToGrid w:val="0"/>
                    <w:spacing w:line="240" w:lineRule="auto"/>
                    <w:ind w:firstLine="0" w:firstLineChars="0"/>
                    <w:textAlignment w:val="baseline"/>
                    <w:rPr>
                      <w:rFonts w:hint="eastAsia"/>
                      <w:b/>
                      <w:color w:val="auto"/>
                      <w:kern w:val="0"/>
                      <w:sz w:val="21"/>
                      <w:szCs w:val="21"/>
                    </w:rPr>
                  </w:pPr>
                  <w:r>
                    <w:rPr>
                      <w:color w:val="auto"/>
                      <w:kern w:val="0"/>
                      <w:sz w:val="21"/>
                      <w:szCs w:val="21"/>
                    </w:rPr>
                    <w:t>距离</w:t>
                  </w:r>
                  <w:r>
                    <w:rPr>
                      <w:rFonts w:hint="eastAsia"/>
                      <w:color w:val="auto"/>
                      <w:kern w:val="0"/>
                      <w:sz w:val="21"/>
                      <w:szCs w:val="21"/>
                      <w:lang w:eastAsia="zh-CN"/>
                    </w:rPr>
                    <w:t>（</w:t>
                  </w:r>
                  <w:r>
                    <w:rPr>
                      <w:color w:val="auto"/>
                      <w:kern w:val="0"/>
                      <w:sz w:val="21"/>
                      <w:szCs w:val="21"/>
                    </w:rPr>
                    <w:t>m</w:t>
                  </w:r>
                  <w:r>
                    <w:rPr>
                      <w:rFonts w:hint="eastAsia"/>
                      <w:color w:val="auto"/>
                      <w:kern w:val="0"/>
                      <w:sz w:val="21"/>
                      <w:szCs w:val="21"/>
                      <w:lang w:eastAsia="zh-CN"/>
                    </w:rPr>
                    <w:t>）</w:t>
                  </w:r>
                </w:p>
              </w:tc>
            </w:tr>
            <w:tr w14:paraId="74D6B19C">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894" w:type="dxa"/>
                  <w:vMerge w:val="continue"/>
                  <w:noWrap w:val="0"/>
                  <w:vAlign w:val="center"/>
                </w:tcPr>
                <w:p w14:paraId="34292A18">
                  <w:pPr>
                    <w:pStyle w:val="171"/>
                    <w:keepNext w:val="0"/>
                    <w:keepLines w:val="0"/>
                    <w:pageBreakBefore w:val="0"/>
                    <w:kinsoku/>
                    <w:wordWrap/>
                    <w:overflowPunct w:val="0"/>
                    <w:topLinePunct w:val="0"/>
                    <w:autoSpaceDE/>
                    <w:autoSpaceDN/>
                    <w:bidi w:val="0"/>
                    <w:adjustRightInd w:val="0"/>
                    <w:snapToGrid w:val="0"/>
                    <w:spacing w:line="240" w:lineRule="auto"/>
                    <w:ind w:firstLine="0" w:firstLineChars="0"/>
                    <w:textAlignment w:val="baseline"/>
                    <w:rPr>
                      <w:color w:val="auto"/>
                      <w:sz w:val="21"/>
                      <w:szCs w:val="21"/>
                    </w:rPr>
                  </w:pPr>
                </w:p>
              </w:tc>
              <w:tc>
                <w:tcPr>
                  <w:tcW w:w="2047" w:type="dxa"/>
                  <w:vMerge w:val="continue"/>
                  <w:noWrap w:val="0"/>
                  <w:vAlign w:val="center"/>
                </w:tcPr>
                <w:p w14:paraId="08A20D94">
                  <w:pPr>
                    <w:pStyle w:val="171"/>
                    <w:keepNext w:val="0"/>
                    <w:keepLines w:val="0"/>
                    <w:pageBreakBefore w:val="0"/>
                    <w:kinsoku/>
                    <w:wordWrap/>
                    <w:overflowPunct w:val="0"/>
                    <w:topLinePunct w:val="0"/>
                    <w:autoSpaceDE/>
                    <w:autoSpaceDN/>
                    <w:bidi w:val="0"/>
                    <w:adjustRightInd w:val="0"/>
                    <w:snapToGrid w:val="0"/>
                    <w:spacing w:line="240" w:lineRule="auto"/>
                    <w:ind w:firstLine="0" w:firstLineChars="0"/>
                    <w:textAlignment w:val="baseline"/>
                    <w:rPr>
                      <w:color w:val="auto"/>
                      <w:sz w:val="21"/>
                      <w:szCs w:val="21"/>
                    </w:rPr>
                  </w:pPr>
                </w:p>
              </w:tc>
              <w:tc>
                <w:tcPr>
                  <w:tcW w:w="1283" w:type="dxa"/>
                  <w:vMerge w:val="continue"/>
                  <w:noWrap w:val="0"/>
                  <w:vAlign w:val="center"/>
                </w:tcPr>
                <w:p w14:paraId="3D1FCD9F">
                  <w:pPr>
                    <w:pStyle w:val="171"/>
                    <w:keepNext w:val="0"/>
                    <w:keepLines w:val="0"/>
                    <w:pageBreakBefore w:val="0"/>
                    <w:kinsoku/>
                    <w:wordWrap/>
                    <w:overflowPunct w:val="0"/>
                    <w:topLinePunct w:val="0"/>
                    <w:autoSpaceDE/>
                    <w:autoSpaceDN/>
                    <w:bidi w:val="0"/>
                    <w:adjustRightInd w:val="0"/>
                    <w:snapToGrid w:val="0"/>
                    <w:spacing w:line="240" w:lineRule="auto"/>
                    <w:ind w:firstLine="0" w:firstLineChars="0"/>
                    <w:textAlignment w:val="baseline"/>
                    <w:rPr>
                      <w:color w:val="auto"/>
                      <w:sz w:val="21"/>
                      <w:szCs w:val="21"/>
                    </w:rPr>
                  </w:pPr>
                </w:p>
              </w:tc>
              <w:tc>
                <w:tcPr>
                  <w:tcW w:w="1450" w:type="dxa"/>
                  <w:vMerge w:val="continue"/>
                  <w:noWrap w:val="0"/>
                  <w:vAlign w:val="center"/>
                </w:tcPr>
                <w:p w14:paraId="0DF52991">
                  <w:pPr>
                    <w:pStyle w:val="171"/>
                    <w:keepNext w:val="0"/>
                    <w:keepLines w:val="0"/>
                    <w:pageBreakBefore w:val="0"/>
                    <w:kinsoku/>
                    <w:wordWrap/>
                    <w:overflowPunct w:val="0"/>
                    <w:topLinePunct w:val="0"/>
                    <w:autoSpaceDE/>
                    <w:autoSpaceDN/>
                    <w:bidi w:val="0"/>
                    <w:adjustRightInd w:val="0"/>
                    <w:snapToGrid w:val="0"/>
                    <w:spacing w:line="240" w:lineRule="auto"/>
                    <w:ind w:firstLine="0" w:firstLineChars="0"/>
                    <w:textAlignment w:val="baseline"/>
                    <w:rPr>
                      <w:color w:val="auto"/>
                      <w:sz w:val="21"/>
                      <w:szCs w:val="21"/>
                    </w:rPr>
                  </w:pPr>
                </w:p>
              </w:tc>
              <w:tc>
                <w:tcPr>
                  <w:tcW w:w="849" w:type="dxa"/>
                  <w:noWrap w:val="0"/>
                  <w:vAlign w:val="center"/>
                </w:tcPr>
                <w:p w14:paraId="7C92AB4A">
                  <w:pPr>
                    <w:pStyle w:val="171"/>
                    <w:keepNext w:val="0"/>
                    <w:keepLines w:val="0"/>
                    <w:pageBreakBefore w:val="0"/>
                    <w:kinsoku/>
                    <w:wordWrap/>
                    <w:overflowPunct w:val="0"/>
                    <w:topLinePunct w:val="0"/>
                    <w:autoSpaceDE/>
                    <w:autoSpaceDN/>
                    <w:bidi w:val="0"/>
                    <w:adjustRightInd w:val="0"/>
                    <w:snapToGrid w:val="0"/>
                    <w:spacing w:line="240" w:lineRule="auto"/>
                    <w:ind w:firstLine="0" w:firstLineChars="0"/>
                    <w:textAlignment w:val="baseline"/>
                    <w:rPr>
                      <w:rFonts w:hint="default" w:eastAsia="宋体"/>
                      <w:b/>
                      <w:color w:val="auto"/>
                      <w:kern w:val="0"/>
                      <w:sz w:val="21"/>
                      <w:szCs w:val="21"/>
                      <w:lang w:val="en-US" w:eastAsia="zh-CN"/>
                    </w:rPr>
                  </w:pPr>
                  <w:r>
                    <w:rPr>
                      <w:color w:val="auto"/>
                      <w:kern w:val="0"/>
                      <w:sz w:val="21"/>
                      <w:szCs w:val="21"/>
                    </w:rPr>
                    <w:t>东厂界</w:t>
                  </w:r>
                </w:p>
              </w:tc>
              <w:tc>
                <w:tcPr>
                  <w:tcW w:w="849" w:type="dxa"/>
                  <w:noWrap w:val="0"/>
                  <w:vAlign w:val="center"/>
                </w:tcPr>
                <w:p w14:paraId="21F0BC86">
                  <w:pPr>
                    <w:pStyle w:val="171"/>
                    <w:keepNext w:val="0"/>
                    <w:keepLines w:val="0"/>
                    <w:pageBreakBefore w:val="0"/>
                    <w:kinsoku/>
                    <w:wordWrap/>
                    <w:overflowPunct w:val="0"/>
                    <w:topLinePunct w:val="0"/>
                    <w:autoSpaceDE/>
                    <w:autoSpaceDN/>
                    <w:bidi w:val="0"/>
                    <w:adjustRightInd w:val="0"/>
                    <w:snapToGrid w:val="0"/>
                    <w:spacing w:line="240" w:lineRule="auto"/>
                    <w:ind w:firstLine="0" w:firstLineChars="0"/>
                    <w:textAlignment w:val="baseline"/>
                    <w:rPr>
                      <w:rFonts w:hint="eastAsia"/>
                      <w:b/>
                      <w:color w:val="auto"/>
                      <w:kern w:val="0"/>
                      <w:sz w:val="21"/>
                      <w:szCs w:val="21"/>
                    </w:rPr>
                  </w:pPr>
                  <w:r>
                    <w:rPr>
                      <w:rFonts w:hint="eastAsia"/>
                      <w:color w:val="auto"/>
                      <w:kern w:val="0"/>
                      <w:sz w:val="21"/>
                      <w:szCs w:val="21"/>
                      <w:lang w:val="en-US" w:eastAsia="zh-CN"/>
                    </w:rPr>
                    <w:t>南</w:t>
                  </w:r>
                  <w:r>
                    <w:rPr>
                      <w:color w:val="auto"/>
                      <w:kern w:val="0"/>
                      <w:sz w:val="21"/>
                      <w:szCs w:val="21"/>
                    </w:rPr>
                    <w:t>厂界</w:t>
                  </w:r>
                </w:p>
              </w:tc>
              <w:tc>
                <w:tcPr>
                  <w:tcW w:w="849" w:type="dxa"/>
                  <w:noWrap w:val="0"/>
                  <w:vAlign w:val="center"/>
                </w:tcPr>
                <w:p w14:paraId="41A4F66B">
                  <w:pPr>
                    <w:pStyle w:val="171"/>
                    <w:keepNext w:val="0"/>
                    <w:keepLines w:val="0"/>
                    <w:pageBreakBefore w:val="0"/>
                    <w:kinsoku/>
                    <w:wordWrap/>
                    <w:overflowPunct w:val="0"/>
                    <w:topLinePunct w:val="0"/>
                    <w:autoSpaceDE/>
                    <w:autoSpaceDN/>
                    <w:bidi w:val="0"/>
                    <w:adjustRightInd w:val="0"/>
                    <w:snapToGrid w:val="0"/>
                    <w:spacing w:line="240" w:lineRule="auto"/>
                    <w:ind w:firstLine="0" w:firstLineChars="0"/>
                    <w:textAlignment w:val="baseline"/>
                    <w:rPr>
                      <w:rFonts w:hint="eastAsia"/>
                      <w:b/>
                      <w:color w:val="auto"/>
                      <w:kern w:val="0"/>
                      <w:sz w:val="21"/>
                      <w:szCs w:val="21"/>
                    </w:rPr>
                  </w:pPr>
                  <w:r>
                    <w:rPr>
                      <w:color w:val="auto"/>
                      <w:kern w:val="0"/>
                      <w:sz w:val="21"/>
                      <w:szCs w:val="21"/>
                    </w:rPr>
                    <w:t>西厂界</w:t>
                  </w:r>
                </w:p>
              </w:tc>
              <w:tc>
                <w:tcPr>
                  <w:tcW w:w="849" w:type="dxa"/>
                  <w:noWrap w:val="0"/>
                  <w:vAlign w:val="center"/>
                </w:tcPr>
                <w:p w14:paraId="023B3182">
                  <w:pPr>
                    <w:pStyle w:val="171"/>
                    <w:keepNext w:val="0"/>
                    <w:keepLines w:val="0"/>
                    <w:pageBreakBefore w:val="0"/>
                    <w:kinsoku/>
                    <w:wordWrap/>
                    <w:overflowPunct w:val="0"/>
                    <w:topLinePunct w:val="0"/>
                    <w:autoSpaceDE/>
                    <w:autoSpaceDN/>
                    <w:bidi w:val="0"/>
                    <w:adjustRightInd w:val="0"/>
                    <w:snapToGrid w:val="0"/>
                    <w:spacing w:line="240" w:lineRule="auto"/>
                    <w:ind w:firstLine="0" w:firstLineChars="0"/>
                    <w:textAlignment w:val="baseline"/>
                    <w:rPr>
                      <w:rFonts w:hint="eastAsia"/>
                      <w:b/>
                      <w:color w:val="auto"/>
                      <w:kern w:val="0"/>
                      <w:sz w:val="21"/>
                      <w:szCs w:val="21"/>
                    </w:rPr>
                  </w:pPr>
                  <w:r>
                    <w:rPr>
                      <w:color w:val="auto"/>
                      <w:kern w:val="0"/>
                      <w:sz w:val="21"/>
                      <w:szCs w:val="21"/>
                    </w:rPr>
                    <w:t>北厂界</w:t>
                  </w:r>
                </w:p>
              </w:tc>
            </w:tr>
            <w:tr w14:paraId="6618F67E">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894" w:type="dxa"/>
                  <w:noWrap w:val="0"/>
                  <w:vAlign w:val="center"/>
                </w:tcPr>
                <w:p w14:paraId="0B2441B5">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eastAsia="宋体"/>
                      <w:color w:val="FF0000"/>
                      <w:sz w:val="21"/>
                      <w:szCs w:val="21"/>
                      <w:lang w:val="en-US" w:eastAsia="zh-CN"/>
                    </w:rPr>
                  </w:pPr>
                  <w:r>
                    <w:rPr>
                      <w:rFonts w:hint="eastAsia" w:eastAsia="宋体"/>
                      <w:color w:val="FF0000"/>
                      <w:sz w:val="21"/>
                      <w:szCs w:val="21"/>
                      <w:lang w:val="en-US" w:eastAsia="zh-CN"/>
                    </w:rPr>
                    <w:t>1#车间</w:t>
                  </w:r>
                </w:p>
              </w:tc>
              <w:tc>
                <w:tcPr>
                  <w:tcW w:w="2047" w:type="dxa"/>
                  <w:noWrap w:val="0"/>
                  <w:vAlign w:val="center"/>
                </w:tcPr>
                <w:p w14:paraId="667A69D2">
                  <w:pPr>
                    <w:pStyle w:val="56"/>
                    <w:keepNext w:val="0"/>
                    <w:keepLines w:val="0"/>
                    <w:pageBreakBefore w:val="0"/>
                    <w:kinsoku/>
                    <w:wordWrap/>
                    <w:overflowPunct/>
                    <w:topLinePunct w:val="0"/>
                    <w:autoSpaceDE/>
                    <w:autoSpaceDN/>
                    <w:bidi w:val="0"/>
                    <w:adjustRightInd w:val="0"/>
                    <w:snapToGrid w:val="0"/>
                    <w:spacing w:line="240" w:lineRule="auto"/>
                    <w:ind w:left="0" w:leftChars="0" w:firstLine="0" w:firstLineChars="0"/>
                    <w:rPr>
                      <w:rFonts w:hint="eastAsia" w:ascii="Times New Roman" w:hAnsi="Times New Roman" w:eastAsia="宋体" w:cs="Times New Roman"/>
                      <w:color w:val="FF0000"/>
                      <w:kern w:val="2"/>
                      <w:sz w:val="21"/>
                      <w:szCs w:val="21"/>
                      <w:lang w:val="en-US" w:eastAsia="zh-CN" w:bidi="ar-SA"/>
                    </w:rPr>
                  </w:pPr>
                  <w:r>
                    <w:rPr>
                      <w:rFonts w:hint="eastAsia" w:ascii="Times New Roman" w:hAnsi="Times New Roman" w:eastAsia="宋体" w:cs="Times New Roman"/>
                      <w:color w:val="FF0000"/>
                      <w:lang w:val="en-US" w:eastAsia="zh-CN"/>
                    </w:rPr>
                    <w:t>二氧化碳保焊机</w:t>
                  </w:r>
                </w:p>
              </w:tc>
              <w:tc>
                <w:tcPr>
                  <w:tcW w:w="1283" w:type="dxa"/>
                  <w:noWrap w:val="0"/>
                  <w:vAlign w:val="center"/>
                </w:tcPr>
                <w:p w14:paraId="47F3D948">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2</w:t>
                  </w:r>
                </w:p>
              </w:tc>
              <w:tc>
                <w:tcPr>
                  <w:tcW w:w="1450" w:type="dxa"/>
                  <w:noWrap w:val="0"/>
                  <w:vAlign w:val="center"/>
                </w:tcPr>
                <w:p w14:paraId="62D445BB">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32</w:t>
                  </w:r>
                </w:p>
              </w:tc>
              <w:tc>
                <w:tcPr>
                  <w:tcW w:w="849" w:type="dxa"/>
                  <w:noWrap w:val="0"/>
                  <w:vAlign w:val="center"/>
                </w:tcPr>
                <w:p w14:paraId="18C815CE">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100</w:t>
                  </w:r>
                </w:p>
              </w:tc>
              <w:tc>
                <w:tcPr>
                  <w:tcW w:w="849" w:type="dxa"/>
                  <w:noWrap w:val="0"/>
                  <w:vAlign w:val="center"/>
                </w:tcPr>
                <w:p w14:paraId="60A5D149">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85</w:t>
                  </w:r>
                </w:p>
              </w:tc>
              <w:tc>
                <w:tcPr>
                  <w:tcW w:w="849" w:type="dxa"/>
                  <w:noWrap w:val="0"/>
                  <w:vAlign w:val="center"/>
                </w:tcPr>
                <w:p w14:paraId="4458F07F">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111</w:t>
                  </w:r>
                </w:p>
              </w:tc>
              <w:tc>
                <w:tcPr>
                  <w:tcW w:w="849" w:type="dxa"/>
                  <w:noWrap w:val="0"/>
                  <w:vAlign w:val="center"/>
                </w:tcPr>
                <w:p w14:paraId="293CFC36">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50</w:t>
                  </w:r>
                </w:p>
              </w:tc>
            </w:tr>
            <w:tr w14:paraId="0395A455">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894" w:type="dxa"/>
                  <w:vMerge w:val="restart"/>
                  <w:noWrap w:val="0"/>
                  <w:vAlign w:val="center"/>
                </w:tcPr>
                <w:p w14:paraId="15A3A2AC">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eastAsia="宋体"/>
                      <w:color w:val="FF0000"/>
                      <w:sz w:val="21"/>
                      <w:szCs w:val="21"/>
                      <w:lang w:val="en-US" w:eastAsia="zh-CN"/>
                    </w:rPr>
                    <w:t>2#车间</w:t>
                  </w:r>
                </w:p>
              </w:tc>
              <w:tc>
                <w:tcPr>
                  <w:tcW w:w="2047" w:type="dxa"/>
                  <w:noWrap w:val="0"/>
                  <w:vAlign w:val="center"/>
                </w:tcPr>
                <w:p w14:paraId="477A2C42">
                  <w:pPr>
                    <w:pStyle w:val="56"/>
                    <w:keepNext w:val="0"/>
                    <w:keepLines w:val="0"/>
                    <w:pageBreakBefore w:val="0"/>
                    <w:kinsoku/>
                    <w:wordWrap/>
                    <w:overflowPunct/>
                    <w:topLinePunct w:val="0"/>
                    <w:autoSpaceDE/>
                    <w:autoSpaceDN/>
                    <w:bidi w:val="0"/>
                    <w:adjustRightInd w:val="0"/>
                    <w:snapToGrid w:val="0"/>
                    <w:spacing w:line="240" w:lineRule="auto"/>
                    <w:ind w:left="0" w:leftChars="0" w:firstLine="0" w:firstLineChars="0"/>
                    <w:rPr>
                      <w:rFonts w:hint="eastAsia"/>
                      <w:color w:val="FF0000"/>
                      <w:sz w:val="21"/>
                      <w:szCs w:val="21"/>
                      <w:lang w:eastAsia="zh-CN"/>
                    </w:rPr>
                  </w:pPr>
                  <w:r>
                    <w:rPr>
                      <w:rFonts w:hint="eastAsia"/>
                      <w:color w:val="FF0000"/>
                      <w:lang w:val="en-US" w:eastAsia="zh-CN"/>
                    </w:rPr>
                    <w:t>搅拌机</w:t>
                  </w:r>
                </w:p>
              </w:tc>
              <w:tc>
                <w:tcPr>
                  <w:tcW w:w="1283" w:type="dxa"/>
                  <w:noWrap w:val="0"/>
                  <w:vAlign w:val="center"/>
                </w:tcPr>
                <w:p w14:paraId="0083273C">
                  <w:pPr>
                    <w:pStyle w:val="66"/>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rPr>
                      <w:rFonts w:hint="default"/>
                      <w:color w:val="FF0000"/>
                      <w:sz w:val="21"/>
                      <w:szCs w:val="21"/>
                      <w:lang w:val="en-US" w:eastAsia="zh-CN"/>
                    </w:rPr>
                  </w:pPr>
                  <w:r>
                    <w:rPr>
                      <w:rFonts w:hint="eastAsia"/>
                      <w:color w:val="FF0000"/>
                      <w:lang w:val="en-US" w:eastAsia="zh-CN"/>
                    </w:rPr>
                    <w:t>1</w:t>
                  </w:r>
                </w:p>
              </w:tc>
              <w:tc>
                <w:tcPr>
                  <w:tcW w:w="1450" w:type="dxa"/>
                  <w:noWrap w:val="0"/>
                  <w:vAlign w:val="center"/>
                </w:tcPr>
                <w:p w14:paraId="2E6F27CB">
                  <w:pPr>
                    <w:pStyle w:val="66"/>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rPr>
                      <w:rFonts w:hint="default"/>
                      <w:color w:val="FF0000"/>
                      <w:sz w:val="21"/>
                      <w:szCs w:val="21"/>
                      <w:lang w:val="en-US" w:eastAsia="zh-CN"/>
                    </w:rPr>
                  </w:pPr>
                  <w:r>
                    <w:rPr>
                      <w:rFonts w:hint="eastAsia"/>
                      <w:color w:val="FF0000"/>
                      <w:lang w:val="en-US" w:eastAsia="zh-CN"/>
                    </w:rPr>
                    <w:t>30.5</w:t>
                  </w:r>
                </w:p>
              </w:tc>
              <w:tc>
                <w:tcPr>
                  <w:tcW w:w="849" w:type="dxa"/>
                  <w:noWrap w:val="0"/>
                  <w:vAlign w:val="center"/>
                </w:tcPr>
                <w:p w14:paraId="74A1F3EB">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160</w:t>
                  </w:r>
                </w:p>
              </w:tc>
              <w:tc>
                <w:tcPr>
                  <w:tcW w:w="849" w:type="dxa"/>
                  <w:noWrap w:val="0"/>
                  <w:vAlign w:val="center"/>
                </w:tcPr>
                <w:p w14:paraId="59649B54">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40</w:t>
                  </w:r>
                </w:p>
              </w:tc>
              <w:tc>
                <w:tcPr>
                  <w:tcW w:w="849" w:type="dxa"/>
                  <w:noWrap w:val="0"/>
                  <w:vAlign w:val="center"/>
                </w:tcPr>
                <w:p w14:paraId="3BA11B06">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50</w:t>
                  </w:r>
                </w:p>
              </w:tc>
              <w:tc>
                <w:tcPr>
                  <w:tcW w:w="849" w:type="dxa"/>
                  <w:noWrap w:val="0"/>
                  <w:vAlign w:val="center"/>
                </w:tcPr>
                <w:p w14:paraId="1E181917">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95</w:t>
                  </w:r>
                </w:p>
              </w:tc>
            </w:tr>
            <w:tr w14:paraId="6D21C82D">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894" w:type="dxa"/>
                  <w:vMerge w:val="continue"/>
                  <w:noWrap w:val="0"/>
                  <w:vAlign w:val="center"/>
                </w:tcPr>
                <w:p w14:paraId="3B518CF0">
                  <w:pPr>
                    <w:pStyle w:val="172"/>
                    <w:keepNext w:val="0"/>
                    <w:keepLines w:val="0"/>
                    <w:pageBreakBefore w:val="0"/>
                    <w:kinsoku/>
                    <w:wordWrap/>
                    <w:topLinePunct w:val="0"/>
                    <w:autoSpaceDE/>
                    <w:autoSpaceDN/>
                    <w:bidi w:val="0"/>
                    <w:adjustRightInd w:val="0"/>
                    <w:snapToGrid w:val="0"/>
                    <w:spacing w:line="240" w:lineRule="auto"/>
                    <w:ind w:firstLine="0" w:firstLineChars="0"/>
                    <w:rPr>
                      <w:rFonts w:hint="eastAsia"/>
                      <w:color w:val="FF0000"/>
                      <w:sz w:val="21"/>
                      <w:szCs w:val="21"/>
                      <w:lang w:eastAsia="zh-CN"/>
                    </w:rPr>
                  </w:pPr>
                </w:p>
              </w:tc>
              <w:tc>
                <w:tcPr>
                  <w:tcW w:w="2047" w:type="dxa"/>
                  <w:noWrap w:val="0"/>
                  <w:vAlign w:val="center"/>
                </w:tcPr>
                <w:p w14:paraId="25356E9F">
                  <w:pPr>
                    <w:pStyle w:val="56"/>
                    <w:keepNext w:val="0"/>
                    <w:keepLines w:val="0"/>
                    <w:pageBreakBefore w:val="0"/>
                    <w:kinsoku/>
                    <w:wordWrap/>
                    <w:overflowPunct/>
                    <w:topLinePunct w:val="0"/>
                    <w:autoSpaceDE/>
                    <w:autoSpaceDN/>
                    <w:bidi w:val="0"/>
                    <w:adjustRightInd w:val="0"/>
                    <w:snapToGrid w:val="0"/>
                    <w:spacing w:line="240" w:lineRule="auto"/>
                    <w:ind w:left="0" w:leftChars="0" w:firstLine="0" w:firstLineChars="0"/>
                    <w:rPr>
                      <w:rFonts w:hint="eastAsia"/>
                      <w:color w:val="FF0000"/>
                      <w:sz w:val="21"/>
                      <w:szCs w:val="21"/>
                      <w:lang w:eastAsia="zh-CN"/>
                    </w:rPr>
                  </w:pPr>
                  <w:r>
                    <w:rPr>
                      <w:rFonts w:hint="eastAsia"/>
                      <w:color w:val="FF0000"/>
                      <w:lang w:val="en-US" w:eastAsia="zh-CN"/>
                    </w:rPr>
                    <w:t>行车</w:t>
                  </w:r>
                </w:p>
              </w:tc>
              <w:tc>
                <w:tcPr>
                  <w:tcW w:w="1283" w:type="dxa"/>
                  <w:noWrap w:val="0"/>
                  <w:vAlign w:val="center"/>
                </w:tcPr>
                <w:p w14:paraId="5D72154D">
                  <w:pPr>
                    <w:pStyle w:val="56"/>
                    <w:keepNext w:val="0"/>
                    <w:keepLines w:val="0"/>
                    <w:pageBreakBefore w:val="0"/>
                    <w:kinsoku/>
                    <w:wordWrap/>
                    <w:overflowPunct/>
                    <w:topLinePunct w:val="0"/>
                    <w:autoSpaceDE/>
                    <w:autoSpaceDN/>
                    <w:bidi w:val="0"/>
                    <w:adjustRightInd w:val="0"/>
                    <w:snapToGrid w:val="0"/>
                    <w:spacing w:line="240" w:lineRule="auto"/>
                    <w:ind w:left="0" w:leftChars="0" w:firstLine="0" w:firstLineChars="0"/>
                    <w:rPr>
                      <w:rFonts w:hint="default"/>
                      <w:color w:val="FF0000"/>
                      <w:sz w:val="21"/>
                      <w:szCs w:val="21"/>
                      <w:lang w:val="en-US" w:eastAsia="zh-CN"/>
                    </w:rPr>
                  </w:pPr>
                  <w:r>
                    <w:rPr>
                      <w:rFonts w:hint="eastAsia"/>
                      <w:color w:val="FF0000"/>
                      <w:lang w:val="en-US" w:eastAsia="zh-CN"/>
                    </w:rPr>
                    <w:t>3</w:t>
                  </w:r>
                </w:p>
              </w:tc>
              <w:tc>
                <w:tcPr>
                  <w:tcW w:w="1450" w:type="dxa"/>
                  <w:noWrap w:val="0"/>
                  <w:vAlign w:val="center"/>
                </w:tcPr>
                <w:p w14:paraId="55327C59">
                  <w:pPr>
                    <w:pStyle w:val="66"/>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rPr>
                      <w:rFonts w:hint="default"/>
                      <w:color w:val="FF0000"/>
                      <w:sz w:val="21"/>
                      <w:szCs w:val="21"/>
                      <w:lang w:val="en-US" w:eastAsia="zh-CN"/>
                    </w:rPr>
                  </w:pPr>
                  <w:r>
                    <w:rPr>
                      <w:rFonts w:hint="eastAsia"/>
                      <w:color w:val="FF0000"/>
                      <w:lang w:val="en-US" w:eastAsia="zh-CN"/>
                    </w:rPr>
                    <w:t>20.2</w:t>
                  </w:r>
                </w:p>
              </w:tc>
              <w:tc>
                <w:tcPr>
                  <w:tcW w:w="849" w:type="dxa"/>
                  <w:noWrap w:val="0"/>
                  <w:vAlign w:val="center"/>
                </w:tcPr>
                <w:p w14:paraId="7612B156">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100</w:t>
                  </w:r>
                </w:p>
              </w:tc>
              <w:tc>
                <w:tcPr>
                  <w:tcW w:w="849" w:type="dxa"/>
                  <w:noWrap w:val="0"/>
                  <w:vAlign w:val="center"/>
                </w:tcPr>
                <w:p w14:paraId="6147700A">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40</w:t>
                  </w:r>
                </w:p>
              </w:tc>
              <w:tc>
                <w:tcPr>
                  <w:tcW w:w="849" w:type="dxa"/>
                  <w:noWrap w:val="0"/>
                  <w:vAlign w:val="center"/>
                </w:tcPr>
                <w:p w14:paraId="1397EBC6">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111</w:t>
                  </w:r>
                </w:p>
              </w:tc>
              <w:tc>
                <w:tcPr>
                  <w:tcW w:w="849" w:type="dxa"/>
                  <w:noWrap w:val="0"/>
                  <w:vAlign w:val="center"/>
                </w:tcPr>
                <w:p w14:paraId="15DF38FA">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95</w:t>
                  </w:r>
                </w:p>
              </w:tc>
            </w:tr>
            <w:tr w14:paraId="783289A8">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894" w:type="dxa"/>
                  <w:vMerge w:val="continue"/>
                  <w:noWrap w:val="0"/>
                  <w:vAlign w:val="center"/>
                </w:tcPr>
                <w:p w14:paraId="2ABC4831">
                  <w:pPr>
                    <w:pStyle w:val="172"/>
                    <w:keepNext w:val="0"/>
                    <w:keepLines w:val="0"/>
                    <w:pageBreakBefore w:val="0"/>
                    <w:kinsoku/>
                    <w:wordWrap/>
                    <w:topLinePunct w:val="0"/>
                    <w:autoSpaceDE/>
                    <w:autoSpaceDN/>
                    <w:bidi w:val="0"/>
                    <w:adjustRightInd w:val="0"/>
                    <w:snapToGrid w:val="0"/>
                    <w:spacing w:line="240" w:lineRule="auto"/>
                    <w:ind w:firstLine="0" w:firstLineChars="0"/>
                    <w:rPr>
                      <w:rFonts w:hint="eastAsia"/>
                      <w:color w:val="FF0000"/>
                      <w:sz w:val="21"/>
                      <w:szCs w:val="21"/>
                      <w:lang w:eastAsia="zh-CN"/>
                    </w:rPr>
                  </w:pPr>
                </w:p>
              </w:tc>
              <w:tc>
                <w:tcPr>
                  <w:tcW w:w="2047" w:type="dxa"/>
                  <w:noWrap w:val="0"/>
                  <w:vAlign w:val="center"/>
                </w:tcPr>
                <w:p w14:paraId="3932C110">
                  <w:pPr>
                    <w:pStyle w:val="56"/>
                    <w:keepNext w:val="0"/>
                    <w:keepLines w:val="0"/>
                    <w:pageBreakBefore w:val="0"/>
                    <w:kinsoku/>
                    <w:wordWrap/>
                    <w:overflowPunct/>
                    <w:topLinePunct w:val="0"/>
                    <w:autoSpaceDE/>
                    <w:autoSpaceDN/>
                    <w:bidi w:val="0"/>
                    <w:adjustRightInd w:val="0"/>
                    <w:snapToGrid w:val="0"/>
                    <w:spacing w:line="240" w:lineRule="auto"/>
                    <w:ind w:left="0" w:leftChars="0" w:firstLine="0" w:firstLineChars="0"/>
                    <w:rPr>
                      <w:rFonts w:hint="eastAsia"/>
                      <w:color w:val="FF0000"/>
                      <w:sz w:val="21"/>
                      <w:szCs w:val="21"/>
                      <w:lang w:eastAsia="zh-CN"/>
                    </w:rPr>
                  </w:pPr>
                  <w:r>
                    <w:rPr>
                      <w:rFonts w:hint="eastAsia"/>
                      <w:color w:val="FF0000"/>
                      <w:lang w:val="en-US" w:eastAsia="zh-CN"/>
                    </w:rPr>
                    <w:t>预制件震动台</w:t>
                  </w:r>
                </w:p>
              </w:tc>
              <w:tc>
                <w:tcPr>
                  <w:tcW w:w="1283" w:type="dxa"/>
                  <w:noWrap w:val="0"/>
                  <w:vAlign w:val="center"/>
                </w:tcPr>
                <w:p w14:paraId="5F696026">
                  <w:pPr>
                    <w:pStyle w:val="56"/>
                    <w:keepNext w:val="0"/>
                    <w:keepLines w:val="0"/>
                    <w:pageBreakBefore w:val="0"/>
                    <w:kinsoku/>
                    <w:wordWrap/>
                    <w:overflowPunct/>
                    <w:topLinePunct w:val="0"/>
                    <w:autoSpaceDE/>
                    <w:autoSpaceDN/>
                    <w:bidi w:val="0"/>
                    <w:adjustRightInd w:val="0"/>
                    <w:snapToGrid w:val="0"/>
                    <w:spacing w:line="240" w:lineRule="auto"/>
                    <w:ind w:left="0" w:leftChars="0" w:firstLine="0" w:firstLineChars="0"/>
                    <w:rPr>
                      <w:rFonts w:hint="default"/>
                      <w:color w:val="FF0000"/>
                      <w:sz w:val="21"/>
                      <w:szCs w:val="21"/>
                      <w:lang w:val="en-US" w:eastAsia="zh-CN"/>
                    </w:rPr>
                  </w:pPr>
                  <w:r>
                    <w:rPr>
                      <w:color w:val="FF0000"/>
                    </w:rPr>
                    <w:t>2</w:t>
                  </w:r>
                </w:p>
              </w:tc>
              <w:tc>
                <w:tcPr>
                  <w:tcW w:w="1450" w:type="dxa"/>
                  <w:noWrap w:val="0"/>
                  <w:vAlign w:val="center"/>
                </w:tcPr>
                <w:p w14:paraId="08E6AF98">
                  <w:pPr>
                    <w:pStyle w:val="66"/>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rPr>
                      <w:rFonts w:hint="default"/>
                      <w:color w:val="FF0000"/>
                      <w:sz w:val="21"/>
                      <w:szCs w:val="21"/>
                      <w:lang w:val="en-US" w:eastAsia="zh-CN"/>
                    </w:rPr>
                  </w:pPr>
                  <w:r>
                    <w:rPr>
                      <w:rFonts w:hint="eastAsia"/>
                      <w:color w:val="FF0000"/>
                      <w:lang w:val="en-US" w:eastAsia="zh-CN"/>
                    </w:rPr>
                    <w:t>33.5</w:t>
                  </w:r>
                </w:p>
              </w:tc>
              <w:tc>
                <w:tcPr>
                  <w:tcW w:w="849" w:type="dxa"/>
                  <w:noWrap w:val="0"/>
                  <w:vAlign w:val="center"/>
                </w:tcPr>
                <w:p w14:paraId="42F63FE9">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80</w:t>
                  </w:r>
                </w:p>
              </w:tc>
              <w:tc>
                <w:tcPr>
                  <w:tcW w:w="849" w:type="dxa"/>
                  <w:noWrap w:val="0"/>
                  <w:vAlign w:val="center"/>
                </w:tcPr>
                <w:p w14:paraId="2DEF4359">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40</w:t>
                  </w:r>
                </w:p>
              </w:tc>
              <w:tc>
                <w:tcPr>
                  <w:tcW w:w="849" w:type="dxa"/>
                  <w:noWrap w:val="0"/>
                  <w:vAlign w:val="center"/>
                </w:tcPr>
                <w:p w14:paraId="490840F0">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121</w:t>
                  </w:r>
                </w:p>
              </w:tc>
              <w:tc>
                <w:tcPr>
                  <w:tcW w:w="849" w:type="dxa"/>
                  <w:noWrap w:val="0"/>
                  <w:vAlign w:val="center"/>
                </w:tcPr>
                <w:p w14:paraId="7D913B8F">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95</w:t>
                  </w:r>
                </w:p>
              </w:tc>
            </w:tr>
            <w:tr w14:paraId="309A262B">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94" w:type="dxa"/>
                  <w:vMerge w:val="continue"/>
                  <w:noWrap w:val="0"/>
                  <w:vAlign w:val="center"/>
                </w:tcPr>
                <w:p w14:paraId="2847BEB9">
                  <w:pPr>
                    <w:pStyle w:val="172"/>
                    <w:keepNext w:val="0"/>
                    <w:keepLines w:val="0"/>
                    <w:pageBreakBefore w:val="0"/>
                    <w:kinsoku/>
                    <w:wordWrap/>
                    <w:topLinePunct w:val="0"/>
                    <w:autoSpaceDE/>
                    <w:autoSpaceDN/>
                    <w:bidi w:val="0"/>
                    <w:adjustRightInd w:val="0"/>
                    <w:snapToGrid w:val="0"/>
                    <w:spacing w:line="240" w:lineRule="auto"/>
                    <w:ind w:firstLine="0" w:firstLineChars="0"/>
                    <w:rPr>
                      <w:rFonts w:hint="eastAsia"/>
                      <w:color w:val="FF0000"/>
                      <w:sz w:val="21"/>
                      <w:szCs w:val="21"/>
                      <w:lang w:eastAsia="zh-CN"/>
                    </w:rPr>
                  </w:pPr>
                </w:p>
              </w:tc>
              <w:tc>
                <w:tcPr>
                  <w:tcW w:w="2047" w:type="dxa"/>
                  <w:noWrap w:val="0"/>
                  <w:vAlign w:val="center"/>
                </w:tcPr>
                <w:p w14:paraId="0DE6138D">
                  <w:pPr>
                    <w:pStyle w:val="56"/>
                    <w:keepNext w:val="0"/>
                    <w:keepLines w:val="0"/>
                    <w:pageBreakBefore w:val="0"/>
                    <w:kinsoku/>
                    <w:wordWrap/>
                    <w:overflowPunct/>
                    <w:topLinePunct w:val="0"/>
                    <w:autoSpaceDE/>
                    <w:autoSpaceDN/>
                    <w:bidi w:val="0"/>
                    <w:adjustRightInd w:val="0"/>
                    <w:snapToGrid w:val="0"/>
                    <w:spacing w:line="240" w:lineRule="auto"/>
                    <w:ind w:left="0" w:leftChars="0" w:firstLine="0" w:firstLineChars="0"/>
                    <w:rPr>
                      <w:rFonts w:hint="eastAsia" w:ascii="Times New Roman" w:hAnsi="Times New Roman" w:eastAsia="宋体" w:cs="Times New Roman"/>
                      <w:color w:val="FF0000"/>
                      <w:kern w:val="2"/>
                      <w:sz w:val="21"/>
                      <w:szCs w:val="21"/>
                      <w:lang w:val="en-US" w:eastAsia="zh-CN" w:bidi="ar-SA"/>
                    </w:rPr>
                  </w:pPr>
                  <w:r>
                    <w:rPr>
                      <w:rFonts w:hint="eastAsia"/>
                      <w:color w:val="FF0000"/>
                      <w:lang w:val="en-US" w:eastAsia="zh-CN"/>
                    </w:rPr>
                    <w:t>小型振动棒</w:t>
                  </w:r>
                </w:p>
              </w:tc>
              <w:tc>
                <w:tcPr>
                  <w:tcW w:w="1283" w:type="dxa"/>
                  <w:noWrap w:val="0"/>
                  <w:vAlign w:val="center"/>
                </w:tcPr>
                <w:p w14:paraId="7B6ABAC7">
                  <w:pPr>
                    <w:pStyle w:val="56"/>
                    <w:keepNext w:val="0"/>
                    <w:keepLines w:val="0"/>
                    <w:pageBreakBefore w:val="0"/>
                    <w:kinsoku/>
                    <w:wordWrap/>
                    <w:overflowPunct/>
                    <w:topLinePunct w:val="0"/>
                    <w:autoSpaceDE/>
                    <w:autoSpaceDN/>
                    <w:bidi w:val="0"/>
                    <w:adjustRightInd w:val="0"/>
                    <w:snapToGrid w:val="0"/>
                    <w:spacing w:line="240" w:lineRule="auto"/>
                    <w:ind w:left="0" w:leftChars="0" w:firstLine="0" w:firstLineChars="0"/>
                    <w:rPr>
                      <w:rFonts w:hint="eastAsia"/>
                      <w:color w:val="FF0000"/>
                      <w:sz w:val="21"/>
                      <w:szCs w:val="21"/>
                      <w:lang w:val="en-US" w:eastAsia="zh-CN"/>
                    </w:rPr>
                  </w:pPr>
                  <w:r>
                    <w:rPr>
                      <w:rFonts w:hint="eastAsia"/>
                      <w:color w:val="FF0000"/>
                      <w:lang w:val="en-US" w:eastAsia="zh-CN"/>
                    </w:rPr>
                    <w:t>6</w:t>
                  </w:r>
                </w:p>
              </w:tc>
              <w:tc>
                <w:tcPr>
                  <w:tcW w:w="1450" w:type="dxa"/>
                  <w:noWrap w:val="0"/>
                  <w:vAlign w:val="center"/>
                </w:tcPr>
                <w:p w14:paraId="01EFE789">
                  <w:pPr>
                    <w:pStyle w:val="66"/>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rPr>
                      <w:rFonts w:hint="eastAsia"/>
                      <w:color w:val="FF0000"/>
                      <w:sz w:val="21"/>
                      <w:szCs w:val="21"/>
                      <w:lang w:val="en-US" w:eastAsia="zh-CN"/>
                    </w:rPr>
                  </w:pPr>
                  <w:r>
                    <w:rPr>
                      <w:rFonts w:hint="eastAsia"/>
                      <w:color w:val="FF0000"/>
                      <w:lang w:val="en-US" w:eastAsia="zh-CN"/>
                    </w:rPr>
                    <w:t>38.2</w:t>
                  </w:r>
                </w:p>
              </w:tc>
              <w:tc>
                <w:tcPr>
                  <w:tcW w:w="849" w:type="dxa"/>
                  <w:noWrap w:val="0"/>
                  <w:vAlign w:val="center"/>
                </w:tcPr>
                <w:p w14:paraId="30B80224">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85</w:t>
                  </w:r>
                </w:p>
              </w:tc>
              <w:tc>
                <w:tcPr>
                  <w:tcW w:w="849" w:type="dxa"/>
                  <w:noWrap w:val="0"/>
                  <w:vAlign w:val="center"/>
                </w:tcPr>
                <w:p w14:paraId="48564D03">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40</w:t>
                  </w:r>
                </w:p>
              </w:tc>
              <w:tc>
                <w:tcPr>
                  <w:tcW w:w="849" w:type="dxa"/>
                  <w:noWrap w:val="0"/>
                  <w:vAlign w:val="center"/>
                </w:tcPr>
                <w:p w14:paraId="0BDAE377">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116</w:t>
                  </w:r>
                </w:p>
              </w:tc>
              <w:tc>
                <w:tcPr>
                  <w:tcW w:w="849" w:type="dxa"/>
                  <w:noWrap w:val="0"/>
                  <w:vAlign w:val="center"/>
                </w:tcPr>
                <w:p w14:paraId="7A178D9C">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95</w:t>
                  </w:r>
                </w:p>
              </w:tc>
            </w:tr>
            <w:tr w14:paraId="1FCB06FD">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894" w:type="dxa"/>
                  <w:vMerge w:val="continue"/>
                  <w:noWrap w:val="0"/>
                  <w:vAlign w:val="center"/>
                </w:tcPr>
                <w:p w14:paraId="28D9A3E3">
                  <w:pPr>
                    <w:pStyle w:val="172"/>
                    <w:keepNext w:val="0"/>
                    <w:keepLines w:val="0"/>
                    <w:pageBreakBefore w:val="0"/>
                    <w:kinsoku/>
                    <w:wordWrap/>
                    <w:topLinePunct w:val="0"/>
                    <w:autoSpaceDE/>
                    <w:autoSpaceDN/>
                    <w:bidi w:val="0"/>
                    <w:adjustRightInd w:val="0"/>
                    <w:snapToGrid w:val="0"/>
                    <w:spacing w:line="240" w:lineRule="auto"/>
                    <w:ind w:firstLine="0" w:firstLineChars="0"/>
                    <w:rPr>
                      <w:rFonts w:hint="eastAsia"/>
                      <w:color w:val="FF0000"/>
                      <w:sz w:val="21"/>
                      <w:szCs w:val="21"/>
                      <w:lang w:eastAsia="zh-CN"/>
                    </w:rPr>
                  </w:pPr>
                </w:p>
              </w:tc>
              <w:tc>
                <w:tcPr>
                  <w:tcW w:w="2047" w:type="dxa"/>
                  <w:noWrap w:val="0"/>
                  <w:vAlign w:val="center"/>
                </w:tcPr>
                <w:p w14:paraId="56B41085">
                  <w:pPr>
                    <w:pStyle w:val="56"/>
                    <w:keepNext w:val="0"/>
                    <w:keepLines w:val="0"/>
                    <w:pageBreakBefore w:val="0"/>
                    <w:kinsoku/>
                    <w:wordWrap/>
                    <w:overflowPunct/>
                    <w:topLinePunct w:val="0"/>
                    <w:autoSpaceDE/>
                    <w:autoSpaceDN/>
                    <w:bidi w:val="0"/>
                    <w:adjustRightInd w:val="0"/>
                    <w:snapToGrid w:val="0"/>
                    <w:spacing w:line="240" w:lineRule="auto"/>
                    <w:ind w:left="0" w:leftChars="0" w:firstLine="0" w:firstLineChars="0"/>
                    <w:rPr>
                      <w:rFonts w:hint="eastAsia" w:ascii="Times New Roman" w:hAnsi="Times New Roman" w:eastAsia="宋体" w:cs="Times New Roman"/>
                      <w:color w:val="FF0000"/>
                      <w:kern w:val="2"/>
                      <w:sz w:val="21"/>
                      <w:szCs w:val="21"/>
                      <w:lang w:val="en-US" w:eastAsia="zh-CN" w:bidi="ar-SA"/>
                    </w:rPr>
                  </w:pPr>
                  <w:r>
                    <w:rPr>
                      <w:rFonts w:hint="eastAsia"/>
                      <w:color w:val="FF0000"/>
                      <w:lang w:val="en-US" w:eastAsia="zh-CN"/>
                    </w:rPr>
                    <w:t>自动化流水生产线</w:t>
                  </w:r>
                </w:p>
              </w:tc>
              <w:tc>
                <w:tcPr>
                  <w:tcW w:w="1283" w:type="dxa"/>
                  <w:noWrap w:val="0"/>
                  <w:vAlign w:val="center"/>
                </w:tcPr>
                <w:p w14:paraId="5E40B902">
                  <w:pPr>
                    <w:pStyle w:val="56"/>
                    <w:keepNext w:val="0"/>
                    <w:keepLines w:val="0"/>
                    <w:pageBreakBefore w:val="0"/>
                    <w:kinsoku/>
                    <w:wordWrap/>
                    <w:overflowPunct/>
                    <w:topLinePunct w:val="0"/>
                    <w:autoSpaceDE/>
                    <w:autoSpaceDN/>
                    <w:bidi w:val="0"/>
                    <w:adjustRightInd w:val="0"/>
                    <w:snapToGrid w:val="0"/>
                    <w:spacing w:line="240" w:lineRule="auto"/>
                    <w:ind w:left="0" w:leftChars="0" w:firstLine="0" w:firstLineChars="0"/>
                    <w:rPr>
                      <w:rFonts w:hint="eastAsia"/>
                      <w:color w:val="FF0000"/>
                      <w:sz w:val="21"/>
                      <w:szCs w:val="21"/>
                      <w:lang w:val="en-US" w:eastAsia="zh-CN"/>
                    </w:rPr>
                  </w:pPr>
                  <w:r>
                    <w:rPr>
                      <w:rFonts w:hint="eastAsia"/>
                      <w:color w:val="FF0000"/>
                      <w:lang w:val="en-US" w:eastAsia="zh-CN"/>
                    </w:rPr>
                    <w:t>2</w:t>
                  </w:r>
                </w:p>
              </w:tc>
              <w:tc>
                <w:tcPr>
                  <w:tcW w:w="1450" w:type="dxa"/>
                  <w:noWrap w:val="0"/>
                  <w:vAlign w:val="center"/>
                </w:tcPr>
                <w:p w14:paraId="44639B9F">
                  <w:pPr>
                    <w:pStyle w:val="66"/>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rPr>
                      <w:rFonts w:hint="eastAsia"/>
                      <w:color w:val="FF0000"/>
                      <w:sz w:val="21"/>
                      <w:szCs w:val="21"/>
                      <w:lang w:val="en-US" w:eastAsia="zh-CN"/>
                    </w:rPr>
                  </w:pPr>
                  <w:r>
                    <w:rPr>
                      <w:rFonts w:hint="eastAsia"/>
                      <w:color w:val="FF0000"/>
                      <w:lang w:val="en-US" w:eastAsia="zh-CN"/>
                    </w:rPr>
                    <w:t>23.5</w:t>
                  </w:r>
                </w:p>
              </w:tc>
              <w:tc>
                <w:tcPr>
                  <w:tcW w:w="849" w:type="dxa"/>
                  <w:noWrap w:val="0"/>
                  <w:vAlign w:val="center"/>
                </w:tcPr>
                <w:p w14:paraId="7F0222F8">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70</w:t>
                  </w:r>
                </w:p>
              </w:tc>
              <w:tc>
                <w:tcPr>
                  <w:tcW w:w="849" w:type="dxa"/>
                  <w:noWrap w:val="0"/>
                  <w:vAlign w:val="center"/>
                </w:tcPr>
                <w:p w14:paraId="13D2747E">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40</w:t>
                  </w:r>
                </w:p>
              </w:tc>
              <w:tc>
                <w:tcPr>
                  <w:tcW w:w="849" w:type="dxa"/>
                  <w:noWrap w:val="0"/>
                  <w:vAlign w:val="center"/>
                </w:tcPr>
                <w:p w14:paraId="2A20A5DD">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141</w:t>
                  </w:r>
                </w:p>
              </w:tc>
              <w:tc>
                <w:tcPr>
                  <w:tcW w:w="849" w:type="dxa"/>
                  <w:noWrap w:val="0"/>
                  <w:vAlign w:val="center"/>
                </w:tcPr>
                <w:p w14:paraId="424D7DB7">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95</w:t>
                  </w:r>
                </w:p>
              </w:tc>
            </w:tr>
            <w:tr w14:paraId="62B71EA8">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894" w:type="dxa"/>
                  <w:vMerge w:val="continue"/>
                  <w:noWrap w:val="0"/>
                  <w:vAlign w:val="center"/>
                </w:tcPr>
                <w:p w14:paraId="2E4EF567">
                  <w:pPr>
                    <w:pStyle w:val="172"/>
                    <w:keepNext w:val="0"/>
                    <w:keepLines w:val="0"/>
                    <w:pageBreakBefore w:val="0"/>
                    <w:kinsoku/>
                    <w:wordWrap/>
                    <w:topLinePunct w:val="0"/>
                    <w:autoSpaceDE/>
                    <w:autoSpaceDN/>
                    <w:bidi w:val="0"/>
                    <w:adjustRightInd w:val="0"/>
                    <w:snapToGrid w:val="0"/>
                    <w:spacing w:line="240" w:lineRule="auto"/>
                    <w:ind w:firstLine="0" w:firstLineChars="0"/>
                    <w:rPr>
                      <w:rFonts w:hint="eastAsia"/>
                      <w:color w:val="FF0000"/>
                      <w:sz w:val="21"/>
                      <w:szCs w:val="21"/>
                      <w:lang w:eastAsia="zh-CN"/>
                    </w:rPr>
                  </w:pPr>
                </w:p>
              </w:tc>
              <w:tc>
                <w:tcPr>
                  <w:tcW w:w="2047" w:type="dxa"/>
                  <w:noWrap w:val="0"/>
                  <w:vAlign w:val="center"/>
                </w:tcPr>
                <w:p w14:paraId="22F74FF0">
                  <w:pPr>
                    <w:pStyle w:val="56"/>
                    <w:keepNext w:val="0"/>
                    <w:keepLines w:val="0"/>
                    <w:pageBreakBefore w:val="0"/>
                    <w:kinsoku/>
                    <w:wordWrap/>
                    <w:overflowPunct/>
                    <w:topLinePunct w:val="0"/>
                    <w:autoSpaceDE/>
                    <w:autoSpaceDN/>
                    <w:bidi w:val="0"/>
                    <w:adjustRightInd w:val="0"/>
                    <w:snapToGrid w:val="0"/>
                    <w:spacing w:line="240" w:lineRule="auto"/>
                    <w:ind w:left="0" w:leftChars="0" w:firstLine="0" w:firstLineChars="0"/>
                    <w:rPr>
                      <w:rFonts w:hint="default"/>
                      <w:color w:val="FF0000"/>
                      <w:lang w:val="en-US" w:eastAsia="zh-CN"/>
                    </w:rPr>
                  </w:pPr>
                  <w:r>
                    <w:rPr>
                      <w:rFonts w:hint="eastAsia"/>
                      <w:color w:val="FF0000"/>
                      <w:lang w:val="en-US" w:eastAsia="zh-CN"/>
                    </w:rPr>
                    <w:t>钢筋加工机</w:t>
                  </w:r>
                </w:p>
              </w:tc>
              <w:tc>
                <w:tcPr>
                  <w:tcW w:w="1283" w:type="dxa"/>
                  <w:noWrap w:val="0"/>
                  <w:vAlign w:val="center"/>
                </w:tcPr>
                <w:p w14:paraId="57C4D0BB">
                  <w:pPr>
                    <w:pStyle w:val="56"/>
                    <w:keepNext w:val="0"/>
                    <w:keepLines w:val="0"/>
                    <w:pageBreakBefore w:val="0"/>
                    <w:kinsoku/>
                    <w:wordWrap/>
                    <w:overflowPunct/>
                    <w:topLinePunct w:val="0"/>
                    <w:autoSpaceDE/>
                    <w:autoSpaceDN/>
                    <w:bidi w:val="0"/>
                    <w:adjustRightInd w:val="0"/>
                    <w:snapToGrid w:val="0"/>
                    <w:spacing w:line="240" w:lineRule="auto"/>
                    <w:ind w:left="0" w:leftChars="0" w:firstLine="0" w:firstLineChars="0"/>
                    <w:rPr>
                      <w:rFonts w:hint="default"/>
                      <w:color w:val="FF0000"/>
                      <w:lang w:val="en-US" w:eastAsia="zh-CN"/>
                    </w:rPr>
                  </w:pPr>
                  <w:r>
                    <w:rPr>
                      <w:rFonts w:hint="eastAsia"/>
                      <w:color w:val="FF0000"/>
                      <w:lang w:val="en-US" w:eastAsia="zh-CN"/>
                    </w:rPr>
                    <w:t>2</w:t>
                  </w:r>
                </w:p>
              </w:tc>
              <w:tc>
                <w:tcPr>
                  <w:tcW w:w="1450" w:type="dxa"/>
                  <w:noWrap w:val="0"/>
                  <w:vAlign w:val="center"/>
                </w:tcPr>
                <w:p w14:paraId="51A4BEBD">
                  <w:pPr>
                    <w:pStyle w:val="66"/>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rPr>
                      <w:rFonts w:hint="default"/>
                      <w:color w:val="FF0000"/>
                      <w:lang w:val="en-US" w:eastAsia="zh-CN"/>
                    </w:rPr>
                  </w:pPr>
                  <w:r>
                    <w:rPr>
                      <w:rFonts w:hint="eastAsia"/>
                      <w:color w:val="FF0000"/>
                      <w:lang w:val="en-US" w:eastAsia="zh-CN"/>
                    </w:rPr>
                    <w:t>28</w:t>
                  </w:r>
                </w:p>
              </w:tc>
              <w:tc>
                <w:tcPr>
                  <w:tcW w:w="849" w:type="dxa"/>
                  <w:noWrap w:val="0"/>
                  <w:vAlign w:val="center"/>
                </w:tcPr>
                <w:p w14:paraId="7F16589C">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20</w:t>
                  </w:r>
                </w:p>
              </w:tc>
              <w:tc>
                <w:tcPr>
                  <w:tcW w:w="849" w:type="dxa"/>
                  <w:noWrap w:val="0"/>
                  <w:vAlign w:val="center"/>
                </w:tcPr>
                <w:p w14:paraId="560A3388">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40</w:t>
                  </w:r>
                </w:p>
              </w:tc>
              <w:tc>
                <w:tcPr>
                  <w:tcW w:w="849" w:type="dxa"/>
                  <w:noWrap w:val="0"/>
                  <w:vAlign w:val="center"/>
                </w:tcPr>
                <w:p w14:paraId="029763BD">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191</w:t>
                  </w:r>
                </w:p>
              </w:tc>
              <w:tc>
                <w:tcPr>
                  <w:tcW w:w="849" w:type="dxa"/>
                  <w:noWrap w:val="0"/>
                  <w:vAlign w:val="center"/>
                </w:tcPr>
                <w:p w14:paraId="6B9DB0B9">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95</w:t>
                  </w:r>
                </w:p>
              </w:tc>
            </w:tr>
            <w:tr w14:paraId="6D7E06F0">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894" w:type="dxa"/>
                  <w:vMerge w:val="continue"/>
                  <w:noWrap w:val="0"/>
                  <w:vAlign w:val="center"/>
                </w:tcPr>
                <w:p w14:paraId="75F0A9B9">
                  <w:pPr>
                    <w:pStyle w:val="172"/>
                    <w:keepNext w:val="0"/>
                    <w:keepLines w:val="0"/>
                    <w:pageBreakBefore w:val="0"/>
                    <w:kinsoku/>
                    <w:wordWrap/>
                    <w:topLinePunct w:val="0"/>
                    <w:autoSpaceDE/>
                    <w:autoSpaceDN/>
                    <w:bidi w:val="0"/>
                    <w:adjustRightInd w:val="0"/>
                    <w:snapToGrid w:val="0"/>
                    <w:spacing w:line="240" w:lineRule="auto"/>
                    <w:ind w:firstLine="0" w:firstLineChars="0"/>
                    <w:rPr>
                      <w:rFonts w:hint="eastAsia"/>
                      <w:color w:val="FF0000"/>
                      <w:sz w:val="21"/>
                      <w:szCs w:val="21"/>
                      <w:lang w:eastAsia="zh-CN"/>
                    </w:rPr>
                  </w:pPr>
                </w:p>
              </w:tc>
              <w:tc>
                <w:tcPr>
                  <w:tcW w:w="2047" w:type="dxa"/>
                  <w:shd w:val="clear" w:color="auto" w:fill="auto"/>
                  <w:noWrap w:val="0"/>
                  <w:vAlign w:val="center"/>
                </w:tcPr>
                <w:p w14:paraId="64573E34">
                  <w:pPr>
                    <w:pStyle w:val="56"/>
                    <w:keepNext w:val="0"/>
                    <w:keepLines w:val="0"/>
                    <w:pageBreakBefore w:val="0"/>
                    <w:kinsoku/>
                    <w:wordWrap/>
                    <w:overflowPunct/>
                    <w:topLinePunct w:val="0"/>
                    <w:autoSpaceDE/>
                    <w:autoSpaceDN/>
                    <w:bidi w:val="0"/>
                    <w:adjustRightInd w:val="0"/>
                    <w:snapToGrid w:val="0"/>
                    <w:spacing w:line="240" w:lineRule="auto"/>
                    <w:ind w:left="0" w:leftChars="0" w:firstLine="0" w:firstLineChars="0"/>
                    <w:rPr>
                      <w:rFonts w:hint="eastAsia" w:ascii="Times New Roman" w:hAnsi="Times New Roman" w:eastAsia="宋体" w:cs="Times New Roman"/>
                      <w:b w:val="0"/>
                      <w:bCs/>
                      <w:color w:val="FF0000"/>
                      <w:kern w:val="2"/>
                      <w:sz w:val="21"/>
                      <w:szCs w:val="21"/>
                      <w:lang w:val="en-US" w:eastAsia="zh-CN" w:bidi="ar-SA"/>
                    </w:rPr>
                  </w:pPr>
                  <w:r>
                    <w:rPr>
                      <w:rFonts w:hint="eastAsia" w:ascii="Times New Roman" w:hAnsi="Times New Roman" w:eastAsia="宋体" w:cs="Times New Roman"/>
                      <w:color w:val="FF0000"/>
                      <w:lang w:val="en-US" w:eastAsia="zh-CN"/>
                    </w:rPr>
                    <w:t>二氧化碳保焊机</w:t>
                  </w:r>
                </w:p>
              </w:tc>
              <w:tc>
                <w:tcPr>
                  <w:tcW w:w="1283" w:type="dxa"/>
                  <w:shd w:val="clear" w:color="auto" w:fill="auto"/>
                  <w:noWrap w:val="0"/>
                  <w:vAlign w:val="center"/>
                </w:tcPr>
                <w:p w14:paraId="39D8B679">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ascii="Times New Roman" w:hAnsi="Times New Roman" w:eastAsia="宋体" w:cs="Times New Roman"/>
                      <w:color w:val="FF0000"/>
                      <w:kern w:val="2"/>
                      <w:sz w:val="21"/>
                      <w:szCs w:val="21"/>
                      <w:lang w:val="en-US" w:eastAsia="zh-CN" w:bidi="ar-SA"/>
                    </w:rPr>
                  </w:pPr>
                  <w:r>
                    <w:rPr>
                      <w:rFonts w:hint="eastAsia"/>
                      <w:color w:val="FF0000"/>
                      <w:sz w:val="21"/>
                      <w:szCs w:val="21"/>
                      <w:lang w:val="en-US" w:eastAsia="zh-CN"/>
                    </w:rPr>
                    <w:t>2</w:t>
                  </w:r>
                </w:p>
              </w:tc>
              <w:tc>
                <w:tcPr>
                  <w:tcW w:w="1450" w:type="dxa"/>
                  <w:shd w:val="clear" w:color="auto" w:fill="auto"/>
                  <w:noWrap w:val="0"/>
                  <w:vAlign w:val="center"/>
                </w:tcPr>
                <w:p w14:paraId="30727A1D">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ascii="Times New Roman" w:hAnsi="Times New Roman" w:eastAsia="宋体" w:cs="Times New Roman"/>
                      <w:color w:val="FF0000"/>
                      <w:kern w:val="2"/>
                      <w:sz w:val="21"/>
                      <w:szCs w:val="21"/>
                      <w:lang w:val="en-US" w:eastAsia="zh-CN" w:bidi="ar-SA"/>
                    </w:rPr>
                  </w:pPr>
                  <w:r>
                    <w:rPr>
                      <w:rFonts w:hint="eastAsia"/>
                      <w:color w:val="FF0000"/>
                      <w:sz w:val="21"/>
                      <w:szCs w:val="21"/>
                      <w:lang w:val="en-US" w:eastAsia="zh-CN"/>
                    </w:rPr>
                    <w:t>38</w:t>
                  </w:r>
                </w:p>
              </w:tc>
              <w:tc>
                <w:tcPr>
                  <w:tcW w:w="849" w:type="dxa"/>
                  <w:noWrap w:val="0"/>
                  <w:vAlign w:val="center"/>
                </w:tcPr>
                <w:p w14:paraId="5565EDA5">
                  <w:pPr>
                    <w:pStyle w:val="172"/>
                    <w:keepNext w:val="0"/>
                    <w:keepLines w:val="0"/>
                    <w:pageBreakBefore w:val="0"/>
                    <w:kinsoku/>
                    <w:wordWrap/>
                    <w:topLinePunct w:val="0"/>
                    <w:autoSpaceDE/>
                    <w:autoSpaceDN/>
                    <w:bidi w:val="0"/>
                    <w:adjustRightInd w:val="0"/>
                    <w:snapToGrid w:val="0"/>
                    <w:spacing w:line="240" w:lineRule="auto"/>
                    <w:ind w:firstLine="0" w:firstLineChars="0"/>
                    <w:rPr>
                      <w:rFonts w:hint="eastAsia"/>
                      <w:color w:val="FF0000"/>
                      <w:sz w:val="21"/>
                      <w:szCs w:val="21"/>
                      <w:lang w:val="en-US" w:eastAsia="zh-CN"/>
                    </w:rPr>
                  </w:pPr>
                  <w:r>
                    <w:rPr>
                      <w:rFonts w:hint="eastAsia"/>
                      <w:color w:val="FF0000"/>
                      <w:sz w:val="21"/>
                      <w:szCs w:val="21"/>
                      <w:lang w:val="en-US" w:eastAsia="zh-CN"/>
                    </w:rPr>
                    <w:t>2600</w:t>
                  </w:r>
                </w:p>
              </w:tc>
              <w:tc>
                <w:tcPr>
                  <w:tcW w:w="849" w:type="dxa"/>
                  <w:noWrap w:val="0"/>
                  <w:vAlign w:val="center"/>
                </w:tcPr>
                <w:p w14:paraId="0F9FBB0D">
                  <w:pPr>
                    <w:pStyle w:val="172"/>
                    <w:keepNext w:val="0"/>
                    <w:keepLines w:val="0"/>
                    <w:pageBreakBefore w:val="0"/>
                    <w:kinsoku/>
                    <w:wordWrap/>
                    <w:topLinePunct w:val="0"/>
                    <w:autoSpaceDE/>
                    <w:autoSpaceDN/>
                    <w:bidi w:val="0"/>
                    <w:adjustRightInd w:val="0"/>
                    <w:snapToGrid w:val="0"/>
                    <w:spacing w:line="240" w:lineRule="auto"/>
                    <w:ind w:firstLine="0" w:firstLineChars="0"/>
                    <w:rPr>
                      <w:rFonts w:hint="eastAsia"/>
                      <w:color w:val="FF0000"/>
                      <w:sz w:val="21"/>
                      <w:szCs w:val="21"/>
                      <w:lang w:val="en-US" w:eastAsia="zh-CN"/>
                    </w:rPr>
                  </w:pPr>
                  <w:r>
                    <w:rPr>
                      <w:rFonts w:hint="eastAsia"/>
                      <w:color w:val="FF0000"/>
                      <w:sz w:val="21"/>
                      <w:szCs w:val="21"/>
                      <w:lang w:val="en-US" w:eastAsia="zh-CN"/>
                    </w:rPr>
                    <w:t>40</w:t>
                  </w:r>
                </w:p>
              </w:tc>
              <w:tc>
                <w:tcPr>
                  <w:tcW w:w="849" w:type="dxa"/>
                  <w:noWrap w:val="0"/>
                  <w:vAlign w:val="center"/>
                </w:tcPr>
                <w:p w14:paraId="3862A7D8">
                  <w:pPr>
                    <w:pStyle w:val="172"/>
                    <w:keepNext w:val="0"/>
                    <w:keepLines w:val="0"/>
                    <w:pageBreakBefore w:val="0"/>
                    <w:kinsoku/>
                    <w:wordWrap/>
                    <w:topLinePunct w:val="0"/>
                    <w:autoSpaceDE/>
                    <w:autoSpaceDN/>
                    <w:bidi w:val="0"/>
                    <w:adjustRightInd w:val="0"/>
                    <w:snapToGrid w:val="0"/>
                    <w:spacing w:line="240" w:lineRule="auto"/>
                    <w:ind w:firstLine="0" w:firstLineChars="0"/>
                    <w:rPr>
                      <w:rFonts w:hint="eastAsia"/>
                      <w:color w:val="FF0000"/>
                      <w:sz w:val="21"/>
                      <w:szCs w:val="21"/>
                      <w:lang w:val="en-US" w:eastAsia="zh-CN"/>
                    </w:rPr>
                  </w:pPr>
                  <w:r>
                    <w:rPr>
                      <w:rFonts w:hint="eastAsia"/>
                      <w:color w:val="FF0000"/>
                      <w:sz w:val="21"/>
                      <w:szCs w:val="21"/>
                      <w:lang w:val="en-US" w:eastAsia="zh-CN"/>
                    </w:rPr>
                    <w:t>191</w:t>
                  </w:r>
                </w:p>
              </w:tc>
              <w:tc>
                <w:tcPr>
                  <w:tcW w:w="849" w:type="dxa"/>
                  <w:noWrap w:val="0"/>
                  <w:vAlign w:val="center"/>
                </w:tcPr>
                <w:p w14:paraId="2A6D1507">
                  <w:pPr>
                    <w:pStyle w:val="172"/>
                    <w:keepNext w:val="0"/>
                    <w:keepLines w:val="0"/>
                    <w:pageBreakBefore w:val="0"/>
                    <w:kinsoku/>
                    <w:wordWrap/>
                    <w:topLinePunct w:val="0"/>
                    <w:autoSpaceDE/>
                    <w:autoSpaceDN/>
                    <w:bidi w:val="0"/>
                    <w:adjustRightInd w:val="0"/>
                    <w:snapToGrid w:val="0"/>
                    <w:spacing w:line="240" w:lineRule="auto"/>
                    <w:ind w:firstLine="0" w:firstLineChars="0"/>
                    <w:rPr>
                      <w:rFonts w:hint="eastAsia"/>
                      <w:color w:val="FF0000"/>
                      <w:sz w:val="21"/>
                      <w:szCs w:val="21"/>
                      <w:lang w:val="en-US" w:eastAsia="zh-CN"/>
                    </w:rPr>
                  </w:pPr>
                  <w:r>
                    <w:rPr>
                      <w:rFonts w:hint="eastAsia"/>
                      <w:color w:val="FF0000"/>
                      <w:sz w:val="21"/>
                      <w:szCs w:val="21"/>
                      <w:lang w:val="en-US" w:eastAsia="zh-CN"/>
                    </w:rPr>
                    <w:t>95</w:t>
                  </w:r>
                </w:p>
              </w:tc>
            </w:tr>
            <w:tr w14:paraId="1B83EDE7">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894" w:type="dxa"/>
                  <w:noWrap w:val="0"/>
                  <w:vAlign w:val="center"/>
                </w:tcPr>
                <w:p w14:paraId="54F56A32">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eastAsia="宋体"/>
                      <w:color w:val="FF0000"/>
                      <w:sz w:val="21"/>
                      <w:szCs w:val="21"/>
                      <w:lang w:val="en-US" w:eastAsia="zh-CN"/>
                    </w:rPr>
                  </w:pPr>
                  <w:r>
                    <w:rPr>
                      <w:rFonts w:hint="eastAsia" w:eastAsia="宋体"/>
                      <w:color w:val="FF0000"/>
                      <w:sz w:val="21"/>
                      <w:szCs w:val="21"/>
                      <w:lang w:val="en-US" w:eastAsia="zh-CN"/>
                    </w:rPr>
                    <w:t>2#</w:t>
                  </w:r>
                  <w:r>
                    <w:rPr>
                      <w:rFonts w:hint="eastAsia"/>
                      <w:color w:val="FF0000"/>
                      <w:sz w:val="21"/>
                      <w:szCs w:val="21"/>
                      <w:lang w:val="en-US" w:eastAsia="zh-CN"/>
                    </w:rPr>
                    <w:t>车间外</w:t>
                  </w:r>
                </w:p>
              </w:tc>
              <w:tc>
                <w:tcPr>
                  <w:tcW w:w="2047" w:type="dxa"/>
                  <w:noWrap w:val="0"/>
                  <w:vAlign w:val="center"/>
                </w:tcPr>
                <w:p w14:paraId="1174E517">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eastAsia="宋体"/>
                      <w:color w:val="FF0000"/>
                      <w:sz w:val="21"/>
                      <w:szCs w:val="21"/>
                      <w:lang w:val="en-US" w:eastAsia="zh-CN"/>
                    </w:rPr>
                  </w:pPr>
                  <w:r>
                    <w:rPr>
                      <w:rFonts w:hint="eastAsia"/>
                      <w:color w:val="FF0000"/>
                      <w:sz w:val="21"/>
                      <w:szCs w:val="21"/>
                      <w:lang w:eastAsia="zh-CN"/>
                    </w:rPr>
                    <w:t>风机</w:t>
                  </w:r>
                </w:p>
              </w:tc>
              <w:tc>
                <w:tcPr>
                  <w:tcW w:w="1283" w:type="dxa"/>
                  <w:noWrap w:val="0"/>
                  <w:vAlign w:val="center"/>
                </w:tcPr>
                <w:p w14:paraId="7C8CAAEF">
                  <w:pPr>
                    <w:pStyle w:val="172"/>
                    <w:keepNext w:val="0"/>
                    <w:keepLines w:val="0"/>
                    <w:pageBreakBefore w:val="0"/>
                    <w:kinsoku/>
                    <w:wordWrap/>
                    <w:topLinePunct w:val="0"/>
                    <w:autoSpaceDE/>
                    <w:autoSpaceDN/>
                    <w:bidi w:val="0"/>
                    <w:adjustRightInd w:val="0"/>
                    <w:snapToGrid w:val="0"/>
                    <w:spacing w:line="240" w:lineRule="auto"/>
                    <w:ind w:firstLine="0" w:firstLineChars="0"/>
                    <w:rPr>
                      <w:rFonts w:hint="eastAsia" w:eastAsia="宋体"/>
                      <w:color w:val="FF0000"/>
                      <w:sz w:val="21"/>
                      <w:szCs w:val="21"/>
                      <w:lang w:val="en-US" w:eastAsia="zh-CN"/>
                    </w:rPr>
                  </w:pPr>
                  <w:r>
                    <w:rPr>
                      <w:rFonts w:hint="eastAsia"/>
                      <w:color w:val="FF0000"/>
                      <w:sz w:val="21"/>
                      <w:szCs w:val="21"/>
                      <w:lang w:val="en-US" w:eastAsia="zh-CN"/>
                    </w:rPr>
                    <w:t>1</w:t>
                  </w:r>
                </w:p>
              </w:tc>
              <w:tc>
                <w:tcPr>
                  <w:tcW w:w="1450" w:type="dxa"/>
                  <w:noWrap w:val="0"/>
                  <w:vAlign w:val="center"/>
                </w:tcPr>
                <w:p w14:paraId="17971DFA">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eastAsia="宋体"/>
                      <w:color w:val="FF0000"/>
                      <w:sz w:val="21"/>
                      <w:szCs w:val="21"/>
                      <w:lang w:val="en-US" w:eastAsia="zh-CN"/>
                    </w:rPr>
                  </w:pPr>
                  <w:r>
                    <w:rPr>
                      <w:rFonts w:hint="eastAsia"/>
                      <w:color w:val="FF0000"/>
                      <w:sz w:val="21"/>
                      <w:szCs w:val="21"/>
                      <w:lang w:val="en-US" w:eastAsia="zh-CN"/>
                    </w:rPr>
                    <w:t>60</w:t>
                  </w:r>
                </w:p>
              </w:tc>
              <w:tc>
                <w:tcPr>
                  <w:tcW w:w="849" w:type="dxa"/>
                  <w:noWrap w:val="0"/>
                  <w:vAlign w:val="center"/>
                </w:tcPr>
                <w:p w14:paraId="2F421FEC">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eastAsia="宋体"/>
                      <w:color w:val="FF0000"/>
                      <w:sz w:val="21"/>
                      <w:szCs w:val="21"/>
                      <w:lang w:val="en-US" w:eastAsia="zh-CN"/>
                    </w:rPr>
                  </w:pPr>
                  <w:r>
                    <w:rPr>
                      <w:rFonts w:hint="eastAsia"/>
                      <w:color w:val="FF0000"/>
                      <w:sz w:val="21"/>
                      <w:szCs w:val="21"/>
                      <w:lang w:val="en-US" w:eastAsia="zh-CN"/>
                    </w:rPr>
                    <w:t>203</w:t>
                  </w:r>
                </w:p>
              </w:tc>
              <w:tc>
                <w:tcPr>
                  <w:tcW w:w="849" w:type="dxa"/>
                  <w:noWrap w:val="0"/>
                  <w:vAlign w:val="center"/>
                </w:tcPr>
                <w:p w14:paraId="6C072010">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eastAsia="宋体"/>
                      <w:color w:val="FF0000"/>
                      <w:sz w:val="21"/>
                      <w:szCs w:val="21"/>
                      <w:lang w:val="en-US" w:eastAsia="zh-CN"/>
                    </w:rPr>
                  </w:pPr>
                  <w:r>
                    <w:rPr>
                      <w:rFonts w:hint="eastAsia"/>
                      <w:color w:val="FF0000"/>
                      <w:sz w:val="21"/>
                      <w:szCs w:val="21"/>
                      <w:lang w:val="en-US" w:eastAsia="zh-CN"/>
                    </w:rPr>
                    <w:t>40</w:t>
                  </w:r>
                </w:p>
              </w:tc>
              <w:tc>
                <w:tcPr>
                  <w:tcW w:w="849" w:type="dxa"/>
                  <w:noWrap w:val="0"/>
                  <w:vAlign w:val="center"/>
                </w:tcPr>
                <w:p w14:paraId="78A7B573">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color w:val="FF0000"/>
                      <w:sz w:val="21"/>
                      <w:szCs w:val="21"/>
                      <w:lang w:val="en-US" w:eastAsia="zh-CN"/>
                    </w:rPr>
                  </w:pPr>
                  <w:r>
                    <w:rPr>
                      <w:rFonts w:hint="eastAsia"/>
                      <w:color w:val="FF0000"/>
                      <w:sz w:val="21"/>
                      <w:szCs w:val="21"/>
                      <w:lang w:val="en-US" w:eastAsia="zh-CN"/>
                    </w:rPr>
                    <w:t>8</w:t>
                  </w:r>
                </w:p>
              </w:tc>
              <w:tc>
                <w:tcPr>
                  <w:tcW w:w="849" w:type="dxa"/>
                  <w:noWrap w:val="0"/>
                  <w:vAlign w:val="center"/>
                </w:tcPr>
                <w:p w14:paraId="70464C45">
                  <w:pPr>
                    <w:pStyle w:val="172"/>
                    <w:keepNext w:val="0"/>
                    <w:keepLines w:val="0"/>
                    <w:pageBreakBefore w:val="0"/>
                    <w:kinsoku/>
                    <w:wordWrap/>
                    <w:topLinePunct w:val="0"/>
                    <w:autoSpaceDE/>
                    <w:autoSpaceDN/>
                    <w:bidi w:val="0"/>
                    <w:adjustRightInd w:val="0"/>
                    <w:snapToGrid w:val="0"/>
                    <w:spacing w:line="240" w:lineRule="auto"/>
                    <w:ind w:firstLine="0" w:firstLineChars="0"/>
                    <w:rPr>
                      <w:rFonts w:hint="default" w:eastAsia="宋体"/>
                      <w:color w:val="FF0000"/>
                      <w:sz w:val="21"/>
                      <w:szCs w:val="21"/>
                      <w:lang w:val="en-US" w:eastAsia="zh-CN"/>
                    </w:rPr>
                  </w:pPr>
                  <w:r>
                    <w:rPr>
                      <w:rFonts w:hint="eastAsia"/>
                      <w:color w:val="FF0000"/>
                      <w:sz w:val="21"/>
                      <w:szCs w:val="21"/>
                      <w:lang w:val="en-US" w:eastAsia="zh-CN"/>
                    </w:rPr>
                    <w:t>95</w:t>
                  </w:r>
                </w:p>
              </w:tc>
            </w:tr>
          </w:tbl>
          <w:p w14:paraId="443D3708">
            <w:pPr>
              <w:spacing w:line="240" w:lineRule="auto"/>
              <w:ind w:firstLine="422" w:firstLineChars="200"/>
              <w:jc w:val="center"/>
              <w:rPr>
                <w:rFonts w:hint="default" w:ascii="Times New Roman" w:hAnsi="Times New Roman" w:eastAsia="宋体" w:cs="Times New Roman"/>
                <w:b/>
                <w:bCs/>
                <w:color w:val="auto"/>
                <w:sz w:val="24"/>
                <w:szCs w:val="24"/>
                <w:highlight w:val="none"/>
                <w:lang w:eastAsia="zh-CN"/>
              </w:rPr>
            </w:pPr>
            <w:r>
              <w:rPr>
                <w:rFonts w:hint="default" w:ascii="Times New Roman" w:hAnsi="Times New Roman" w:eastAsia="宋体" w:cs="Times New Roman"/>
                <w:b/>
                <w:bCs/>
                <w:color w:val="auto"/>
                <w:sz w:val="21"/>
                <w:szCs w:val="21"/>
                <w:highlight w:val="none"/>
              </w:rPr>
              <w:t>表</w:t>
            </w:r>
            <w:r>
              <w:rPr>
                <w:rFonts w:hint="default" w:ascii="Times New Roman" w:hAnsi="Times New Roman" w:eastAsia="宋体" w:cs="Times New Roman"/>
                <w:b/>
                <w:bCs/>
                <w:color w:val="auto"/>
                <w:sz w:val="21"/>
                <w:szCs w:val="21"/>
                <w:highlight w:val="none"/>
                <w:lang w:val="en-US" w:eastAsia="zh-CN"/>
              </w:rPr>
              <w:t>4-</w:t>
            </w:r>
            <w:r>
              <w:rPr>
                <w:rFonts w:hint="eastAsia" w:cs="Times New Roman"/>
                <w:b/>
                <w:bCs/>
                <w:color w:val="auto"/>
                <w:sz w:val="21"/>
                <w:szCs w:val="21"/>
                <w:highlight w:val="none"/>
                <w:lang w:val="en-US" w:eastAsia="zh-CN"/>
              </w:rPr>
              <w:t>15</w:t>
            </w:r>
            <w:r>
              <w:rPr>
                <w:rFonts w:hint="default" w:ascii="Times New Roman" w:hAnsi="Times New Roman" w:eastAsia="宋体" w:cs="Times New Roman"/>
                <w:b/>
                <w:bCs/>
                <w:color w:val="auto"/>
                <w:sz w:val="21"/>
                <w:szCs w:val="21"/>
                <w:highlight w:val="none"/>
                <w:lang w:val="en-US" w:eastAsia="zh-CN"/>
              </w:rPr>
              <w:t xml:space="preserve"> 项目区域厂界</w:t>
            </w:r>
            <w:r>
              <w:rPr>
                <w:rFonts w:hint="default" w:ascii="Times New Roman" w:hAnsi="Times New Roman" w:eastAsia="宋体" w:cs="Times New Roman"/>
                <w:b/>
                <w:bCs/>
                <w:color w:val="auto"/>
                <w:sz w:val="21"/>
                <w:szCs w:val="21"/>
                <w:highlight w:val="none"/>
                <w:lang w:eastAsia="zh-CN"/>
              </w:rPr>
              <w:t>噪声预测结果一览表</w:t>
            </w:r>
            <w:r>
              <w:rPr>
                <w:rFonts w:hint="eastAsia"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lang w:val="en-US" w:eastAsia="zh-CN"/>
              </w:rPr>
              <w:t>单位：dB</w:t>
            </w:r>
            <w:r>
              <w:rPr>
                <w:rFonts w:hint="eastAsia" w:cs="Times New Roman"/>
                <w:b/>
                <w:bCs/>
                <w:color w:val="auto"/>
                <w:sz w:val="21"/>
                <w:szCs w:val="21"/>
                <w:highlight w:val="none"/>
                <w:lang w:val="en-US" w:eastAsia="zh-CN"/>
              </w:rPr>
              <w:t>(</w:t>
            </w:r>
            <w:r>
              <w:rPr>
                <w:rFonts w:hint="default" w:ascii="Times New Roman" w:hAnsi="Times New Roman" w:eastAsia="宋体" w:cs="Times New Roman"/>
                <w:b/>
                <w:bCs/>
                <w:color w:val="auto"/>
                <w:sz w:val="21"/>
                <w:szCs w:val="21"/>
                <w:highlight w:val="none"/>
                <w:lang w:val="en-US" w:eastAsia="zh-CN"/>
              </w:rPr>
              <w:t>A</w:t>
            </w:r>
            <w:r>
              <w:rPr>
                <w:rFonts w:hint="eastAsia" w:cs="Times New Roman"/>
                <w:b/>
                <w:bCs/>
                <w:color w:val="auto"/>
                <w:sz w:val="21"/>
                <w:szCs w:val="21"/>
                <w:highlight w:val="none"/>
                <w:lang w:val="en-US" w:eastAsia="zh-CN"/>
              </w:rPr>
              <w:t>)]</w:t>
            </w:r>
          </w:p>
          <w:tbl>
            <w:tblPr>
              <w:tblStyle w:val="4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981"/>
              <w:gridCol w:w="1458"/>
              <w:gridCol w:w="1381"/>
              <w:gridCol w:w="1125"/>
              <w:gridCol w:w="1120"/>
              <w:gridCol w:w="1232"/>
              <w:gridCol w:w="1150"/>
              <w:gridCol w:w="1131"/>
              <w:gridCol w:w="1016"/>
              <w:gridCol w:w="1022"/>
            </w:tblGrid>
            <w:tr w14:paraId="5B2602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94" w:type="pct"/>
                  <w:vMerge w:val="restart"/>
                  <w:tcBorders>
                    <w:tl2br w:val="nil"/>
                    <w:tr2bl w:val="nil"/>
                  </w:tcBorders>
                  <w:noWrap/>
                  <w:vAlign w:val="center"/>
                </w:tcPr>
                <w:p w14:paraId="2886CEA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预测点</w:t>
                  </w:r>
                </w:p>
              </w:tc>
              <w:tc>
                <w:tcPr>
                  <w:tcW w:w="535" w:type="pct"/>
                  <w:vMerge w:val="restart"/>
                  <w:tcBorders>
                    <w:tl2br w:val="nil"/>
                    <w:tr2bl w:val="nil"/>
                  </w:tcBorders>
                  <w:noWrap/>
                  <w:vAlign w:val="center"/>
                </w:tcPr>
                <w:p w14:paraId="65A1EC3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贡献值</w:t>
                  </w:r>
                </w:p>
              </w:tc>
              <w:tc>
                <w:tcPr>
                  <w:tcW w:w="920" w:type="pct"/>
                  <w:gridSpan w:val="2"/>
                  <w:tcBorders>
                    <w:tl2br w:val="nil"/>
                    <w:tr2bl w:val="nil"/>
                  </w:tcBorders>
                  <w:noWrap/>
                  <w:vAlign w:val="center"/>
                </w:tcPr>
                <w:p w14:paraId="5DF41512">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背景值</w:t>
                  </w:r>
                </w:p>
              </w:tc>
              <w:tc>
                <w:tcPr>
                  <w:tcW w:w="863" w:type="pct"/>
                  <w:gridSpan w:val="2"/>
                  <w:tcBorders>
                    <w:tl2br w:val="nil"/>
                    <w:tr2bl w:val="nil"/>
                  </w:tcBorders>
                  <w:noWrap/>
                  <w:vAlign w:val="center"/>
                </w:tcPr>
                <w:p w14:paraId="4EE9282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预测值</w:t>
                  </w:r>
                </w:p>
              </w:tc>
              <w:tc>
                <w:tcPr>
                  <w:tcW w:w="837" w:type="pct"/>
                  <w:gridSpan w:val="2"/>
                  <w:tcBorders>
                    <w:tl2br w:val="nil"/>
                    <w:tr2bl w:val="nil"/>
                  </w:tcBorders>
                  <w:noWrap/>
                  <w:vAlign w:val="center"/>
                </w:tcPr>
                <w:p w14:paraId="4E4E4F37">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标准</w:t>
                  </w:r>
                </w:p>
              </w:tc>
              <w:tc>
                <w:tcPr>
                  <w:tcW w:w="748" w:type="pct"/>
                  <w:gridSpan w:val="2"/>
                  <w:tcBorders>
                    <w:tl2br w:val="nil"/>
                    <w:tr2bl w:val="nil"/>
                  </w:tcBorders>
                  <w:noWrap/>
                  <w:vAlign w:val="center"/>
                </w:tcPr>
                <w:p w14:paraId="510E4C4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超标情况</w:t>
                  </w:r>
                </w:p>
              </w:tc>
            </w:tr>
            <w:tr w14:paraId="2CEDDD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94" w:type="pct"/>
                  <w:vMerge w:val="continue"/>
                  <w:tcBorders>
                    <w:tl2br w:val="nil"/>
                    <w:tr2bl w:val="nil"/>
                  </w:tcBorders>
                  <w:noWrap/>
                  <w:vAlign w:val="center"/>
                </w:tcPr>
                <w:p w14:paraId="125C45E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p>
              </w:tc>
              <w:tc>
                <w:tcPr>
                  <w:tcW w:w="535" w:type="pct"/>
                  <w:vMerge w:val="continue"/>
                  <w:tcBorders>
                    <w:tl2br w:val="nil"/>
                    <w:tr2bl w:val="nil"/>
                  </w:tcBorders>
                  <w:noWrap/>
                  <w:vAlign w:val="center"/>
                </w:tcPr>
                <w:p w14:paraId="3D01933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p>
              </w:tc>
              <w:tc>
                <w:tcPr>
                  <w:tcW w:w="507" w:type="pct"/>
                  <w:tcBorders>
                    <w:tl2br w:val="nil"/>
                    <w:tr2bl w:val="nil"/>
                  </w:tcBorders>
                  <w:noWrap/>
                  <w:vAlign w:val="center"/>
                </w:tcPr>
                <w:p w14:paraId="35747C3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昼</w:t>
                  </w:r>
                </w:p>
              </w:tc>
              <w:tc>
                <w:tcPr>
                  <w:tcW w:w="413" w:type="pct"/>
                  <w:tcBorders>
                    <w:tl2br w:val="nil"/>
                    <w:tr2bl w:val="nil"/>
                  </w:tcBorders>
                  <w:noWrap/>
                  <w:vAlign w:val="center"/>
                </w:tcPr>
                <w:p w14:paraId="1D681354">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夜</w:t>
                  </w:r>
                </w:p>
              </w:tc>
              <w:tc>
                <w:tcPr>
                  <w:tcW w:w="411" w:type="pct"/>
                  <w:tcBorders>
                    <w:tl2br w:val="nil"/>
                    <w:tr2bl w:val="nil"/>
                  </w:tcBorders>
                  <w:noWrap/>
                  <w:vAlign w:val="center"/>
                </w:tcPr>
                <w:p w14:paraId="1BFE066A">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昼</w:t>
                  </w:r>
                </w:p>
              </w:tc>
              <w:tc>
                <w:tcPr>
                  <w:tcW w:w="452" w:type="pct"/>
                  <w:tcBorders>
                    <w:tl2br w:val="nil"/>
                    <w:tr2bl w:val="nil"/>
                  </w:tcBorders>
                  <w:noWrap/>
                  <w:vAlign w:val="center"/>
                </w:tcPr>
                <w:p w14:paraId="76451EDD">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夜</w:t>
                  </w:r>
                </w:p>
              </w:tc>
              <w:tc>
                <w:tcPr>
                  <w:tcW w:w="422" w:type="pct"/>
                  <w:tcBorders>
                    <w:tl2br w:val="nil"/>
                    <w:tr2bl w:val="nil"/>
                  </w:tcBorders>
                  <w:noWrap/>
                  <w:vAlign w:val="center"/>
                </w:tcPr>
                <w:p w14:paraId="11553AA3">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昼</w:t>
                  </w:r>
                </w:p>
              </w:tc>
              <w:tc>
                <w:tcPr>
                  <w:tcW w:w="415" w:type="pct"/>
                  <w:tcBorders>
                    <w:tl2br w:val="nil"/>
                    <w:tr2bl w:val="nil"/>
                  </w:tcBorders>
                  <w:noWrap/>
                  <w:vAlign w:val="center"/>
                </w:tcPr>
                <w:p w14:paraId="0AF96357">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夜</w:t>
                  </w:r>
                </w:p>
              </w:tc>
              <w:tc>
                <w:tcPr>
                  <w:tcW w:w="373" w:type="pct"/>
                  <w:tcBorders>
                    <w:tl2br w:val="nil"/>
                    <w:tr2bl w:val="nil"/>
                  </w:tcBorders>
                  <w:noWrap/>
                  <w:vAlign w:val="center"/>
                </w:tcPr>
                <w:p w14:paraId="7B33156A">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昼</w:t>
                  </w:r>
                </w:p>
              </w:tc>
              <w:tc>
                <w:tcPr>
                  <w:tcW w:w="375" w:type="pct"/>
                  <w:tcBorders>
                    <w:tl2br w:val="nil"/>
                    <w:tr2bl w:val="nil"/>
                  </w:tcBorders>
                  <w:noWrap/>
                  <w:vAlign w:val="center"/>
                </w:tcPr>
                <w:p w14:paraId="35A01ECD">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夜</w:t>
                  </w:r>
                </w:p>
              </w:tc>
            </w:tr>
            <w:tr w14:paraId="287671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1094" w:type="pct"/>
                  <w:tcBorders>
                    <w:tl2br w:val="nil"/>
                    <w:tr2bl w:val="nil"/>
                  </w:tcBorders>
                  <w:noWrap/>
                  <w:vAlign w:val="center"/>
                </w:tcPr>
                <w:p w14:paraId="367D6FC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东厂界</w:t>
                  </w:r>
                </w:p>
              </w:tc>
              <w:tc>
                <w:tcPr>
                  <w:tcW w:w="535" w:type="pct"/>
                  <w:tcBorders>
                    <w:tl2br w:val="nil"/>
                    <w:tr2bl w:val="nil"/>
                  </w:tcBorders>
                  <w:noWrap/>
                  <w:vAlign w:val="center"/>
                </w:tcPr>
                <w:p w14:paraId="7B5CF14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19.2</w:t>
                  </w:r>
                </w:p>
              </w:tc>
              <w:tc>
                <w:tcPr>
                  <w:tcW w:w="507" w:type="pct"/>
                  <w:tcBorders>
                    <w:tl2br w:val="nil"/>
                    <w:tr2bl w:val="nil"/>
                  </w:tcBorders>
                  <w:noWrap/>
                  <w:vAlign w:val="center"/>
                </w:tcPr>
                <w:p w14:paraId="04B7F4AA">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w:t>
                  </w:r>
                </w:p>
              </w:tc>
              <w:tc>
                <w:tcPr>
                  <w:tcW w:w="413" w:type="pct"/>
                  <w:tcBorders>
                    <w:tl2br w:val="nil"/>
                    <w:tr2bl w:val="nil"/>
                  </w:tcBorders>
                  <w:noWrap/>
                  <w:vAlign w:val="center"/>
                </w:tcPr>
                <w:p w14:paraId="485DFF24">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w:t>
                  </w:r>
                </w:p>
              </w:tc>
              <w:tc>
                <w:tcPr>
                  <w:tcW w:w="741" w:type="dxa"/>
                  <w:tcBorders>
                    <w:tl2br w:val="nil"/>
                    <w:tr2bl w:val="nil"/>
                  </w:tcBorders>
                  <w:noWrap/>
                  <w:vAlign w:val="center"/>
                </w:tcPr>
                <w:p w14:paraId="0E7E9564">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19.2</w:t>
                  </w:r>
                </w:p>
              </w:tc>
              <w:tc>
                <w:tcPr>
                  <w:tcW w:w="785" w:type="dxa"/>
                  <w:tcBorders>
                    <w:tl2br w:val="nil"/>
                    <w:tr2bl w:val="nil"/>
                  </w:tcBorders>
                  <w:noWrap/>
                  <w:vAlign w:val="center"/>
                </w:tcPr>
                <w:p w14:paraId="46793868">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w:t>
                  </w:r>
                </w:p>
              </w:tc>
              <w:tc>
                <w:tcPr>
                  <w:tcW w:w="422" w:type="pct"/>
                  <w:tcBorders>
                    <w:tl2br w:val="nil"/>
                    <w:tr2bl w:val="nil"/>
                  </w:tcBorders>
                  <w:noWrap/>
                  <w:vAlign w:val="center"/>
                </w:tcPr>
                <w:p w14:paraId="19BBD694">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65</w:t>
                  </w:r>
                </w:p>
              </w:tc>
              <w:tc>
                <w:tcPr>
                  <w:tcW w:w="748" w:type="dxa"/>
                  <w:tcBorders>
                    <w:tl2br w:val="nil"/>
                    <w:tr2bl w:val="nil"/>
                  </w:tcBorders>
                  <w:noWrap/>
                  <w:vAlign w:val="center"/>
                </w:tcPr>
                <w:p w14:paraId="3BD8E9CF">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w:t>
                  </w:r>
                </w:p>
              </w:tc>
              <w:tc>
                <w:tcPr>
                  <w:tcW w:w="373" w:type="pct"/>
                  <w:tcBorders>
                    <w:tl2br w:val="nil"/>
                    <w:tr2bl w:val="nil"/>
                  </w:tcBorders>
                  <w:noWrap/>
                  <w:vAlign w:val="center"/>
                </w:tcPr>
                <w:p w14:paraId="02B03EC4">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375" w:type="pct"/>
                  <w:tcBorders>
                    <w:tl2br w:val="nil"/>
                    <w:tr2bl w:val="nil"/>
                  </w:tcBorders>
                  <w:noWrap/>
                  <w:vAlign w:val="center"/>
                </w:tcPr>
                <w:p w14:paraId="792C98C4">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6C8167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094" w:type="pct"/>
                  <w:tcBorders>
                    <w:tl2br w:val="nil"/>
                    <w:tr2bl w:val="nil"/>
                  </w:tcBorders>
                  <w:noWrap/>
                  <w:vAlign w:val="center"/>
                </w:tcPr>
                <w:p w14:paraId="77E321B9">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南</w:t>
                  </w:r>
                  <w:r>
                    <w:rPr>
                      <w:rFonts w:hint="default" w:ascii="Times New Roman" w:hAnsi="Times New Roman" w:eastAsia="宋体" w:cs="Times New Roman"/>
                      <w:color w:val="auto"/>
                      <w:kern w:val="0"/>
                      <w:sz w:val="21"/>
                      <w:szCs w:val="21"/>
                      <w:lang w:val="en-US" w:eastAsia="zh-CN" w:bidi="ar-SA"/>
                    </w:rPr>
                    <w:t>厂界</w:t>
                  </w:r>
                </w:p>
              </w:tc>
              <w:tc>
                <w:tcPr>
                  <w:tcW w:w="535" w:type="pct"/>
                  <w:tcBorders>
                    <w:tl2br w:val="nil"/>
                    <w:tr2bl w:val="nil"/>
                  </w:tcBorders>
                  <w:noWrap/>
                  <w:vAlign w:val="center"/>
                </w:tcPr>
                <w:p w14:paraId="1D62FFEF">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28.3</w:t>
                  </w:r>
                </w:p>
              </w:tc>
              <w:tc>
                <w:tcPr>
                  <w:tcW w:w="914" w:type="dxa"/>
                  <w:tcBorders>
                    <w:tl2br w:val="nil"/>
                    <w:tr2bl w:val="nil"/>
                  </w:tcBorders>
                  <w:noWrap/>
                  <w:vAlign w:val="center"/>
                </w:tcPr>
                <w:p w14:paraId="2853873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w:t>
                  </w:r>
                </w:p>
              </w:tc>
              <w:tc>
                <w:tcPr>
                  <w:tcW w:w="745" w:type="dxa"/>
                  <w:tcBorders>
                    <w:tl2br w:val="nil"/>
                    <w:tr2bl w:val="nil"/>
                  </w:tcBorders>
                  <w:noWrap/>
                  <w:vAlign w:val="center"/>
                </w:tcPr>
                <w:p w14:paraId="38692D53">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w:t>
                  </w:r>
                </w:p>
              </w:tc>
              <w:tc>
                <w:tcPr>
                  <w:tcW w:w="741" w:type="dxa"/>
                  <w:tcBorders>
                    <w:tl2br w:val="nil"/>
                    <w:tr2bl w:val="nil"/>
                  </w:tcBorders>
                  <w:noWrap/>
                  <w:vAlign w:val="center"/>
                </w:tcPr>
                <w:p w14:paraId="6EA54783">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28.3</w:t>
                  </w:r>
                </w:p>
              </w:tc>
              <w:tc>
                <w:tcPr>
                  <w:tcW w:w="785" w:type="dxa"/>
                  <w:tcBorders>
                    <w:tl2br w:val="nil"/>
                    <w:tr2bl w:val="nil"/>
                  </w:tcBorders>
                  <w:noWrap/>
                  <w:vAlign w:val="center"/>
                </w:tcPr>
                <w:p w14:paraId="21B0AD6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w:t>
                  </w:r>
                </w:p>
              </w:tc>
              <w:tc>
                <w:tcPr>
                  <w:tcW w:w="422" w:type="pct"/>
                  <w:tcBorders>
                    <w:tl2br w:val="nil"/>
                    <w:tr2bl w:val="nil"/>
                  </w:tcBorders>
                  <w:noWrap/>
                  <w:vAlign w:val="center"/>
                </w:tcPr>
                <w:p w14:paraId="72AA7E89">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65</w:t>
                  </w:r>
                </w:p>
              </w:tc>
              <w:tc>
                <w:tcPr>
                  <w:tcW w:w="748" w:type="dxa"/>
                  <w:tcBorders>
                    <w:tl2br w:val="nil"/>
                    <w:tr2bl w:val="nil"/>
                  </w:tcBorders>
                  <w:noWrap/>
                  <w:vAlign w:val="center"/>
                </w:tcPr>
                <w:p w14:paraId="7D7573F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w:t>
                  </w:r>
                </w:p>
              </w:tc>
              <w:tc>
                <w:tcPr>
                  <w:tcW w:w="373" w:type="pct"/>
                  <w:tcBorders>
                    <w:tl2br w:val="nil"/>
                    <w:tr2bl w:val="nil"/>
                  </w:tcBorders>
                  <w:noWrap/>
                  <w:vAlign w:val="center"/>
                </w:tcPr>
                <w:p w14:paraId="7C0BA77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375" w:type="pct"/>
                  <w:tcBorders>
                    <w:tl2br w:val="nil"/>
                    <w:tr2bl w:val="nil"/>
                  </w:tcBorders>
                  <w:noWrap/>
                  <w:vAlign w:val="center"/>
                </w:tcPr>
                <w:p w14:paraId="0DFA11B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68E9B6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94" w:type="pct"/>
                  <w:tcBorders>
                    <w:tl2br w:val="nil"/>
                    <w:tr2bl w:val="nil"/>
                  </w:tcBorders>
                  <w:noWrap/>
                  <w:vAlign w:val="center"/>
                </w:tcPr>
                <w:p w14:paraId="307BE776">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西厂界</w:t>
                  </w:r>
                </w:p>
              </w:tc>
              <w:tc>
                <w:tcPr>
                  <w:tcW w:w="535" w:type="pct"/>
                  <w:tcBorders>
                    <w:tl2br w:val="nil"/>
                    <w:tr2bl w:val="nil"/>
                  </w:tcBorders>
                  <w:noWrap/>
                  <w:vAlign w:val="center"/>
                </w:tcPr>
                <w:p w14:paraId="1E756987">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41.9</w:t>
                  </w:r>
                </w:p>
              </w:tc>
              <w:tc>
                <w:tcPr>
                  <w:tcW w:w="914" w:type="dxa"/>
                  <w:tcBorders>
                    <w:tl2br w:val="nil"/>
                    <w:tr2bl w:val="nil"/>
                  </w:tcBorders>
                  <w:noWrap/>
                  <w:vAlign w:val="center"/>
                </w:tcPr>
                <w:p w14:paraId="7DE7F449">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w:t>
                  </w:r>
                </w:p>
              </w:tc>
              <w:tc>
                <w:tcPr>
                  <w:tcW w:w="745" w:type="dxa"/>
                  <w:tcBorders>
                    <w:tl2br w:val="nil"/>
                    <w:tr2bl w:val="nil"/>
                  </w:tcBorders>
                  <w:noWrap/>
                  <w:vAlign w:val="center"/>
                </w:tcPr>
                <w:p w14:paraId="6F572673">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w:t>
                  </w:r>
                </w:p>
              </w:tc>
              <w:tc>
                <w:tcPr>
                  <w:tcW w:w="741" w:type="dxa"/>
                  <w:tcBorders>
                    <w:tl2br w:val="nil"/>
                    <w:tr2bl w:val="nil"/>
                  </w:tcBorders>
                  <w:noWrap/>
                  <w:vAlign w:val="center"/>
                </w:tcPr>
                <w:p w14:paraId="43C37FF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41.9</w:t>
                  </w:r>
                </w:p>
              </w:tc>
              <w:tc>
                <w:tcPr>
                  <w:tcW w:w="785" w:type="dxa"/>
                  <w:tcBorders>
                    <w:tl2br w:val="nil"/>
                    <w:tr2bl w:val="nil"/>
                  </w:tcBorders>
                  <w:noWrap/>
                  <w:vAlign w:val="center"/>
                </w:tcPr>
                <w:p w14:paraId="25F31518">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w:t>
                  </w:r>
                </w:p>
              </w:tc>
              <w:tc>
                <w:tcPr>
                  <w:tcW w:w="422" w:type="pct"/>
                  <w:tcBorders>
                    <w:tl2br w:val="nil"/>
                    <w:tr2bl w:val="nil"/>
                  </w:tcBorders>
                  <w:noWrap/>
                  <w:vAlign w:val="center"/>
                </w:tcPr>
                <w:p w14:paraId="13FDD456">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65</w:t>
                  </w:r>
                </w:p>
              </w:tc>
              <w:tc>
                <w:tcPr>
                  <w:tcW w:w="748" w:type="dxa"/>
                  <w:tcBorders>
                    <w:tl2br w:val="nil"/>
                    <w:tr2bl w:val="nil"/>
                  </w:tcBorders>
                  <w:noWrap/>
                  <w:vAlign w:val="center"/>
                </w:tcPr>
                <w:p w14:paraId="4992AFC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w:t>
                  </w:r>
                </w:p>
              </w:tc>
              <w:tc>
                <w:tcPr>
                  <w:tcW w:w="373" w:type="pct"/>
                  <w:tcBorders>
                    <w:tl2br w:val="nil"/>
                    <w:tr2bl w:val="nil"/>
                  </w:tcBorders>
                  <w:noWrap/>
                  <w:vAlign w:val="center"/>
                </w:tcPr>
                <w:p w14:paraId="46D9155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375" w:type="pct"/>
                  <w:tcBorders>
                    <w:tl2br w:val="nil"/>
                    <w:tr2bl w:val="nil"/>
                  </w:tcBorders>
                  <w:noWrap/>
                  <w:vAlign w:val="center"/>
                </w:tcPr>
                <w:p w14:paraId="19152AE2">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407E01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94" w:type="pct"/>
                  <w:tcBorders>
                    <w:tl2br w:val="nil"/>
                    <w:tr2bl w:val="nil"/>
                  </w:tcBorders>
                  <w:noWrap/>
                  <w:vAlign w:val="center"/>
                </w:tcPr>
                <w:p w14:paraId="039493AF">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北厂界</w:t>
                  </w:r>
                </w:p>
              </w:tc>
              <w:tc>
                <w:tcPr>
                  <w:tcW w:w="535" w:type="pct"/>
                  <w:tcBorders>
                    <w:tl2br w:val="nil"/>
                    <w:tr2bl w:val="nil"/>
                  </w:tcBorders>
                  <w:noWrap/>
                  <w:vAlign w:val="center"/>
                </w:tcPr>
                <w:p w14:paraId="01F2C47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21.4</w:t>
                  </w:r>
                </w:p>
              </w:tc>
              <w:tc>
                <w:tcPr>
                  <w:tcW w:w="914" w:type="dxa"/>
                  <w:tcBorders>
                    <w:tl2br w:val="nil"/>
                    <w:tr2bl w:val="nil"/>
                  </w:tcBorders>
                  <w:noWrap/>
                  <w:vAlign w:val="center"/>
                </w:tcPr>
                <w:p w14:paraId="13C5CE6A">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w:t>
                  </w:r>
                </w:p>
              </w:tc>
              <w:tc>
                <w:tcPr>
                  <w:tcW w:w="745" w:type="dxa"/>
                  <w:tcBorders>
                    <w:tl2br w:val="nil"/>
                    <w:tr2bl w:val="nil"/>
                  </w:tcBorders>
                  <w:noWrap/>
                  <w:vAlign w:val="center"/>
                </w:tcPr>
                <w:p w14:paraId="5AA208C2">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w:t>
                  </w:r>
                </w:p>
              </w:tc>
              <w:tc>
                <w:tcPr>
                  <w:tcW w:w="741" w:type="dxa"/>
                  <w:tcBorders>
                    <w:tl2br w:val="nil"/>
                    <w:tr2bl w:val="nil"/>
                  </w:tcBorders>
                  <w:noWrap/>
                  <w:vAlign w:val="center"/>
                </w:tcPr>
                <w:p w14:paraId="368213D7">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21.4</w:t>
                  </w:r>
                </w:p>
              </w:tc>
              <w:tc>
                <w:tcPr>
                  <w:tcW w:w="785" w:type="dxa"/>
                  <w:tcBorders>
                    <w:tl2br w:val="nil"/>
                    <w:tr2bl w:val="nil"/>
                  </w:tcBorders>
                  <w:noWrap/>
                  <w:vAlign w:val="center"/>
                </w:tcPr>
                <w:p w14:paraId="18DCEA40">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w:t>
                  </w:r>
                </w:p>
              </w:tc>
              <w:tc>
                <w:tcPr>
                  <w:tcW w:w="422" w:type="pct"/>
                  <w:tcBorders>
                    <w:tl2br w:val="nil"/>
                    <w:tr2bl w:val="nil"/>
                  </w:tcBorders>
                  <w:noWrap/>
                  <w:vAlign w:val="center"/>
                </w:tcPr>
                <w:p w14:paraId="66B3B788">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65</w:t>
                  </w:r>
                </w:p>
              </w:tc>
              <w:tc>
                <w:tcPr>
                  <w:tcW w:w="748" w:type="dxa"/>
                  <w:tcBorders>
                    <w:tl2br w:val="nil"/>
                    <w:tr2bl w:val="nil"/>
                  </w:tcBorders>
                  <w:noWrap/>
                  <w:vAlign w:val="center"/>
                </w:tcPr>
                <w:p w14:paraId="7733C93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w:t>
                  </w:r>
                </w:p>
              </w:tc>
              <w:tc>
                <w:tcPr>
                  <w:tcW w:w="373" w:type="pct"/>
                  <w:tcBorders>
                    <w:tl2br w:val="nil"/>
                    <w:tr2bl w:val="nil"/>
                  </w:tcBorders>
                  <w:noWrap/>
                  <w:vAlign w:val="center"/>
                </w:tcPr>
                <w:p w14:paraId="1121A1C8">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375" w:type="pct"/>
                  <w:tcBorders>
                    <w:tl2br w:val="nil"/>
                    <w:tr2bl w:val="nil"/>
                  </w:tcBorders>
                  <w:noWrap/>
                  <w:vAlign w:val="center"/>
                </w:tcPr>
                <w:p w14:paraId="3C010E0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bl>
          <w:p w14:paraId="0C028485">
            <w:pPr>
              <w:spacing w:line="360" w:lineRule="auto"/>
              <w:ind w:firstLine="480" w:firstLineChars="200"/>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项目夜间不生产，</w:t>
            </w:r>
            <w:r>
              <w:rPr>
                <w:rFonts w:hint="default" w:ascii="Times New Roman" w:hAnsi="Times New Roman" w:eastAsia="宋体" w:cs="Times New Roman"/>
                <w:color w:val="auto"/>
                <w:sz w:val="24"/>
                <w:szCs w:val="24"/>
                <w:highlight w:val="none"/>
              </w:rPr>
              <w:t>根据噪声预测结果可知，</w:t>
            </w:r>
            <w:r>
              <w:rPr>
                <w:rFonts w:hint="eastAsia" w:cs="Times New Roman"/>
                <w:color w:val="auto"/>
                <w:sz w:val="24"/>
                <w:szCs w:val="24"/>
                <w:highlight w:val="none"/>
                <w:lang w:val="en-US" w:eastAsia="zh-CN"/>
              </w:rPr>
              <w:t>项目东北、东南、西北面</w:t>
            </w:r>
            <w:r>
              <w:rPr>
                <w:rFonts w:hint="default" w:ascii="Times New Roman" w:hAnsi="Times New Roman" w:eastAsia="宋体" w:cs="Times New Roman"/>
                <w:color w:val="auto"/>
                <w:sz w:val="24"/>
                <w:szCs w:val="24"/>
                <w:highlight w:val="none"/>
              </w:rPr>
              <w:t>可满足《工业企业厂界环境噪声排放标准》（GB12348-2008）</w:t>
            </w: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类标准要求</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西南面可满足</w:t>
            </w:r>
            <w:r>
              <w:rPr>
                <w:rFonts w:hint="default" w:ascii="Times New Roman" w:hAnsi="Times New Roman" w:eastAsia="宋体" w:cs="Times New Roman"/>
                <w:color w:val="auto"/>
                <w:sz w:val="24"/>
                <w:szCs w:val="24"/>
                <w:highlight w:val="none"/>
              </w:rPr>
              <w:t>《工业企业厂界环境噪声排放标准》（GB12348-2008）</w:t>
            </w: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类标准要求，本项目建成后对周边声环境影响较小。</w:t>
            </w:r>
          </w:p>
          <w:p w14:paraId="0DD5DD76">
            <w:pPr>
              <w:pStyle w:val="173"/>
              <w:pageBreakBefore w:val="0"/>
              <w:kinsoku/>
              <w:wordWrap/>
              <w:overflowPunct/>
              <w:bidi w:val="0"/>
              <w:snapToGrid/>
              <w:spacing w:before="0" w:beforeLines="0" w:line="360" w:lineRule="auto"/>
              <w:ind w:firstLine="482" w:firstLineChars="200"/>
              <w:jc w:val="both"/>
              <w:textAlignment w:val="auto"/>
              <w:rPr>
                <w:rFonts w:hint="default" w:ascii="Times New Roman" w:hAnsi="Times New Roman" w:eastAsia="宋体" w:cs="Times New Roman"/>
                <w:b/>
                <w:color w:val="auto"/>
                <w:sz w:val="24"/>
                <w:szCs w:val="24"/>
                <w:highlight w:val="none"/>
              </w:rPr>
            </w:pPr>
            <w:r>
              <w:rPr>
                <w:rFonts w:hint="eastAsia" w:eastAsia="宋体" w:cs="Times New Roman"/>
                <w:b/>
                <w:color w:val="auto"/>
                <w:sz w:val="24"/>
                <w:szCs w:val="24"/>
                <w:highlight w:val="none"/>
                <w:lang w:val="en-US" w:eastAsia="zh-CN"/>
              </w:rPr>
              <w:t>4.</w:t>
            </w:r>
            <w:r>
              <w:rPr>
                <w:rFonts w:hint="default" w:ascii="Times New Roman" w:hAnsi="Times New Roman" w:eastAsia="宋体" w:cs="Times New Roman"/>
                <w:b/>
                <w:color w:val="auto"/>
                <w:sz w:val="24"/>
                <w:szCs w:val="24"/>
                <w:highlight w:val="none"/>
              </w:rPr>
              <w:t>降噪措施</w:t>
            </w:r>
          </w:p>
          <w:p w14:paraId="0ED22A6C">
            <w:pPr>
              <w:pStyle w:val="173"/>
              <w:pageBreakBefore w:val="0"/>
              <w:kinsoku/>
              <w:wordWrap/>
              <w:overflowPunct/>
              <w:bidi w:val="0"/>
              <w:snapToGrid/>
              <w:spacing w:before="0" w:beforeLines="0" w:line="360" w:lineRule="auto"/>
              <w:ind w:firstLine="480" w:firstLineChars="200"/>
              <w:jc w:val="both"/>
              <w:textAlignment w:val="auto"/>
              <w:rPr>
                <w:rFonts w:hint="default" w:ascii="Times New Roman" w:hAnsi="Times New Roman" w:eastAsia="宋体" w:cs="Times New Roman"/>
                <w:bCs/>
                <w:color w:val="auto"/>
                <w:sz w:val="24"/>
                <w:szCs w:val="24"/>
                <w:highlight w:val="none"/>
              </w:rPr>
            </w:pPr>
            <w:r>
              <w:rPr>
                <w:rFonts w:hint="eastAsia" w:eastAsia="宋体" w:cs="Times New Roman"/>
                <w:bCs/>
                <w:color w:val="auto"/>
                <w:sz w:val="24"/>
                <w:szCs w:val="24"/>
                <w:highlight w:val="none"/>
                <w:lang w:val="en-US" w:eastAsia="zh-CN"/>
              </w:rPr>
              <w:t>本项目</w:t>
            </w:r>
            <w:r>
              <w:rPr>
                <w:rFonts w:hint="default" w:ascii="Times New Roman" w:hAnsi="Times New Roman" w:eastAsia="宋体" w:cs="Times New Roman"/>
                <w:bCs/>
                <w:color w:val="auto"/>
                <w:sz w:val="24"/>
                <w:szCs w:val="24"/>
                <w:highlight w:val="none"/>
              </w:rPr>
              <w:t>复合噪声源经相应的降噪措施处理后，通过建筑物门窗、墙壁以及绿化带的吸收、屏蔽及阻挡作用，将会大幅度</w:t>
            </w:r>
            <w:r>
              <w:rPr>
                <w:rFonts w:hint="default" w:ascii="Times New Roman" w:hAnsi="Times New Roman" w:eastAsia="宋体" w:cs="Times New Roman"/>
                <w:bCs/>
                <w:color w:val="auto"/>
                <w:sz w:val="24"/>
                <w:szCs w:val="24"/>
                <w:highlight w:val="none"/>
                <w:lang w:eastAsia="zh-CN"/>
              </w:rPr>
              <w:t>地</w:t>
            </w:r>
            <w:r>
              <w:rPr>
                <w:rFonts w:hint="default" w:ascii="Times New Roman" w:hAnsi="Times New Roman" w:eastAsia="宋体" w:cs="Times New Roman"/>
                <w:bCs/>
                <w:color w:val="auto"/>
                <w:sz w:val="24"/>
                <w:szCs w:val="24"/>
                <w:highlight w:val="none"/>
              </w:rPr>
              <w:t>衰减。具体的降噪措施有：</w:t>
            </w:r>
          </w:p>
          <w:p w14:paraId="5DABCB7F">
            <w:pPr>
              <w:pageBreakBefore w:val="0"/>
              <w:kinsoku/>
              <w:wordWrap/>
              <w:overflowPunct/>
              <w:bidi w:val="0"/>
              <w:adjustRightInd w:val="0"/>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1</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从声源上控制，选择低噪声和符合国家噪声标准的设备。</w:t>
            </w:r>
          </w:p>
          <w:p w14:paraId="0630FF2B">
            <w:pPr>
              <w:pageBreakBefore w:val="0"/>
              <w:kinsoku/>
              <w:wordWrap/>
              <w:overflowPunct/>
              <w:bidi w:val="0"/>
              <w:adjustRightInd w:val="0"/>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降低振动噪声。采用弹性支承或弹性连接以减少振动。采用动力消振装置或设置隔振屏。</w:t>
            </w:r>
          </w:p>
          <w:p w14:paraId="0340ED28">
            <w:pPr>
              <w:keepNext w:val="0"/>
              <w:keepLines w:val="0"/>
              <w:pageBreakBefore w:val="0"/>
              <w:widowControl w:val="0"/>
              <w:kinsoku/>
              <w:wordWrap/>
              <w:overflowPunct/>
              <w:topLinePunct w:val="0"/>
              <w:autoSpaceDE/>
              <w:autoSpaceDN/>
              <w:bidi w:val="0"/>
              <w:spacing w:line="360" w:lineRule="auto"/>
              <w:ind w:right="0" w:rightChars="0" w:firstLine="482" w:firstLineChars="200"/>
              <w:jc w:val="both"/>
              <w:textAlignment w:val="auto"/>
              <w:rPr>
                <w:rFonts w:hint="default" w:ascii="Times New Roman" w:hAnsi="Times New Roman" w:eastAsia="宋体" w:cs="Times New Roman"/>
                <w:b/>
                <w:bCs/>
                <w:color w:val="auto"/>
                <w:kern w:val="0"/>
                <w:sz w:val="24"/>
                <w:szCs w:val="24"/>
                <w:highlight w:val="none"/>
                <w:lang w:val="en-US" w:eastAsia="zh-CN" w:bidi="ar-SA"/>
              </w:rPr>
            </w:pPr>
            <w:r>
              <w:rPr>
                <w:rFonts w:hint="eastAsia" w:cs="Times New Roman"/>
                <w:b/>
                <w:bCs/>
                <w:color w:val="auto"/>
                <w:kern w:val="0"/>
                <w:sz w:val="24"/>
                <w:szCs w:val="24"/>
                <w:highlight w:val="none"/>
                <w:lang w:val="en-US" w:eastAsia="zh-CN" w:bidi="ar-SA"/>
              </w:rPr>
              <w:t>5.</w:t>
            </w:r>
            <w:r>
              <w:rPr>
                <w:rFonts w:hint="default" w:ascii="Times New Roman" w:hAnsi="Times New Roman" w:eastAsia="宋体" w:cs="Times New Roman"/>
                <w:b/>
                <w:bCs/>
                <w:color w:val="auto"/>
                <w:kern w:val="0"/>
                <w:sz w:val="24"/>
                <w:szCs w:val="24"/>
                <w:highlight w:val="none"/>
                <w:lang w:val="en-US" w:eastAsia="zh-CN" w:bidi="ar-SA"/>
              </w:rPr>
              <w:t>噪声监测计划</w:t>
            </w:r>
          </w:p>
          <w:p w14:paraId="152FF462">
            <w:pPr>
              <w:keepNext w:val="0"/>
              <w:keepLines w:val="0"/>
              <w:pageBreakBefore w:val="0"/>
              <w:kinsoku/>
              <w:wordWrap/>
              <w:overflowPunct/>
              <w:topLinePunct w:val="0"/>
              <w:autoSpaceDE/>
              <w:autoSpaceDN/>
              <w:bidi w:val="0"/>
              <w:spacing w:line="360" w:lineRule="auto"/>
              <w:ind w:left="0" w:leftChars="0" w:right="0" w:rightChars="0" w:firstLine="480" w:firstLineChars="200"/>
              <w:textAlignment w:val="auto"/>
              <w:rPr>
                <w:rFonts w:hint="default" w:ascii="Times New Roman" w:hAnsi="Times New Roman" w:eastAsia="宋体" w:cs="Times New Roman"/>
                <w:b w:val="0"/>
                <w:bCs w:val="0"/>
                <w:color w:val="auto"/>
                <w:sz w:val="24"/>
                <w:szCs w:val="24"/>
                <w:highlight w:val="none"/>
                <w:lang w:eastAsia="zh-CN"/>
              </w:rPr>
            </w:pPr>
            <w:r>
              <w:rPr>
                <w:rFonts w:hint="default" w:ascii="Times New Roman" w:hAnsi="Times New Roman" w:eastAsia="宋体" w:cs="Times New Roman"/>
                <w:color w:val="auto"/>
                <w:sz w:val="24"/>
                <w:szCs w:val="32"/>
                <w:highlight w:val="none"/>
                <w:lang w:eastAsia="zh-CN"/>
              </w:rPr>
              <w:t>根据《排污单位自行监测技术指南</w:t>
            </w:r>
            <w:r>
              <w:rPr>
                <w:rFonts w:hint="default" w:ascii="Times New Roman" w:hAnsi="Times New Roman" w:eastAsia="宋体" w:cs="Times New Roman"/>
                <w:color w:val="auto"/>
                <w:sz w:val="24"/>
                <w:szCs w:val="32"/>
                <w:highlight w:val="none"/>
                <w:lang w:val="en-US" w:eastAsia="zh-CN"/>
              </w:rPr>
              <w:t xml:space="preserve"> </w:t>
            </w:r>
            <w:r>
              <w:rPr>
                <w:rFonts w:hint="default" w:ascii="Times New Roman" w:hAnsi="Times New Roman" w:eastAsia="宋体" w:cs="Times New Roman"/>
                <w:color w:val="auto"/>
                <w:sz w:val="24"/>
                <w:szCs w:val="32"/>
                <w:highlight w:val="none"/>
                <w:lang w:eastAsia="zh-CN"/>
              </w:rPr>
              <w:t>总则》（HJ819-2017），厂界噪声最低监测频次为季度，厂界噪声监测频次为一季度开展一次，并在噪声监测点附近醒目处设置环境保护图形标志牌</w:t>
            </w:r>
            <w:r>
              <w:rPr>
                <w:rFonts w:hint="default" w:ascii="Times New Roman" w:hAnsi="Times New Roman" w:eastAsia="宋体" w:cs="Times New Roman"/>
                <w:b w:val="0"/>
                <w:bCs w:val="0"/>
                <w:color w:val="auto"/>
                <w:sz w:val="24"/>
                <w:szCs w:val="24"/>
                <w:highlight w:val="none"/>
                <w:lang w:eastAsia="zh-CN"/>
              </w:rPr>
              <w:t>。</w:t>
            </w:r>
          </w:p>
          <w:p w14:paraId="712A2D26">
            <w:pPr>
              <w:keepNext w:val="0"/>
              <w:keepLines w:val="0"/>
              <w:pageBreakBefore w:val="0"/>
              <w:kinsoku/>
              <w:wordWrap/>
              <w:overflowPunct/>
              <w:topLinePunct w:val="0"/>
              <w:autoSpaceDE/>
              <w:autoSpaceDN/>
              <w:bidi w:val="0"/>
              <w:spacing w:line="240" w:lineRule="auto"/>
              <w:ind w:left="0" w:leftChars="0" w:right="0" w:rightChars="0" w:firstLine="422" w:firstLineChars="20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w:t>
            </w:r>
            <w:r>
              <w:rPr>
                <w:rFonts w:hint="default" w:ascii="Times New Roman" w:hAnsi="Times New Roman" w:eastAsia="宋体" w:cs="Times New Roman"/>
                <w:b/>
                <w:color w:val="auto"/>
                <w:sz w:val="21"/>
                <w:szCs w:val="21"/>
                <w:highlight w:val="none"/>
                <w:lang w:val="en-US" w:eastAsia="zh-CN"/>
              </w:rPr>
              <w:t>4-</w:t>
            </w:r>
            <w:r>
              <w:rPr>
                <w:rFonts w:hint="eastAsia" w:cs="Times New Roman"/>
                <w:b/>
                <w:color w:val="auto"/>
                <w:sz w:val="21"/>
                <w:szCs w:val="21"/>
                <w:highlight w:val="none"/>
                <w:lang w:val="en-US" w:eastAsia="zh-CN"/>
              </w:rPr>
              <w:t>16</w:t>
            </w:r>
            <w:r>
              <w:rPr>
                <w:rFonts w:hint="default" w:ascii="Times New Roman" w:hAnsi="Times New Roman" w:eastAsia="宋体" w:cs="Times New Roman"/>
                <w:b/>
                <w:color w:val="auto"/>
                <w:sz w:val="21"/>
                <w:szCs w:val="21"/>
                <w:highlight w:val="none"/>
                <w:lang w:val="en-US" w:eastAsia="zh-CN"/>
              </w:rPr>
              <w:t xml:space="preserve"> </w:t>
            </w:r>
            <w:r>
              <w:rPr>
                <w:rFonts w:hint="default" w:ascii="Times New Roman" w:hAnsi="Times New Roman" w:eastAsia="宋体" w:cs="Times New Roman"/>
                <w:b/>
                <w:color w:val="auto"/>
                <w:sz w:val="21"/>
                <w:szCs w:val="21"/>
                <w:highlight w:val="none"/>
              </w:rPr>
              <w:t>项目</w:t>
            </w:r>
            <w:r>
              <w:rPr>
                <w:rFonts w:hint="default" w:ascii="Times New Roman" w:hAnsi="Times New Roman" w:eastAsia="宋体" w:cs="Times New Roman"/>
                <w:b/>
                <w:color w:val="auto"/>
                <w:sz w:val="21"/>
                <w:szCs w:val="21"/>
                <w:highlight w:val="none"/>
                <w:lang w:val="en-US" w:eastAsia="zh-CN"/>
              </w:rPr>
              <w:t>区域</w:t>
            </w:r>
            <w:r>
              <w:rPr>
                <w:rFonts w:hint="default" w:ascii="Times New Roman" w:hAnsi="Times New Roman" w:eastAsia="宋体" w:cs="Times New Roman"/>
                <w:b/>
                <w:color w:val="auto"/>
                <w:sz w:val="21"/>
                <w:szCs w:val="21"/>
                <w:highlight w:val="none"/>
                <w:lang w:eastAsia="zh-CN"/>
              </w:rPr>
              <w:t>噪声</w:t>
            </w:r>
            <w:r>
              <w:rPr>
                <w:rFonts w:hint="default" w:ascii="Times New Roman" w:hAnsi="Times New Roman" w:eastAsia="宋体" w:cs="Times New Roman"/>
                <w:b/>
                <w:color w:val="auto"/>
                <w:sz w:val="21"/>
                <w:szCs w:val="21"/>
                <w:highlight w:val="none"/>
              </w:rPr>
              <w:t>监测计划一览表</w:t>
            </w:r>
          </w:p>
          <w:tbl>
            <w:tblPr>
              <w:tblStyle w:val="41"/>
              <w:tblW w:w="494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30"/>
              <w:gridCol w:w="4897"/>
              <w:gridCol w:w="4361"/>
              <w:gridCol w:w="2775"/>
            </w:tblGrid>
            <w:tr w14:paraId="2B4B38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31" w:type="pct"/>
                  <w:tcBorders>
                    <w:tl2br w:val="nil"/>
                    <w:tr2bl w:val="nil"/>
                  </w:tcBorders>
                  <w:noWrap w:val="0"/>
                  <w:vAlign w:val="center"/>
                </w:tcPr>
                <w:p w14:paraId="3733789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类别</w:t>
                  </w:r>
                </w:p>
              </w:tc>
              <w:tc>
                <w:tcPr>
                  <w:tcW w:w="1818" w:type="pct"/>
                  <w:tcBorders>
                    <w:tl2br w:val="nil"/>
                    <w:tr2bl w:val="nil"/>
                  </w:tcBorders>
                  <w:noWrap w:val="0"/>
                  <w:vAlign w:val="center"/>
                </w:tcPr>
                <w:p w14:paraId="0B3B98D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监测位点</w:t>
                  </w:r>
                </w:p>
              </w:tc>
              <w:tc>
                <w:tcPr>
                  <w:tcW w:w="1619" w:type="pct"/>
                  <w:tcBorders>
                    <w:tl2br w:val="nil"/>
                    <w:tr2bl w:val="nil"/>
                  </w:tcBorders>
                  <w:noWrap w:val="0"/>
                  <w:vAlign w:val="center"/>
                </w:tcPr>
                <w:p w14:paraId="0522751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监测项目</w:t>
                  </w:r>
                </w:p>
              </w:tc>
              <w:tc>
                <w:tcPr>
                  <w:tcW w:w="1030" w:type="pct"/>
                  <w:tcBorders>
                    <w:tl2br w:val="nil"/>
                    <w:tr2bl w:val="nil"/>
                  </w:tcBorders>
                  <w:noWrap w:val="0"/>
                  <w:vAlign w:val="center"/>
                </w:tcPr>
                <w:p w14:paraId="673A113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监测频率</w:t>
                  </w:r>
                </w:p>
              </w:tc>
            </w:tr>
            <w:tr w14:paraId="3FDCCC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531" w:type="pct"/>
                  <w:tcBorders>
                    <w:tl2br w:val="nil"/>
                    <w:tr2bl w:val="nil"/>
                  </w:tcBorders>
                  <w:noWrap w:val="0"/>
                  <w:vAlign w:val="center"/>
                </w:tcPr>
                <w:p w14:paraId="3542856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噪声</w:t>
                  </w:r>
                </w:p>
              </w:tc>
              <w:tc>
                <w:tcPr>
                  <w:tcW w:w="1818" w:type="pct"/>
                  <w:tcBorders>
                    <w:tl2br w:val="nil"/>
                    <w:tr2bl w:val="nil"/>
                  </w:tcBorders>
                  <w:noWrap w:val="0"/>
                  <w:vAlign w:val="center"/>
                </w:tcPr>
                <w:p w14:paraId="228A8EB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东南西北四</w:t>
                  </w:r>
                  <w:r>
                    <w:rPr>
                      <w:rFonts w:hint="default" w:ascii="Times New Roman" w:hAnsi="Times New Roman" w:eastAsia="宋体" w:cs="Times New Roman"/>
                      <w:color w:val="auto"/>
                      <w:sz w:val="21"/>
                      <w:szCs w:val="21"/>
                      <w:highlight w:val="none"/>
                      <w:lang w:eastAsia="zh-CN"/>
                    </w:rPr>
                    <w:t>厂界外</w:t>
                  </w:r>
                  <w:r>
                    <w:rPr>
                      <w:rFonts w:hint="default" w:ascii="Times New Roman" w:hAnsi="Times New Roman" w:eastAsia="宋体" w:cs="Times New Roman"/>
                      <w:color w:val="auto"/>
                      <w:sz w:val="21"/>
                      <w:szCs w:val="21"/>
                      <w:highlight w:val="none"/>
                      <w:lang w:val="en-US" w:eastAsia="zh-CN"/>
                    </w:rPr>
                    <w:t>1m处</w:t>
                  </w:r>
                </w:p>
              </w:tc>
              <w:tc>
                <w:tcPr>
                  <w:tcW w:w="1619" w:type="pct"/>
                  <w:tcBorders>
                    <w:tl2br w:val="nil"/>
                    <w:tr2bl w:val="nil"/>
                  </w:tcBorders>
                  <w:noWrap w:val="0"/>
                  <w:vAlign w:val="center"/>
                </w:tcPr>
                <w:p w14:paraId="4A17740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连续等效A声级</w:t>
                  </w:r>
                </w:p>
              </w:tc>
              <w:tc>
                <w:tcPr>
                  <w:tcW w:w="1030" w:type="pct"/>
                  <w:tcBorders>
                    <w:tl2br w:val="nil"/>
                    <w:tr2bl w:val="nil"/>
                  </w:tcBorders>
                  <w:noWrap w:val="0"/>
                  <w:vAlign w:val="center"/>
                </w:tcPr>
                <w:p w14:paraId="11F8B71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1次/季度</w:t>
                  </w:r>
                </w:p>
              </w:tc>
            </w:tr>
          </w:tbl>
          <w:p w14:paraId="216F41E7">
            <w:pPr>
              <w:pStyle w:val="19"/>
              <w:ind w:left="0" w:leftChars="0" w:firstLine="0" w:firstLineChars="0"/>
            </w:pPr>
          </w:p>
        </w:tc>
      </w:tr>
    </w:tbl>
    <w:p w14:paraId="440A49AA">
      <w:pPr>
        <w:pStyle w:val="25"/>
        <w:ind w:left="480" w:firstLine="480"/>
        <w:sectPr>
          <w:pgSz w:w="16840" w:h="11907" w:orient="landscape"/>
          <w:pgMar w:top="1440" w:right="1440" w:bottom="1440" w:left="1440" w:header="851" w:footer="851" w:gutter="0"/>
          <w:pgBorders>
            <w:top w:val="none" w:sz="0" w:space="0"/>
            <w:left w:val="none" w:sz="0" w:space="0"/>
            <w:bottom w:val="none" w:sz="0" w:space="0"/>
            <w:right w:val="none" w:sz="0" w:space="0"/>
          </w:pgBorders>
          <w:cols w:space="720" w:num="1"/>
          <w:docGrid w:linePitch="312" w:charSpace="0"/>
        </w:sectPr>
      </w:pPr>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2"/>
        <w:gridCol w:w="8459"/>
      </w:tblGrid>
      <w:tr w14:paraId="5683F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3" w:hRule="atLeast"/>
        </w:trPr>
        <w:tc>
          <w:tcPr>
            <w:tcW w:w="602" w:type="dxa"/>
            <w:vAlign w:val="center"/>
          </w:tcPr>
          <w:p w14:paraId="6E1B4637">
            <w:pPr>
              <w:ind w:firstLine="0" w:firstLineChars="0"/>
              <w:jc w:val="center"/>
              <w:rPr>
                <w:rFonts w:ascii="宋体" w:hAnsi="宋体" w:cs="宋体"/>
                <w:b/>
              </w:rPr>
            </w:pPr>
            <w:r>
              <w:rPr>
                <w:rFonts w:hint="eastAsia" w:ascii="宋体" w:hAnsi="宋体" w:cs="宋体"/>
                <w:b/>
              </w:rPr>
              <w:t>运营</w:t>
            </w:r>
          </w:p>
          <w:p w14:paraId="74DDCC59">
            <w:pPr>
              <w:ind w:firstLine="0" w:firstLineChars="0"/>
              <w:jc w:val="center"/>
              <w:rPr>
                <w:rFonts w:ascii="宋体" w:hAnsi="宋体" w:cs="宋体"/>
                <w:b/>
              </w:rPr>
            </w:pPr>
            <w:r>
              <w:rPr>
                <w:rFonts w:hint="eastAsia" w:ascii="宋体" w:hAnsi="宋体" w:cs="宋体"/>
                <w:b/>
              </w:rPr>
              <w:t>期环</w:t>
            </w:r>
          </w:p>
          <w:p w14:paraId="678B1670">
            <w:pPr>
              <w:ind w:firstLine="0" w:firstLineChars="0"/>
              <w:jc w:val="center"/>
              <w:rPr>
                <w:rFonts w:ascii="宋体" w:hAnsi="宋体" w:cs="宋体"/>
                <w:b/>
              </w:rPr>
            </w:pPr>
            <w:r>
              <w:rPr>
                <w:rFonts w:hint="eastAsia" w:ascii="宋体" w:hAnsi="宋体" w:cs="宋体"/>
                <w:b/>
              </w:rPr>
              <w:t>境影</w:t>
            </w:r>
          </w:p>
          <w:p w14:paraId="443D59CD">
            <w:pPr>
              <w:ind w:firstLine="0" w:firstLineChars="0"/>
              <w:jc w:val="center"/>
              <w:rPr>
                <w:rFonts w:ascii="宋体" w:hAnsi="宋体" w:cs="宋体"/>
                <w:b/>
              </w:rPr>
            </w:pPr>
            <w:r>
              <w:rPr>
                <w:rFonts w:hint="eastAsia" w:ascii="宋体" w:hAnsi="宋体" w:cs="宋体"/>
                <w:b/>
              </w:rPr>
              <w:t>响和</w:t>
            </w:r>
          </w:p>
          <w:p w14:paraId="6703ABAF">
            <w:pPr>
              <w:ind w:firstLine="0" w:firstLineChars="0"/>
              <w:jc w:val="center"/>
            </w:pPr>
            <w:r>
              <w:rPr>
                <w:rFonts w:hint="eastAsia" w:ascii="宋体" w:hAnsi="宋体" w:cs="宋体"/>
                <w:b/>
              </w:rPr>
              <w:t>保护措施</w:t>
            </w:r>
          </w:p>
        </w:tc>
        <w:tc>
          <w:tcPr>
            <w:tcW w:w="8459" w:type="dxa"/>
          </w:tcPr>
          <w:p w14:paraId="1725A115">
            <w:pPr>
              <w:ind w:firstLine="482"/>
              <w:rPr>
                <w:b/>
                <w:bCs/>
              </w:rPr>
            </w:pPr>
            <w:r>
              <w:rPr>
                <w:rFonts w:hint="eastAsia"/>
                <w:b/>
                <w:bCs/>
                <w:lang w:val="en-US" w:eastAsia="zh-CN"/>
              </w:rPr>
              <w:t>四</w:t>
            </w:r>
            <w:r>
              <w:rPr>
                <w:b/>
                <w:bCs/>
              </w:rPr>
              <w:t>、固体废物</w:t>
            </w:r>
          </w:p>
          <w:p w14:paraId="1B14238A">
            <w:pPr>
              <w:ind w:firstLine="480"/>
            </w:pPr>
            <w:r>
              <w:rPr>
                <w:rFonts w:hint="eastAsia"/>
              </w:rPr>
              <w:t>根据项目工程分析，</w:t>
            </w:r>
            <w:r>
              <w:rPr>
                <w:rFonts w:hint="eastAsia"/>
                <w:lang w:val="en-US" w:eastAsia="zh-CN"/>
              </w:rPr>
              <w:t>项目产生一般固废和危险废物</w:t>
            </w:r>
            <w:r>
              <w:t>。</w:t>
            </w:r>
          </w:p>
          <w:p w14:paraId="5AAD196D">
            <w:pPr>
              <w:ind w:firstLine="480"/>
            </w:pPr>
            <w:r>
              <w:rPr>
                <w:rFonts w:hint="eastAsia"/>
              </w:rPr>
              <w:t>一般固废：钢筋下脚料</w:t>
            </w:r>
            <w:r>
              <w:rPr>
                <w:rFonts w:hint="eastAsia"/>
                <w:lang w:eastAsia="zh-CN"/>
              </w:rPr>
              <w:t>、</w:t>
            </w:r>
            <w:r>
              <w:rPr>
                <w:rFonts w:hint="eastAsia"/>
              </w:rPr>
              <w:t>不合格品</w:t>
            </w:r>
            <w:r>
              <w:rPr>
                <w:rFonts w:hint="eastAsia"/>
                <w:lang w:eastAsia="zh-CN"/>
              </w:rPr>
              <w:t>、</w:t>
            </w:r>
            <w:r>
              <w:rPr>
                <w:rFonts w:hint="eastAsia"/>
                <w:lang w:val="en-US" w:eastAsia="zh-CN"/>
              </w:rPr>
              <w:t>废包装袋</w:t>
            </w:r>
            <w:r>
              <w:rPr>
                <w:rFonts w:hint="eastAsia"/>
                <w:lang w:eastAsia="zh-CN"/>
              </w:rPr>
              <w:t>、</w:t>
            </w:r>
            <w:r>
              <w:rPr>
                <w:rFonts w:hint="eastAsia"/>
              </w:rPr>
              <w:t>沉淀池污泥</w:t>
            </w:r>
            <w:r>
              <w:rPr>
                <w:rFonts w:hint="eastAsia"/>
                <w:lang w:eastAsia="zh-CN"/>
              </w:rPr>
              <w:t>、</w:t>
            </w:r>
            <w:r>
              <w:rPr>
                <w:rFonts w:hint="eastAsia"/>
              </w:rPr>
              <w:t>收集的粉尘</w:t>
            </w:r>
            <w:r>
              <w:rPr>
                <w:rFonts w:hint="eastAsia"/>
                <w:lang w:eastAsia="zh-CN"/>
              </w:rPr>
              <w:t>、</w:t>
            </w:r>
            <w:r>
              <w:rPr>
                <w:rFonts w:hint="eastAsia"/>
              </w:rPr>
              <w:t>废布袋</w:t>
            </w:r>
            <w:r>
              <w:rPr>
                <w:rFonts w:hint="eastAsia"/>
                <w:lang w:eastAsia="zh-CN"/>
              </w:rPr>
              <w:t>、</w:t>
            </w:r>
            <w:r>
              <w:rPr>
                <w:rFonts w:hint="eastAsia"/>
              </w:rPr>
              <w:t>焊接</w:t>
            </w:r>
            <w:r>
              <w:rPr>
                <w:rFonts w:hint="eastAsia"/>
                <w:color w:val="000000" w:themeColor="text1"/>
                <w14:textFill>
                  <w14:solidFill>
                    <w14:schemeClr w14:val="tx1"/>
                  </w14:solidFill>
                </w14:textFill>
              </w:rPr>
              <w:t>烟尘</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报废零部件、</w:t>
            </w:r>
            <w:r>
              <w:rPr>
                <w:rFonts w:hint="eastAsia"/>
                <w:color w:val="000000" w:themeColor="text1"/>
                <w14:textFill>
                  <w14:solidFill>
                    <w14:schemeClr w14:val="tx1"/>
                  </w14:solidFill>
                </w14:textFill>
              </w:rPr>
              <w:t>生</w:t>
            </w:r>
            <w:r>
              <w:rPr>
                <w:rFonts w:hint="eastAsia"/>
              </w:rPr>
              <w:t>活垃圾；</w:t>
            </w:r>
          </w:p>
          <w:p w14:paraId="375512D9">
            <w:pPr>
              <w:ind w:firstLine="480"/>
              <w:rPr>
                <w:rFonts w:hint="eastAsia" w:eastAsia="宋体"/>
                <w:lang w:eastAsia="zh-CN"/>
              </w:rPr>
            </w:pPr>
            <w:r>
              <w:rPr>
                <w:rFonts w:hint="eastAsia"/>
              </w:rPr>
              <w:t>危险</w:t>
            </w:r>
            <w:r>
              <w:rPr>
                <w:rFonts w:hint="eastAsia"/>
                <w:lang w:val="en-US" w:eastAsia="zh-CN"/>
              </w:rPr>
              <w:t>废物</w:t>
            </w:r>
            <w:r>
              <w:rPr>
                <w:rFonts w:hint="eastAsia"/>
              </w:rPr>
              <w:t>：含油抹布和手套</w:t>
            </w:r>
            <w:r>
              <w:rPr>
                <w:rFonts w:hint="eastAsia"/>
                <w:lang w:eastAsia="zh-CN"/>
              </w:rPr>
              <w:t>、</w:t>
            </w:r>
            <w:r>
              <w:rPr>
                <w:rFonts w:hint="eastAsia"/>
              </w:rPr>
              <w:t>废机油</w:t>
            </w:r>
            <w:r>
              <w:rPr>
                <w:rFonts w:hint="eastAsia"/>
                <w:lang w:eastAsia="zh-CN"/>
              </w:rPr>
              <w:t>、</w:t>
            </w:r>
            <w:r>
              <w:rPr>
                <w:rFonts w:hint="eastAsia"/>
              </w:rPr>
              <w:t>废机油桶</w:t>
            </w:r>
            <w:r>
              <w:rPr>
                <w:rFonts w:hint="eastAsia"/>
                <w:lang w:eastAsia="zh-CN"/>
              </w:rPr>
              <w:t>。</w:t>
            </w:r>
          </w:p>
          <w:p w14:paraId="539847E7">
            <w:pPr>
              <w:ind w:firstLine="480"/>
              <w:rPr>
                <w:rFonts w:hint="eastAsia"/>
              </w:rPr>
            </w:pPr>
            <w:r>
              <w:rPr>
                <w:rFonts w:hint="eastAsia"/>
              </w:rPr>
              <w:t>（1）钢筋下脚料</w:t>
            </w:r>
          </w:p>
          <w:p w14:paraId="21AFFC6C">
            <w:pPr>
              <w:ind w:firstLine="480"/>
              <w:rPr>
                <w:rFonts w:hint="eastAsia"/>
              </w:rPr>
            </w:pPr>
            <w:r>
              <w:rPr>
                <w:rFonts w:hint="eastAsia"/>
              </w:rPr>
              <w:t>项目钢筋切割过程中会有下脚料产生，产生量约</w:t>
            </w:r>
            <w:r>
              <w:rPr>
                <w:rFonts w:hint="eastAsia"/>
                <w:color w:val="FF0000"/>
              </w:rPr>
              <w:t>1</w:t>
            </w:r>
            <w:r>
              <w:rPr>
                <w:rFonts w:hint="eastAsia"/>
                <w:color w:val="FF0000"/>
                <w:lang w:val="en-US" w:eastAsia="zh-CN"/>
              </w:rPr>
              <w:t>.3523</w:t>
            </w:r>
            <w:r>
              <w:rPr>
                <w:rFonts w:hint="eastAsia"/>
              </w:rPr>
              <w:t>t/a，属于一般</w:t>
            </w:r>
            <w:r>
              <w:rPr>
                <w:rFonts w:hint="eastAsia"/>
                <w:lang w:val="en-US" w:eastAsia="zh-CN"/>
              </w:rPr>
              <w:t>工业</w:t>
            </w:r>
            <w:r>
              <w:rPr>
                <w:rFonts w:hint="eastAsia"/>
              </w:rPr>
              <w:t>固废，集中收集后全部外售给物资回收公司资源再利用。</w:t>
            </w:r>
          </w:p>
          <w:p w14:paraId="348DCEE1">
            <w:pPr>
              <w:numPr>
                <w:ilvl w:val="0"/>
                <w:numId w:val="5"/>
              </w:numPr>
              <w:ind w:left="0" w:leftChars="0" w:firstLine="480" w:firstLineChars="200"/>
              <w:rPr>
                <w:rFonts w:hint="eastAsia"/>
              </w:rPr>
            </w:pPr>
            <w:r>
              <w:rPr>
                <w:rFonts w:hint="eastAsia"/>
              </w:rPr>
              <w:t>不合格品</w:t>
            </w:r>
          </w:p>
          <w:p w14:paraId="6F474C0F">
            <w:pPr>
              <w:numPr>
                <w:ilvl w:val="0"/>
                <w:numId w:val="0"/>
              </w:numPr>
              <w:ind w:firstLine="480" w:firstLineChars="200"/>
              <w:rPr>
                <w:rFonts w:hint="default" w:eastAsia="宋体"/>
                <w:lang w:val="en-US" w:eastAsia="zh-CN"/>
              </w:rPr>
            </w:pPr>
            <w:r>
              <w:rPr>
                <w:rFonts w:hint="eastAsia"/>
                <w:lang w:val="en-US" w:eastAsia="zh-CN"/>
              </w:rPr>
              <w:t>项目预制生产过程中会产生不合格品，根据物料平衡估算，项目不合格品产生量约22.625t/a</w:t>
            </w:r>
            <w:r>
              <w:rPr>
                <w:rFonts w:hint="eastAsia"/>
                <w:color w:val="FF0000"/>
                <w:lang w:val="en-US" w:eastAsia="zh-CN"/>
              </w:rPr>
              <w:t>，外售综合利用</w:t>
            </w:r>
            <w:r>
              <w:rPr>
                <w:rFonts w:hint="eastAsia"/>
                <w:lang w:val="en-US" w:eastAsia="zh-CN"/>
              </w:rPr>
              <w:t>。</w:t>
            </w:r>
          </w:p>
          <w:p w14:paraId="446CE49B">
            <w:pPr>
              <w:ind w:firstLine="480"/>
              <w:rPr>
                <w:rFonts w:hint="eastAsia"/>
              </w:rPr>
            </w:pPr>
            <w:r>
              <w:rPr>
                <w:rFonts w:hint="eastAsia"/>
              </w:rPr>
              <w:t>（</w:t>
            </w:r>
            <w:r>
              <w:rPr>
                <w:rFonts w:hint="eastAsia"/>
                <w:lang w:val="en-US" w:eastAsia="zh-CN"/>
              </w:rPr>
              <w:t>3</w:t>
            </w:r>
            <w:r>
              <w:rPr>
                <w:rFonts w:hint="eastAsia"/>
              </w:rPr>
              <w:t>）</w:t>
            </w:r>
            <w:r>
              <w:rPr>
                <w:rFonts w:hint="eastAsia"/>
                <w:lang w:val="en-US" w:eastAsia="zh-CN"/>
              </w:rPr>
              <w:t>废包装</w:t>
            </w:r>
            <w:r>
              <w:rPr>
                <w:rFonts w:hint="eastAsia"/>
              </w:rPr>
              <w:t>袋</w:t>
            </w:r>
          </w:p>
          <w:p w14:paraId="1597A254">
            <w:pPr>
              <w:ind w:firstLine="480"/>
              <w:rPr>
                <w:rFonts w:hint="eastAsia"/>
              </w:rPr>
            </w:pPr>
            <w:r>
              <w:rPr>
                <w:rFonts w:hint="eastAsia"/>
                <w:lang w:val="en-US" w:eastAsia="zh-CN"/>
              </w:rPr>
              <w:t>项目木质纤维、减水剂、脱模剂采用塑料袋包装，废包装袋产生量约0.02t/a，属于一般工业固体废物，外售综合利用</w:t>
            </w:r>
            <w:r>
              <w:rPr>
                <w:rFonts w:hint="eastAsia"/>
              </w:rPr>
              <w:t>。</w:t>
            </w:r>
          </w:p>
          <w:p w14:paraId="37296BDF">
            <w:pPr>
              <w:numPr>
                <w:ilvl w:val="0"/>
                <w:numId w:val="0"/>
              </w:numPr>
              <w:ind w:leftChars="200"/>
              <w:rPr>
                <w:rFonts w:hint="eastAsia"/>
                <w:lang w:val="en-US" w:eastAsia="zh-CN"/>
              </w:rPr>
            </w:pPr>
            <w:r>
              <w:rPr>
                <w:rFonts w:hint="eastAsia"/>
                <w:lang w:val="en-US" w:eastAsia="zh-CN"/>
              </w:rPr>
              <w:t>（4）沉淀池污泥</w:t>
            </w:r>
          </w:p>
          <w:p w14:paraId="58440E63">
            <w:pPr>
              <w:numPr>
                <w:ilvl w:val="0"/>
                <w:numId w:val="0"/>
              </w:numPr>
              <w:ind w:firstLine="480" w:firstLineChars="200"/>
              <w:rPr>
                <w:rFonts w:hint="default"/>
                <w:lang w:val="en-US" w:eastAsia="zh-CN"/>
              </w:rPr>
            </w:pPr>
            <w:r>
              <w:rPr>
                <w:rFonts w:hint="eastAsia"/>
                <w:lang w:val="en-US" w:eastAsia="zh-CN"/>
              </w:rPr>
              <w:t>项目车辆冲洗及设备冲洗、初期雨水池会产生污泥，根据业主提供资料，污泥产生量约2t/a，沉淀池污泥干化后外售综合利用。</w:t>
            </w:r>
          </w:p>
          <w:p w14:paraId="5349BAF1">
            <w:pPr>
              <w:ind w:firstLine="480"/>
              <w:rPr>
                <w:rFonts w:hint="eastAsia"/>
              </w:rPr>
            </w:pPr>
            <w:r>
              <w:rPr>
                <w:rFonts w:hint="eastAsia"/>
              </w:rPr>
              <w:t>（</w:t>
            </w:r>
            <w:r>
              <w:rPr>
                <w:rFonts w:hint="eastAsia"/>
                <w:lang w:val="en-US" w:eastAsia="zh-CN"/>
              </w:rPr>
              <w:t>5</w:t>
            </w:r>
            <w:r>
              <w:rPr>
                <w:rFonts w:hint="eastAsia"/>
              </w:rPr>
              <w:t>）收集的粉尘</w:t>
            </w:r>
          </w:p>
          <w:p w14:paraId="6CC2F5F0">
            <w:pPr>
              <w:ind w:firstLine="480"/>
              <w:rPr>
                <w:rFonts w:hint="eastAsia"/>
              </w:rPr>
            </w:pPr>
            <w:r>
              <w:rPr>
                <w:rFonts w:hint="eastAsia"/>
              </w:rPr>
              <w:t>根据物料衡算，</w:t>
            </w:r>
            <w:r>
              <w:rPr>
                <w:rFonts w:hint="eastAsia"/>
                <w:lang w:val="en-US" w:eastAsia="zh-CN"/>
              </w:rPr>
              <w:t>项目</w:t>
            </w:r>
            <w:r>
              <w:rPr>
                <w:rFonts w:hint="eastAsia"/>
              </w:rPr>
              <w:t>生产线除尘灰产生量约</w:t>
            </w:r>
            <w:r>
              <w:rPr>
                <w:rFonts w:hint="eastAsia"/>
                <w:color w:val="FF0000"/>
                <w:lang w:val="en-US" w:eastAsia="zh-CN"/>
              </w:rPr>
              <w:t>6.921</w:t>
            </w:r>
            <w:r>
              <w:rPr>
                <w:rFonts w:hint="eastAsia"/>
              </w:rPr>
              <w:t>t/a，除尘灰属于一般固体废物（900-099-S59），集中收集后回用于生产。</w:t>
            </w:r>
          </w:p>
          <w:p w14:paraId="4A626F86">
            <w:pPr>
              <w:ind w:firstLine="480"/>
              <w:rPr>
                <w:rFonts w:hint="eastAsia" w:eastAsia="宋体"/>
                <w:lang w:val="en-US" w:eastAsia="zh-CN"/>
              </w:rPr>
            </w:pPr>
            <w:r>
              <w:rPr>
                <w:rFonts w:hint="eastAsia"/>
              </w:rPr>
              <w:t>（</w:t>
            </w:r>
            <w:r>
              <w:rPr>
                <w:rFonts w:hint="eastAsia"/>
                <w:lang w:val="en-US" w:eastAsia="zh-CN"/>
              </w:rPr>
              <w:t>6</w:t>
            </w:r>
            <w:r>
              <w:rPr>
                <w:rFonts w:hint="eastAsia"/>
              </w:rPr>
              <w:t>）</w:t>
            </w:r>
            <w:r>
              <w:rPr>
                <w:rFonts w:hint="eastAsia"/>
                <w:lang w:val="en-US" w:eastAsia="zh-CN"/>
              </w:rPr>
              <w:t>废布袋</w:t>
            </w:r>
          </w:p>
          <w:p w14:paraId="0816F2C8">
            <w:pPr>
              <w:ind w:firstLine="480"/>
              <w:rPr>
                <w:rFonts w:hint="eastAsia"/>
              </w:rPr>
            </w:pPr>
            <w:r>
              <w:rPr>
                <w:rFonts w:hint="eastAsia" w:ascii="Times New Roman" w:eastAsia="宋体"/>
                <w:color w:val="auto"/>
                <w:sz w:val="24"/>
                <w:szCs w:val="24"/>
                <w:lang w:val="en-US" w:eastAsia="zh-CN"/>
              </w:rPr>
              <w:t>项目废气</w:t>
            </w:r>
            <w:r>
              <w:rPr>
                <w:rFonts w:hint="eastAsia" w:ascii="Times New Roman" w:eastAsia="宋体"/>
                <w:color w:val="auto"/>
                <w:sz w:val="24"/>
                <w:szCs w:val="24"/>
                <w:lang w:eastAsia="zh-CN"/>
              </w:rPr>
              <w:t>采用</w:t>
            </w:r>
            <w:r>
              <w:rPr>
                <w:rFonts w:hint="eastAsia" w:ascii="Times New Roman" w:eastAsia="宋体"/>
                <w:color w:val="auto"/>
                <w:sz w:val="24"/>
                <w:szCs w:val="24"/>
                <w:lang w:val="en-US" w:eastAsia="zh-CN"/>
              </w:rPr>
              <w:t>布袋除尘进行处理，根据业主提供材料，布袋除尘器中布袋一年更换一次，一次更换量为0.1t/a，废布袋属于</w:t>
            </w:r>
            <w:r>
              <w:rPr>
                <w:rFonts w:ascii="Times New Roman" w:eastAsia="宋体"/>
                <w:color w:val="auto"/>
                <w:sz w:val="24"/>
                <w:szCs w:val="24"/>
              </w:rPr>
              <w:t>一般</w:t>
            </w:r>
            <w:r>
              <w:rPr>
                <w:rFonts w:hint="eastAsia" w:ascii="Times New Roman" w:eastAsia="宋体"/>
                <w:color w:val="auto"/>
                <w:sz w:val="24"/>
                <w:szCs w:val="24"/>
              </w:rPr>
              <w:t>工业</w:t>
            </w:r>
            <w:r>
              <w:rPr>
                <w:rFonts w:ascii="Times New Roman" w:eastAsia="宋体"/>
                <w:color w:val="auto"/>
                <w:sz w:val="24"/>
                <w:szCs w:val="24"/>
              </w:rPr>
              <w:t>固体废物（一般工业固体废物代码为</w:t>
            </w:r>
            <w:r>
              <w:rPr>
                <w:rFonts w:hint="eastAsia" w:ascii="Times New Roman" w:eastAsia="宋体"/>
                <w:color w:val="auto"/>
                <w:sz w:val="24"/>
                <w:szCs w:val="24"/>
                <w:lang w:val="en-US" w:eastAsia="zh-CN"/>
              </w:rPr>
              <w:t>SW59 900</w:t>
            </w:r>
            <w:r>
              <w:rPr>
                <w:rFonts w:hint="eastAsia" w:ascii="Times New Roman" w:eastAsia="宋体"/>
                <w:color w:val="auto"/>
                <w:sz w:val="24"/>
                <w:szCs w:val="24"/>
              </w:rPr>
              <w:t>-</w:t>
            </w:r>
            <w:r>
              <w:rPr>
                <w:rFonts w:hint="eastAsia" w:ascii="Times New Roman" w:eastAsia="宋体"/>
                <w:color w:val="auto"/>
                <w:sz w:val="24"/>
                <w:szCs w:val="24"/>
                <w:lang w:val="en-US" w:eastAsia="zh-CN"/>
              </w:rPr>
              <w:t>009</w:t>
            </w:r>
            <w:r>
              <w:rPr>
                <w:rFonts w:hint="eastAsia" w:ascii="Times New Roman" w:eastAsia="宋体"/>
                <w:color w:val="auto"/>
                <w:sz w:val="24"/>
                <w:szCs w:val="24"/>
              </w:rPr>
              <w:t>-S</w:t>
            </w:r>
            <w:r>
              <w:rPr>
                <w:rFonts w:hint="eastAsia" w:ascii="Times New Roman" w:eastAsia="宋体"/>
                <w:color w:val="auto"/>
                <w:sz w:val="24"/>
                <w:szCs w:val="24"/>
                <w:lang w:val="en-US" w:eastAsia="zh-CN"/>
              </w:rPr>
              <w:t>99</w:t>
            </w:r>
            <w:r>
              <w:rPr>
                <w:rFonts w:ascii="Times New Roman" w:eastAsia="宋体"/>
                <w:color w:val="auto"/>
                <w:sz w:val="24"/>
                <w:szCs w:val="24"/>
              </w:rPr>
              <w:t>），</w:t>
            </w:r>
            <w:r>
              <w:rPr>
                <w:rFonts w:hint="eastAsia" w:ascii="Times New Roman" w:eastAsia="宋体"/>
                <w:color w:val="auto"/>
                <w:sz w:val="24"/>
                <w:szCs w:val="24"/>
              </w:rPr>
              <w:t>暂存于一般固废暂存间内，</w:t>
            </w:r>
            <w:r>
              <w:rPr>
                <w:rFonts w:hint="eastAsia" w:ascii="Times New Roman" w:eastAsia="宋体"/>
                <w:color w:val="auto"/>
                <w:sz w:val="24"/>
                <w:szCs w:val="24"/>
                <w:lang w:eastAsia="zh-CN"/>
              </w:rPr>
              <w:t>由厂家回收处理。</w:t>
            </w:r>
          </w:p>
          <w:p w14:paraId="2588E45E">
            <w:pPr>
              <w:ind w:firstLine="480"/>
              <w:rPr>
                <w:rFonts w:hint="default" w:eastAsia="宋体"/>
                <w:color w:val="FF0000"/>
                <w:lang w:val="en-US" w:eastAsia="zh-CN"/>
              </w:rPr>
            </w:pPr>
            <w:r>
              <w:rPr>
                <w:rFonts w:hint="eastAsia"/>
              </w:rPr>
              <w:t>（</w:t>
            </w:r>
            <w:r>
              <w:rPr>
                <w:rFonts w:hint="eastAsia"/>
                <w:lang w:val="en-US" w:eastAsia="zh-CN"/>
              </w:rPr>
              <w:t>7</w:t>
            </w:r>
            <w:r>
              <w:rPr>
                <w:rFonts w:hint="eastAsia"/>
              </w:rPr>
              <w:t>）</w:t>
            </w:r>
            <w:r>
              <w:rPr>
                <w:rFonts w:hint="eastAsia"/>
                <w:color w:val="FF0000"/>
              </w:rPr>
              <w:t>焊接烟尘</w:t>
            </w:r>
            <w:r>
              <w:rPr>
                <w:rFonts w:hint="eastAsia"/>
                <w:color w:val="FF0000"/>
                <w:lang w:val="en-US" w:eastAsia="zh-CN"/>
              </w:rPr>
              <w:t>及废焊丝</w:t>
            </w:r>
          </w:p>
          <w:p w14:paraId="41B4B8D7">
            <w:pPr>
              <w:ind w:firstLine="480"/>
              <w:rPr>
                <w:rFonts w:hint="eastAsia"/>
                <w:lang w:val="en-US" w:eastAsia="zh-CN"/>
              </w:rPr>
            </w:pPr>
            <w:r>
              <w:rPr>
                <w:rFonts w:hint="eastAsia"/>
                <w:color w:val="FF0000"/>
                <w:lang w:val="en-US" w:eastAsia="zh-CN"/>
              </w:rPr>
              <w:t>焊接过程会产生废焊丝，同步项目使用焊烟净化器收集处理焊接烟尘，根据物料衡算，收集的焊接烟尘量约0.007t/a，焊丝约0.1t，外售综合利用。</w:t>
            </w:r>
          </w:p>
          <w:p w14:paraId="343F1047">
            <w:pPr>
              <w:ind w:firstLine="480"/>
              <w:rPr>
                <w:rFonts w:hint="eastAsia"/>
                <w:lang w:val="en-US" w:eastAsia="zh-CN"/>
              </w:rPr>
            </w:pPr>
            <w:r>
              <w:rPr>
                <w:rFonts w:hint="eastAsia"/>
                <w:lang w:val="en-US" w:eastAsia="zh-CN"/>
              </w:rPr>
              <w:t>(8)报废零部件</w:t>
            </w:r>
          </w:p>
          <w:p w14:paraId="263892EC">
            <w:pPr>
              <w:numPr>
                <w:ilvl w:val="0"/>
                <w:numId w:val="0"/>
              </w:numPr>
              <w:spacing w:line="360" w:lineRule="auto"/>
              <w:ind w:firstLine="480" w:firstLineChars="200"/>
              <w:rPr>
                <w:rFonts w:hint="default"/>
                <w:color w:val="FF0000"/>
                <w:lang w:val="en-US" w:eastAsia="zh-CN"/>
              </w:rPr>
            </w:pPr>
            <w:r>
              <w:rPr>
                <w:rFonts w:hint="eastAsia"/>
                <w:color w:val="FF0000"/>
                <w:lang w:val="en-US" w:eastAsia="zh-CN"/>
              </w:rPr>
              <w:t>项目光伏发电新型房屋焊接过程产生不合格焊接产品，需要对对应零部件报废重新焊接，根据业主提供资料，报废零部件产生量约2t/年，外售综合利用。</w:t>
            </w:r>
          </w:p>
          <w:p w14:paraId="2B7C0723">
            <w:pPr>
              <w:pStyle w:val="174"/>
              <w:snapToGrid w:val="0"/>
              <w:spacing w:line="360" w:lineRule="auto"/>
              <w:ind w:firstLine="480"/>
              <w:rPr>
                <w:rFonts w:hint="eastAsia" w:ascii="Times New Roman" w:eastAsia="宋体"/>
                <w:color w:val="0C0C0C"/>
                <w:sz w:val="24"/>
                <w:szCs w:val="24"/>
              </w:rPr>
            </w:pPr>
            <w:r>
              <w:rPr>
                <w:rFonts w:hint="eastAsia" w:ascii="Times New Roman" w:eastAsia="宋体"/>
                <w:color w:val="auto"/>
                <w:sz w:val="24"/>
                <w:szCs w:val="24"/>
                <w:lang w:eastAsia="zh-CN"/>
              </w:rPr>
              <w:t>（</w:t>
            </w:r>
            <w:r>
              <w:rPr>
                <w:rFonts w:hint="eastAsia" w:ascii="Times New Roman" w:eastAsia="宋体"/>
                <w:color w:val="auto"/>
                <w:sz w:val="24"/>
                <w:szCs w:val="24"/>
                <w:lang w:val="en-US" w:eastAsia="zh-CN"/>
              </w:rPr>
              <w:t>9</w:t>
            </w:r>
            <w:r>
              <w:rPr>
                <w:rFonts w:hint="eastAsia" w:ascii="Times New Roman" w:eastAsia="宋体"/>
                <w:color w:val="auto"/>
                <w:sz w:val="24"/>
                <w:szCs w:val="24"/>
                <w:lang w:eastAsia="zh-CN"/>
              </w:rPr>
              <w:t>）</w:t>
            </w:r>
            <w:r>
              <w:rPr>
                <w:rFonts w:hint="eastAsia" w:ascii="Times New Roman" w:eastAsia="宋体"/>
                <w:color w:val="auto"/>
                <w:sz w:val="24"/>
                <w:szCs w:val="24"/>
              </w:rPr>
              <w:t>生活垃圾：项目定员</w:t>
            </w:r>
            <w:r>
              <w:rPr>
                <w:rFonts w:hint="eastAsia" w:ascii="Times New Roman" w:eastAsia="宋体"/>
                <w:color w:val="auto"/>
                <w:sz w:val="24"/>
                <w:szCs w:val="24"/>
                <w:lang w:val="en-US" w:eastAsia="zh-CN"/>
              </w:rPr>
              <w:t>15</w:t>
            </w:r>
            <w:r>
              <w:rPr>
                <w:rFonts w:hint="eastAsia" w:ascii="Times New Roman" w:eastAsia="宋体"/>
                <w:color w:val="auto"/>
                <w:sz w:val="24"/>
                <w:szCs w:val="24"/>
              </w:rPr>
              <w:t>人，生活垃圾产生量按0.5kg/人·d，年工作300天，则年产生垃圾量为</w:t>
            </w:r>
            <w:r>
              <w:rPr>
                <w:rFonts w:hint="eastAsia" w:ascii="Times New Roman" w:eastAsia="宋体"/>
                <w:color w:val="auto"/>
                <w:sz w:val="24"/>
                <w:szCs w:val="24"/>
                <w:lang w:val="en-US" w:eastAsia="zh-CN"/>
              </w:rPr>
              <w:t>2.25</w:t>
            </w:r>
            <w:r>
              <w:rPr>
                <w:rFonts w:hint="eastAsia" w:ascii="Times New Roman" w:eastAsia="宋体"/>
                <w:color w:val="auto"/>
                <w:sz w:val="24"/>
                <w:szCs w:val="24"/>
              </w:rPr>
              <w:t>t/a</w:t>
            </w:r>
            <w:r>
              <w:rPr>
                <w:rFonts w:hint="eastAsia" w:ascii="Times New Roman" w:eastAsia="宋体"/>
                <w:color w:val="0C0C0C"/>
                <w:sz w:val="24"/>
                <w:szCs w:val="24"/>
              </w:rPr>
              <w:t>。</w:t>
            </w:r>
          </w:p>
          <w:p w14:paraId="635F924E">
            <w:pPr>
              <w:pStyle w:val="144"/>
              <w:keepNext w:val="0"/>
              <w:keepLines w:val="0"/>
              <w:pageBreakBefore w:val="0"/>
              <w:widowControl w:val="0"/>
              <w:kinsoku/>
              <w:wordWrap/>
              <w:overflowPunct/>
              <w:topLinePunct w:val="0"/>
              <w:autoSpaceDE/>
              <w:autoSpaceDN/>
              <w:bidi w:val="0"/>
              <w:adjustRightInd/>
              <w:snapToGrid/>
              <w:spacing w:line="360" w:lineRule="auto"/>
              <w:ind w:left="0" w:right="0" w:firstLine="476" w:firstLineChars="200"/>
              <w:textAlignment w:val="auto"/>
              <w:rPr>
                <w:rFonts w:hint="eastAsia" w:ascii="Times New Roman" w:hAnsi="Times New Roman" w:eastAsia="宋体" w:cs="Times New Roman"/>
                <w:color w:val="auto"/>
                <w:spacing w:val="-1"/>
                <w:lang w:eastAsia="zh-CN"/>
              </w:rPr>
            </w:pPr>
            <w:r>
              <w:rPr>
                <w:rFonts w:hint="eastAsia" w:ascii="Times New Roman" w:hAnsi="Times New Roman" w:eastAsia="宋体" w:cs="Times New Roman"/>
                <w:color w:val="auto"/>
                <w:spacing w:val="-1"/>
                <w:lang w:eastAsia="zh-CN"/>
              </w:rPr>
              <w:t>（</w:t>
            </w:r>
            <w:r>
              <w:rPr>
                <w:rFonts w:hint="eastAsia" w:ascii="Times New Roman" w:hAnsi="Times New Roman" w:cs="Times New Roman"/>
                <w:color w:val="auto"/>
                <w:spacing w:val="-1"/>
                <w:lang w:val="en-US" w:eastAsia="zh-CN"/>
              </w:rPr>
              <w:t>10</w:t>
            </w:r>
            <w:r>
              <w:rPr>
                <w:rFonts w:hint="eastAsia" w:ascii="Times New Roman" w:hAnsi="Times New Roman" w:eastAsia="宋体" w:cs="Times New Roman"/>
                <w:color w:val="auto"/>
                <w:spacing w:val="-1"/>
                <w:lang w:eastAsia="zh-CN"/>
              </w:rPr>
              <w:t>）废弃含油抹布、劳保用品</w:t>
            </w:r>
          </w:p>
          <w:p w14:paraId="7AEB61FB">
            <w:pPr>
              <w:pStyle w:val="144"/>
              <w:keepNext w:val="0"/>
              <w:keepLines w:val="0"/>
              <w:pageBreakBefore w:val="0"/>
              <w:widowControl w:val="0"/>
              <w:kinsoku/>
              <w:wordWrap/>
              <w:overflowPunct/>
              <w:topLinePunct w:val="0"/>
              <w:autoSpaceDE/>
              <w:autoSpaceDN/>
              <w:bidi w:val="0"/>
              <w:adjustRightInd/>
              <w:snapToGrid/>
              <w:spacing w:line="360" w:lineRule="auto"/>
              <w:ind w:left="0" w:right="0" w:firstLine="488" w:firstLineChars="200"/>
              <w:textAlignment w:val="auto"/>
              <w:rPr>
                <w:color w:val="auto"/>
                <w:spacing w:val="-1"/>
              </w:rPr>
            </w:pPr>
            <w:r>
              <w:rPr>
                <w:color w:val="auto"/>
                <w:spacing w:val="2"/>
              </w:rPr>
              <w:t>本项目设备机修过程产生一定量废弃含油抹布、劳保用品，产生量约为</w:t>
            </w:r>
            <w:r>
              <w:rPr>
                <w:rFonts w:ascii="Times New Roman" w:hAnsi="Times New Roman" w:eastAsia="Times New Roman" w:cs="Times New Roman"/>
                <w:color w:val="auto"/>
                <w:spacing w:val="-3"/>
              </w:rPr>
              <w:t>0.08t/a</w:t>
            </w:r>
            <w:r>
              <w:rPr>
                <w:color w:val="auto"/>
                <w:spacing w:val="-3"/>
              </w:rPr>
              <w:t>，根据《国家危险废物名录（</w:t>
            </w:r>
            <w:r>
              <w:rPr>
                <w:rFonts w:ascii="Times New Roman" w:hAnsi="Times New Roman" w:eastAsia="Times New Roman" w:cs="Times New Roman"/>
                <w:color w:val="auto"/>
                <w:spacing w:val="-3"/>
              </w:rPr>
              <w:t>2025</w:t>
            </w:r>
            <w:r>
              <w:rPr>
                <w:color w:val="auto"/>
                <w:spacing w:val="-3"/>
              </w:rPr>
              <w:t>年版）》，该固废属于危险废物，危废类别为</w:t>
            </w:r>
            <w:r>
              <w:rPr>
                <w:rFonts w:ascii="Times New Roman" w:hAnsi="Times New Roman" w:eastAsia="Times New Roman" w:cs="Times New Roman"/>
                <w:color w:val="auto"/>
                <w:spacing w:val="-3"/>
              </w:rPr>
              <w:t>HW49</w:t>
            </w:r>
            <w:r>
              <w:rPr>
                <w:color w:val="auto"/>
                <w:spacing w:val="-3"/>
              </w:rPr>
              <w:t>，废物代码</w:t>
            </w:r>
            <w:r>
              <w:rPr>
                <w:rFonts w:ascii="Times New Roman" w:hAnsi="Times New Roman" w:eastAsia="Times New Roman" w:cs="Times New Roman"/>
                <w:color w:val="auto"/>
                <w:spacing w:val="-3"/>
              </w:rPr>
              <w:t>900-041-49</w:t>
            </w:r>
            <w:r>
              <w:rPr>
                <w:rFonts w:hint="eastAsia" w:ascii="Times New Roman" w:hAnsi="Times New Roman" w:cs="Times New Roman"/>
                <w:color w:val="auto"/>
                <w:spacing w:val="-3"/>
                <w:lang w:eastAsia="zh-CN"/>
              </w:rPr>
              <w:t>。</w:t>
            </w:r>
            <w:r>
              <w:rPr>
                <w:color w:val="auto"/>
                <w:spacing w:val="-1"/>
              </w:rPr>
              <w:t>收集后交由具有相应危险废物处理资质的单位进行处置。</w:t>
            </w:r>
          </w:p>
          <w:p w14:paraId="18CAC010">
            <w:pPr>
              <w:pStyle w:val="144"/>
              <w:keepNext w:val="0"/>
              <w:keepLines w:val="0"/>
              <w:pageBreakBefore w:val="0"/>
              <w:widowControl w:val="0"/>
              <w:kinsoku/>
              <w:wordWrap/>
              <w:overflowPunct/>
              <w:topLinePunct w:val="0"/>
              <w:autoSpaceDE/>
              <w:autoSpaceDN/>
              <w:bidi w:val="0"/>
              <w:adjustRightInd/>
              <w:snapToGrid/>
              <w:spacing w:line="360" w:lineRule="auto"/>
              <w:ind w:left="0" w:right="0" w:firstLine="468" w:firstLineChars="200"/>
              <w:textAlignment w:val="auto"/>
              <w:rPr>
                <w:color w:val="auto"/>
              </w:rPr>
            </w:pPr>
            <w:r>
              <w:rPr>
                <w:rFonts w:hint="eastAsia" w:ascii="Times New Roman" w:hAnsi="Times New Roman" w:cs="Times New Roman"/>
                <w:color w:val="auto"/>
                <w:spacing w:val="-3"/>
                <w:lang w:eastAsia="zh-CN"/>
              </w:rPr>
              <w:t>（</w:t>
            </w:r>
            <w:r>
              <w:rPr>
                <w:rFonts w:hint="eastAsia" w:ascii="Times New Roman" w:hAnsi="Times New Roman" w:cs="Times New Roman"/>
                <w:color w:val="auto"/>
                <w:spacing w:val="-3"/>
                <w:lang w:val="en-US" w:eastAsia="zh-CN"/>
              </w:rPr>
              <w:t>11</w:t>
            </w:r>
            <w:r>
              <w:rPr>
                <w:color w:val="auto"/>
                <w:spacing w:val="-3"/>
              </w:rPr>
              <w:t>）废机油</w:t>
            </w:r>
          </w:p>
          <w:p w14:paraId="112C1704">
            <w:pPr>
              <w:pStyle w:val="144"/>
              <w:keepNext w:val="0"/>
              <w:keepLines w:val="0"/>
              <w:pageBreakBefore w:val="0"/>
              <w:widowControl w:val="0"/>
              <w:kinsoku/>
              <w:wordWrap/>
              <w:overflowPunct/>
              <w:topLinePunct w:val="0"/>
              <w:autoSpaceDE/>
              <w:autoSpaceDN/>
              <w:bidi w:val="0"/>
              <w:adjustRightInd/>
              <w:snapToGrid/>
              <w:spacing w:line="360" w:lineRule="auto"/>
              <w:ind w:left="0" w:right="0" w:firstLine="464" w:firstLineChars="200"/>
              <w:textAlignment w:val="auto"/>
              <w:rPr>
                <w:color w:val="auto"/>
              </w:rPr>
            </w:pPr>
            <w:r>
              <w:rPr>
                <w:color w:val="auto"/>
                <w:spacing w:val="-4"/>
              </w:rPr>
              <w:t>项目设备机械维修过程会产生废机油，年产生</w:t>
            </w:r>
            <w:r>
              <w:rPr>
                <w:rFonts w:hint="eastAsia"/>
                <w:color w:val="auto"/>
                <w:spacing w:val="-4"/>
                <w:lang w:eastAsia="zh-CN"/>
              </w:rPr>
              <w:t>量</w:t>
            </w:r>
            <w:r>
              <w:rPr>
                <w:color w:val="auto"/>
                <w:spacing w:val="-4"/>
              </w:rPr>
              <w:t>约为</w:t>
            </w:r>
            <w:r>
              <w:rPr>
                <w:rFonts w:ascii="Times New Roman" w:hAnsi="Times New Roman" w:eastAsia="Times New Roman" w:cs="Times New Roman"/>
                <w:color w:val="auto"/>
                <w:spacing w:val="-4"/>
              </w:rPr>
              <w:t>0.</w:t>
            </w:r>
            <w:r>
              <w:rPr>
                <w:rFonts w:hint="eastAsia" w:ascii="Times New Roman" w:hAnsi="Times New Roman" w:eastAsia="宋体" w:cs="Times New Roman"/>
                <w:color w:val="auto"/>
                <w:spacing w:val="-5"/>
                <w:lang w:val="en-US" w:eastAsia="zh-CN"/>
              </w:rPr>
              <w:t>2</w:t>
            </w:r>
            <w:r>
              <w:rPr>
                <w:rFonts w:ascii="Times New Roman" w:hAnsi="Times New Roman" w:eastAsia="Times New Roman" w:cs="Times New Roman"/>
                <w:color w:val="auto"/>
                <w:spacing w:val="-5"/>
              </w:rPr>
              <w:t>t</w:t>
            </w:r>
            <w:r>
              <w:rPr>
                <w:color w:val="auto"/>
                <w:spacing w:val="-5"/>
              </w:rPr>
              <w:t>，根据《国家</w:t>
            </w:r>
            <w:r>
              <w:rPr>
                <w:color w:val="auto"/>
                <w:spacing w:val="-4"/>
              </w:rPr>
              <w:t>危险废物名录（</w:t>
            </w:r>
            <w:r>
              <w:rPr>
                <w:rFonts w:ascii="Times New Roman" w:hAnsi="Times New Roman" w:eastAsia="Times New Roman" w:cs="Times New Roman"/>
                <w:color w:val="auto"/>
                <w:spacing w:val="-4"/>
              </w:rPr>
              <w:t>2025</w:t>
            </w:r>
            <w:r>
              <w:rPr>
                <w:color w:val="auto"/>
                <w:spacing w:val="-4"/>
              </w:rPr>
              <w:t>年版）》，废机油属于危险废物，危废类别为</w:t>
            </w:r>
            <w:r>
              <w:rPr>
                <w:rFonts w:ascii="Times New Roman" w:hAnsi="Times New Roman" w:eastAsia="Times New Roman" w:cs="Times New Roman"/>
                <w:color w:val="auto"/>
                <w:spacing w:val="-4"/>
              </w:rPr>
              <w:t>HW08</w:t>
            </w:r>
            <w:r>
              <w:rPr>
                <w:color w:val="auto"/>
                <w:spacing w:val="-4"/>
              </w:rPr>
              <w:t>，</w:t>
            </w:r>
            <w:r>
              <w:rPr>
                <w:color w:val="auto"/>
                <w:spacing w:val="1"/>
              </w:rPr>
              <w:t>废物代码</w:t>
            </w:r>
            <w:r>
              <w:rPr>
                <w:rFonts w:ascii="Times New Roman" w:hAnsi="Times New Roman" w:eastAsia="Times New Roman" w:cs="Times New Roman"/>
                <w:color w:val="auto"/>
                <w:spacing w:val="1"/>
              </w:rPr>
              <w:t>900-249-08</w:t>
            </w:r>
            <w:r>
              <w:rPr>
                <w:color w:val="auto"/>
                <w:spacing w:val="1"/>
              </w:rPr>
              <w:t>，收集后交由具有相应危险废物处理资质的单位进行处</w:t>
            </w:r>
            <w:r>
              <w:rPr>
                <w:color w:val="auto"/>
                <w:spacing w:val="-4"/>
              </w:rPr>
              <w:t>置。</w:t>
            </w:r>
          </w:p>
          <w:p w14:paraId="4E2C118E">
            <w:pPr>
              <w:pStyle w:val="144"/>
              <w:keepNext w:val="0"/>
              <w:keepLines w:val="0"/>
              <w:pageBreakBefore w:val="0"/>
              <w:widowControl w:val="0"/>
              <w:kinsoku/>
              <w:wordWrap/>
              <w:overflowPunct/>
              <w:topLinePunct w:val="0"/>
              <w:autoSpaceDE/>
              <w:autoSpaceDN/>
              <w:bidi w:val="0"/>
              <w:adjustRightInd/>
              <w:snapToGrid/>
              <w:spacing w:line="360" w:lineRule="auto"/>
              <w:ind w:left="0" w:right="0" w:firstLine="476" w:firstLineChars="200"/>
              <w:textAlignment w:val="auto"/>
              <w:rPr>
                <w:color w:val="auto"/>
              </w:rPr>
            </w:pPr>
            <w:r>
              <w:rPr>
                <w:rFonts w:hint="eastAsia" w:ascii="Times New Roman" w:hAnsi="Times New Roman" w:cs="Times New Roman"/>
                <w:color w:val="auto"/>
                <w:spacing w:val="-1"/>
                <w:lang w:eastAsia="zh-CN"/>
              </w:rPr>
              <w:t>（</w:t>
            </w:r>
            <w:r>
              <w:rPr>
                <w:rFonts w:hint="eastAsia" w:ascii="Times New Roman" w:hAnsi="Times New Roman" w:cs="Times New Roman"/>
                <w:color w:val="auto"/>
                <w:spacing w:val="-1"/>
                <w:lang w:val="en-US" w:eastAsia="zh-CN"/>
              </w:rPr>
              <w:t>12</w:t>
            </w:r>
            <w:r>
              <w:rPr>
                <w:rFonts w:hint="eastAsia" w:ascii="Times New Roman" w:hAnsi="Times New Roman" w:cs="Times New Roman"/>
                <w:color w:val="auto"/>
                <w:spacing w:val="-1"/>
                <w:lang w:eastAsia="zh-CN"/>
              </w:rPr>
              <w:t>）</w:t>
            </w:r>
            <w:r>
              <w:rPr>
                <w:color w:val="auto"/>
                <w:spacing w:val="-1"/>
              </w:rPr>
              <w:t>沾染矿物油包装桶</w:t>
            </w:r>
          </w:p>
          <w:p w14:paraId="6FCCBFB1">
            <w:pPr>
              <w:pStyle w:val="144"/>
              <w:keepNext w:val="0"/>
              <w:keepLines w:val="0"/>
              <w:pageBreakBefore w:val="0"/>
              <w:widowControl w:val="0"/>
              <w:kinsoku/>
              <w:wordWrap/>
              <w:overflowPunct/>
              <w:topLinePunct w:val="0"/>
              <w:autoSpaceDE/>
              <w:autoSpaceDN/>
              <w:bidi w:val="0"/>
              <w:adjustRightInd/>
              <w:snapToGrid/>
              <w:spacing w:line="360" w:lineRule="auto"/>
              <w:ind w:left="0" w:right="0" w:firstLine="468" w:firstLineChars="200"/>
              <w:textAlignment w:val="auto"/>
              <w:rPr>
                <w:color w:val="auto"/>
                <w:spacing w:val="-1"/>
              </w:rPr>
            </w:pPr>
            <w:r>
              <w:rPr>
                <w:color w:val="auto"/>
                <w:spacing w:val="-3"/>
              </w:rPr>
              <w:t>本项目废矿物油包装桶产生量为</w:t>
            </w:r>
            <w:r>
              <w:rPr>
                <w:rFonts w:ascii="Times New Roman" w:hAnsi="Times New Roman" w:eastAsia="Times New Roman" w:cs="Times New Roman"/>
                <w:color w:val="auto"/>
                <w:spacing w:val="-3"/>
              </w:rPr>
              <w:t>0.</w:t>
            </w:r>
            <w:r>
              <w:rPr>
                <w:rFonts w:hint="eastAsia" w:ascii="Times New Roman" w:hAnsi="Times New Roman" w:eastAsia="宋体" w:cs="Times New Roman"/>
                <w:color w:val="auto"/>
                <w:spacing w:val="-3"/>
                <w:lang w:val="en-US" w:eastAsia="zh-CN"/>
              </w:rPr>
              <w:t>02</w:t>
            </w:r>
            <w:r>
              <w:rPr>
                <w:rFonts w:ascii="Times New Roman" w:hAnsi="Times New Roman" w:eastAsia="Times New Roman" w:cs="Times New Roman"/>
                <w:color w:val="auto"/>
                <w:spacing w:val="-3"/>
              </w:rPr>
              <w:t>t/a</w:t>
            </w:r>
            <w:r>
              <w:rPr>
                <w:color w:val="auto"/>
                <w:spacing w:val="-3"/>
              </w:rPr>
              <w:t>，根据《国家危险废物名录（</w:t>
            </w:r>
            <w:r>
              <w:rPr>
                <w:rFonts w:ascii="Times New Roman" w:hAnsi="Times New Roman" w:eastAsia="Times New Roman" w:cs="Times New Roman"/>
                <w:color w:val="auto"/>
                <w:spacing w:val="-3"/>
              </w:rPr>
              <w:t>2025</w:t>
            </w:r>
            <w:r>
              <w:rPr>
                <w:color w:val="auto"/>
                <w:spacing w:val="-8"/>
              </w:rPr>
              <w:t>年版）》，该固废属于危险废物，危废类别为</w:t>
            </w:r>
            <w:r>
              <w:rPr>
                <w:rFonts w:ascii="Times New Roman" w:hAnsi="Times New Roman" w:eastAsia="Times New Roman" w:cs="Times New Roman"/>
                <w:color w:val="auto"/>
                <w:spacing w:val="-8"/>
              </w:rPr>
              <w:t>HW49</w:t>
            </w:r>
            <w:r>
              <w:rPr>
                <w:color w:val="auto"/>
                <w:spacing w:val="-8"/>
              </w:rPr>
              <w:t>，废物代码</w:t>
            </w:r>
            <w:r>
              <w:rPr>
                <w:rFonts w:ascii="Times New Roman" w:hAnsi="Times New Roman" w:eastAsia="Times New Roman" w:cs="Times New Roman"/>
                <w:color w:val="auto"/>
                <w:spacing w:val="-8"/>
              </w:rPr>
              <w:t>900-249-08</w:t>
            </w:r>
            <w:r>
              <w:rPr>
                <w:color w:val="auto"/>
                <w:spacing w:val="-8"/>
              </w:rPr>
              <w:t>，</w:t>
            </w:r>
            <w:r>
              <w:rPr>
                <w:color w:val="auto"/>
                <w:spacing w:val="-1"/>
              </w:rPr>
              <w:t>收集后交由具有相应危险废物处理资质的单位进行处置。</w:t>
            </w:r>
          </w:p>
          <w:p w14:paraId="2D188F6C">
            <w:pPr>
              <w:pStyle w:val="59"/>
              <w:numPr>
                <w:ilvl w:val="0"/>
                <w:numId w:val="0"/>
              </w:numPr>
              <w:tabs>
                <w:tab w:val="left" w:pos="0"/>
              </w:tabs>
              <w:ind w:left="0" w:leftChars="0" w:firstLine="0" w:firstLineChars="0"/>
              <w:rPr>
                <w:b/>
                <w:bCs/>
                <w:lang w:val="zh-CN"/>
              </w:rPr>
            </w:pPr>
            <w:r>
              <w:rPr>
                <w:rFonts w:hint="default" w:ascii="Times New Roman" w:hAnsi="Times New Roman" w:eastAsia="宋体" w:cs="Times New Roman"/>
                <w:b/>
                <w:bCs/>
                <w:kern w:val="2"/>
                <w:sz w:val="21"/>
                <w:szCs w:val="21"/>
                <w:lang w:val="zh-CN" w:eastAsia="zh-CN" w:bidi="ar-SA"/>
              </w:rPr>
              <w:t>表4-</w:t>
            </w:r>
            <w:r>
              <w:rPr>
                <w:rFonts w:hint="eastAsia" w:cs="Times New Roman"/>
                <w:b/>
                <w:bCs/>
                <w:kern w:val="2"/>
                <w:sz w:val="21"/>
                <w:szCs w:val="21"/>
                <w:lang w:val="en-US" w:eastAsia="zh-CN" w:bidi="ar-SA"/>
              </w:rPr>
              <w:t>17</w:t>
            </w:r>
            <w:r>
              <w:rPr>
                <w:rFonts w:hint="default" w:ascii="Times New Roman" w:hAnsi="Times New Roman" w:eastAsia="宋体" w:cs="Times New Roman"/>
                <w:b/>
                <w:bCs/>
                <w:kern w:val="2"/>
                <w:sz w:val="21"/>
                <w:szCs w:val="21"/>
                <w:lang w:val="zh-CN" w:eastAsia="zh-CN" w:bidi="ar-SA"/>
              </w:rPr>
              <w:t xml:space="preserve"> </w:t>
            </w:r>
            <w:r>
              <w:rPr>
                <w:rFonts w:hint="eastAsia"/>
                <w:b/>
                <w:bCs/>
                <w:lang w:val="zh-CN"/>
              </w:rPr>
              <w:t>项目固体废物产生及处置情况一览表</w:t>
            </w:r>
          </w:p>
          <w:tbl>
            <w:tblPr>
              <w:tblStyle w:val="41"/>
              <w:tblW w:w="0" w:type="auto"/>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0" w:type="dxa"/>
                <w:bottom w:w="0" w:type="dxa"/>
                <w:right w:w="0" w:type="dxa"/>
              </w:tblCellMar>
            </w:tblPr>
            <w:tblGrid>
              <w:gridCol w:w="366"/>
              <w:gridCol w:w="1360"/>
              <w:gridCol w:w="1073"/>
              <w:gridCol w:w="632"/>
              <w:gridCol w:w="1702"/>
              <w:gridCol w:w="693"/>
              <w:gridCol w:w="2387"/>
            </w:tblGrid>
            <w:tr w14:paraId="045750E7">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23" w:hRule="atLeast"/>
                <w:tblHeader/>
                <w:jc w:val="center"/>
              </w:trPr>
              <w:tc>
                <w:tcPr>
                  <w:tcW w:w="368" w:type="dxa"/>
                  <w:noWrap w:val="0"/>
                  <w:vAlign w:val="center"/>
                </w:tcPr>
                <w:p w14:paraId="0F34C21B">
                  <w:pPr>
                    <w:pStyle w:val="56"/>
                    <w:bidi w:val="0"/>
                  </w:pPr>
                  <w:r>
                    <w:t>序号</w:t>
                  </w:r>
                </w:p>
              </w:tc>
              <w:tc>
                <w:tcPr>
                  <w:tcW w:w="1371" w:type="dxa"/>
                  <w:noWrap w:val="0"/>
                  <w:vAlign w:val="center"/>
                </w:tcPr>
                <w:p w14:paraId="42FBD471">
                  <w:pPr>
                    <w:pStyle w:val="56"/>
                    <w:bidi w:val="0"/>
                  </w:pPr>
                  <w:r>
                    <w:t>固废名称</w:t>
                  </w:r>
                </w:p>
              </w:tc>
              <w:tc>
                <w:tcPr>
                  <w:tcW w:w="1083" w:type="dxa"/>
                  <w:noWrap w:val="0"/>
                  <w:vAlign w:val="center"/>
                </w:tcPr>
                <w:p w14:paraId="53D734C0">
                  <w:pPr>
                    <w:pStyle w:val="56"/>
                    <w:bidi w:val="0"/>
                  </w:pPr>
                  <w:r>
                    <w:t>产生工序</w:t>
                  </w:r>
                </w:p>
              </w:tc>
              <w:tc>
                <w:tcPr>
                  <w:tcW w:w="637" w:type="dxa"/>
                  <w:noWrap w:val="0"/>
                  <w:vAlign w:val="center"/>
                </w:tcPr>
                <w:p w14:paraId="2FC12219">
                  <w:pPr>
                    <w:pStyle w:val="56"/>
                    <w:bidi w:val="0"/>
                  </w:pPr>
                  <w:r>
                    <w:t>属性</w:t>
                  </w:r>
                </w:p>
              </w:tc>
              <w:tc>
                <w:tcPr>
                  <w:tcW w:w="1702" w:type="dxa"/>
                  <w:noWrap w:val="0"/>
                  <w:vAlign w:val="center"/>
                </w:tcPr>
                <w:p w14:paraId="4B5399D0">
                  <w:pPr>
                    <w:pStyle w:val="56"/>
                    <w:bidi w:val="0"/>
                    <w:rPr>
                      <w:rFonts w:hint="eastAsia"/>
                    </w:rPr>
                  </w:pPr>
                  <w:r>
                    <w:rPr>
                      <w:rFonts w:hint="eastAsia"/>
                    </w:rPr>
                    <w:t>废物代码</w:t>
                  </w:r>
                </w:p>
              </w:tc>
              <w:tc>
                <w:tcPr>
                  <w:tcW w:w="639" w:type="dxa"/>
                  <w:noWrap w:val="0"/>
                  <w:vAlign w:val="center"/>
                </w:tcPr>
                <w:p w14:paraId="4EA399B8">
                  <w:pPr>
                    <w:pStyle w:val="56"/>
                    <w:bidi w:val="0"/>
                  </w:pPr>
                  <w:r>
                    <w:t>产生量t/a</w:t>
                  </w:r>
                </w:p>
              </w:tc>
              <w:tc>
                <w:tcPr>
                  <w:tcW w:w="2413" w:type="dxa"/>
                  <w:noWrap w:val="0"/>
                  <w:vAlign w:val="center"/>
                </w:tcPr>
                <w:p w14:paraId="63088489">
                  <w:pPr>
                    <w:pStyle w:val="56"/>
                    <w:bidi w:val="0"/>
                  </w:pPr>
                  <w:r>
                    <w:t>处置方式</w:t>
                  </w:r>
                </w:p>
              </w:tc>
            </w:tr>
            <w:tr w14:paraId="05D47C2C">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68" w:type="dxa"/>
                  <w:noWrap w:val="0"/>
                  <w:vAlign w:val="center"/>
                </w:tcPr>
                <w:p w14:paraId="1CA97942">
                  <w:pPr>
                    <w:pStyle w:val="56"/>
                    <w:bidi w:val="0"/>
                    <w:rPr>
                      <w:rFonts w:hint="default"/>
                      <w:lang w:val="en-US" w:eastAsia="zh-CN"/>
                    </w:rPr>
                  </w:pPr>
                  <w:r>
                    <w:rPr>
                      <w:rFonts w:hint="eastAsia"/>
                      <w:lang w:val="en-US" w:eastAsia="zh-CN"/>
                    </w:rPr>
                    <w:t>1</w:t>
                  </w:r>
                </w:p>
              </w:tc>
              <w:tc>
                <w:tcPr>
                  <w:tcW w:w="1371" w:type="dxa"/>
                  <w:noWrap w:val="0"/>
                  <w:vAlign w:val="center"/>
                </w:tcPr>
                <w:p w14:paraId="4B64839A">
                  <w:pPr>
                    <w:pStyle w:val="56"/>
                    <w:bidi w:val="0"/>
                    <w:rPr>
                      <w:rFonts w:hint="eastAsia"/>
                      <w:lang w:eastAsia="zh-CN"/>
                    </w:rPr>
                  </w:pPr>
                  <w:r>
                    <w:rPr>
                      <w:rFonts w:hint="eastAsia"/>
                    </w:rPr>
                    <w:t>钢筋下脚料</w:t>
                  </w:r>
                </w:p>
              </w:tc>
              <w:tc>
                <w:tcPr>
                  <w:tcW w:w="1083" w:type="dxa"/>
                  <w:noWrap w:val="0"/>
                  <w:vAlign w:val="center"/>
                </w:tcPr>
                <w:p w14:paraId="6DD4EC97">
                  <w:pPr>
                    <w:pStyle w:val="56"/>
                    <w:bidi w:val="0"/>
                    <w:rPr>
                      <w:rFonts w:hint="default"/>
                      <w:lang w:val="en-US" w:eastAsia="zh-CN"/>
                    </w:rPr>
                  </w:pPr>
                  <w:r>
                    <w:rPr>
                      <w:rFonts w:hint="eastAsia"/>
                      <w:lang w:val="en-US" w:eastAsia="zh-CN"/>
                    </w:rPr>
                    <w:t>生产过程</w:t>
                  </w:r>
                </w:p>
              </w:tc>
              <w:tc>
                <w:tcPr>
                  <w:tcW w:w="637" w:type="dxa"/>
                  <w:vMerge w:val="restart"/>
                  <w:noWrap w:val="0"/>
                  <w:vAlign w:val="center"/>
                </w:tcPr>
                <w:p w14:paraId="5CAC9761">
                  <w:pPr>
                    <w:pStyle w:val="56"/>
                    <w:bidi w:val="0"/>
                  </w:pPr>
                  <w:r>
                    <w:t>一般固废</w:t>
                  </w:r>
                </w:p>
                <w:p w14:paraId="2385BB61">
                  <w:pPr>
                    <w:pStyle w:val="56"/>
                    <w:bidi w:val="0"/>
                    <w:rPr>
                      <w:rFonts w:hint="default"/>
                      <w:lang w:val="en-US" w:eastAsia="zh-CN"/>
                    </w:rPr>
                  </w:pPr>
                  <w:r>
                    <w:rPr>
                      <w:rFonts w:hint="eastAsia"/>
                      <w:lang w:val="en-US" w:eastAsia="zh-CN"/>
                    </w:rPr>
                    <w:t>/</w:t>
                  </w:r>
                </w:p>
              </w:tc>
              <w:tc>
                <w:tcPr>
                  <w:tcW w:w="1702" w:type="dxa"/>
                  <w:noWrap w:val="0"/>
                  <w:vAlign w:val="center"/>
                </w:tcPr>
                <w:p w14:paraId="3B0C2CD0">
                  <w:pPr>
                    <w:pStyle w:val="56"/>
                    <w:bidi w:val="0"/>
                    <w:rPr>
                      <w:rFonts w:hint="default"/>
                      <w:lang w:val="en-US" w:eastAsia="zh-CN"/>
                    </w:rPr>
                  </w:pPr>
                  <w:r>
                    <w:rPr>
                      <w:rFonts w:hint="eastAsia"/>
                      <w:lang w:val="en-US" w:eastAsia="zh-CN"/>
                    </w:rPr>
                    <w:t>SW17 900-001-S17</w:t>
                  </w:r>
                </w:p>
              </w:tc>
              <w:tc>
                <w:tcPr>
                  <w:tcW w:w="639" w:type="dxa"/>
                  <w:noWrap w:val="0"/>
                  <w:vAlign w:val="center"/>
                </w:tcPr>
                <w:p w14:paraId="2A070A75">
                  <w:pPr>
                    <w:pStyle w:val="56"/>
                    <w:bidi w:val="0"/>
                    <w:rPr>
                      <w:rFonts w:hint="default"/>
                      <w:lang w:val="en-US" w:eastAsia="zh-CN"/>
                    </w:rPr>
                  </w:pPr>
                  <w:r>
                    <w:rPr>
                      <w:rFonts w:hint="eastAsia"/>
                      <w:lang w:val="en-US" w:eastAsia="zh-CN"/>
                    </w:rPr>
                    <w:t>1</w:t>
                  </w:r>
                </w:p>
              </w:tc>
              <w:tc>
                <w:tcPr>
                  <w:tcW w:w="2413" w:type="dxa"/>
                  <w:noWrap w:val="0"/>
                  <w:vAlign w:val="center"/>
                </w:tcPr>
                <w:p w14:paraId="39CD11B7">
                  <w:pPr>
                    <w:pStyle w:val="56"/>
                    <w:bidi w:val="0"/>
                    <w:rPr>
                      <w:rFonts w:hint="eastAsia"/>
                      <w:lang w:val="en-US" w:eastAsia="zh-CN"/>
                    </w:rPr>
                  </w:pPr>
                  <w:r>
                    <w:rPr>
                      <w:rFonts w:hint="eastAsia"/>
                      <w:lang w:val="en-US" w:eastAsia="zh-CN"/>
                    </w:rPr>
                    <w:t>集中收集后全部外售给物资回收公司资源再利用</w:t>
                  </w:r>
                </w:p>
              </w:tc>
            </w:tr>
            <w:tr w14:paraId="1408877E">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68" w:type="dxa"/>
                  <w:noWrap w:val="0"/>
                  <w:vAlign w:val="center"/>
                </w:tcPr>
                <w:p w14:paraId="520577B6">
                  <w:pPr>
                    <w:pStyle w:val="56"/>
                    <w:bidi w:val="0"/>
                    <w:rPr>
                      <w:rFonts w:hint="default"/>
                      <w:lang w:val="en-US" w:eastAsia="zh-CN"/>
                    </w:rPr>
                  </w:pPr>
                  <w:r>
                    <w:rPr>
                      <w:rFonts w:hint="eastAsia"/>
                      <w:lang w:val="en-US" w:eastAsia="zh-CN"/>
                    </w:rPr>
                    <w:t>2</w:t>
                  </w:r>
                </w:p>
              </w:tc>
              <w:tc>
                <w:tcPr>
                  <w:tcW w:w="1371" w:type="dxa"/>
                  <w:noWrap w:val="0"/>
                  <w:vAlign w:val="center"/>
                </w:tcPr>
                <w:p w14:paraId="166E3549">
                  <w:pPr>
                    <w:pStyle w:val="56"/>
                    <w:bidi w:val="0"/>
                    <w:rPr>
                      <w:rFonts w:hint="eastAsia"/>
                      <w:lang w:eastAsia="zh-CN"/>
                    </w:rPr>
                  </w:pPr>
                  <w:r>
                    <w:rPr>
                      <w:rFonts w:hint="eastAsia"/>
                    </w:rPr>
                    <w:t>不合格品</w:t>
                  </w:r>
                </w:p>
              </w:tc>
              <w:tc>
                <w:tcPr>
                  <w:tcW w:w="1083" w:type="dxa"/>
                  <w:noWrap w:val="0"/>
                  <w:vAlign w:val="center"/>
                </w:tcPr>
                <w:p w14:paraId="562B2ED0">
                  <w:pPr>
                    <w:pStyle w:val="56"/>
                    <w:bidi w:val="0"/>
                    <w:rPr>
                      <w:rFonts w:hint="default"/>
                      <w:lang w:val="en-US" w:eastAsia="zh-CN"/>
                    </w:rPr>
                  </w:pPr>
                  <w:r>
                    <w:rPr>
                      <w:rFonts w:hint="eastAsia"/>
                      <w:lang w:val="en-US" w:eastAsia="zh-CN"/>
                    </w:rPr>
                    <w:t>生产过程</w:t>
                  </w:r>
                </w:p>
              </w:tc>
              <w:tc>
                <w:tcPr>
                  <w:tcW w:w="637" w:type="dxa"/>
                  <w:vMerge w:val="continue"/>
                  <w:noWrap w:val="0"/>
                  <w:vAlign w:val="center"/>
                </w:tcPr>
                <w:p w14:paraId="748A96C0">
                  <w:pPr>
                    <w:pStyle w:val="56"/>
                    <w:bidi w:val="0"/>
                    <w:rPr>
                      <w:rFonts w:hint="eastAsia"/>
                    </w:rPr>
                  </w:pPr>
                </w:p>
              </w:tc>
              <w:tc>
                <w:tcPr>
                  <w:tcW w:w="1702" w:type="dxa"/>
                  <w:noWrap w:val="0"/>
                  <w:vAlign w:val="center"/>
                </w:tcPr>
                <w:p w14:paraId="0AA9BA2B">
                  <w:pPr>
                    <w:pStyle w:val="56"/>
                    <w:bidi w:val="0"/>
                    <w:rPr>
                      <w:rFonts w:hint="default"/>
                      <w:lang w:val="en-US" w:eastAsia="zh-CN"/>
                    </w:rPr>
                  </w:pPr>
                  <w:r>
                    <w:rPr>
                      <w:rFonts w:hint="eastAsia"/>
                      <w:lang w:val="en-US" w:eastAsia="zh-CN"/>
                    </w:rPr>
                    <w:t>SW17-900-099-S17</w:t>
                  </w:r>
                </w:p>
              </w:tc>
              <w:tc>
                <w:tcPr>
                  <w:tcW w:w="639" w:type="dxa"/>
                  <w:noWrap w:val="0"/>
                  <w:vAlign w:val="center"/>
                </w:tcPr>
                <w:p w14:paraId="1616BC9F">
                  <w:pPr>
                    <w:pStyle w:val="56"/>
                    <w:bidi w:val="0"/>
                    <w:rPr>
                      <w:rFonts w:hint="default"/>
                      <w:lang w:val="en-US" w:eastAsia="zh-CN"/>
                    </w:rPr>
                  </w:pPr>
                  <w:r>
                    <w:rPr>
                      <w:rFonts w:hint="eastAsia"/>
                      <w:lang w:val="en-US" w:eastAsia="zh-CN"/>
                    </w:rPr>
                    <w:t>22.9801</w:t>
                  </w:r>
                </w:p>
              </w:tc>
              <w:tc>
                <w:tcPr>
                  <w:tcW w:w="2413" w:type="dxa"/>
                  <w:noWrap w:val="0"/>
                  <w:vAlign w:val="center"/>
                </w:tcPr>
                <w:p w14:paraId="760532D3">
                  <w:pPr>
                    <w:pStyle w:val="56"/>
                    <w:bidi w:val="0"/>
                    <w:rPr>
                      <w:rFonts w:hint="default"/>
                      <w:lang w:val="en-US" w:eastAsia="zh-CN"/>
                    </w:rPr>
                  </w:pPr>
                  <w:r>
                    <w:rPr>
                      <w:rFonts w:hint="eastAsia"/>
                      <w:color w:val="FF0000"/>
                      <w:lang w:val="en-US" w:eastAsia="zh-CN"/>
                    </w:rPr>
                    <w:t>外售综合利用</w:t>
                  </w:r>
                </w:p>
              </w:tc>
            </w:tr>
            <w:tr w14:paraId="064484CD">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68" w:type="dxa"/>
                  <w:noWrap w:val="0"/>
                  <w:vAlign w:val="center"/>
                </w:tcPr>
                <w:p w14:paraId="346215B9">
                  <w:pPr>
                    <w:pStyle w:val="56"/>
                    <w:bidi w:val="0"/>
                    <w:rPr>
                      <w:rFonts w:hint="default"/>
                      <w:lang w:val="en-US" w:eastAsia="zh-CN"/>
                    </w:rPr>
                  </w:pPr>
                  <w:r>
                    <w:rPr>
                      <w:rFonts w:hint="eastAsia"/>
                      <w:lang w:val="en-US" w:eastAsia="zh-CN"/>
                    </w:rPr>
                    <w:t>3</w:t>
                  </w:r>
                </w:p>
              </w:tc>
              <w:tc>
                <w:tcPr>
                  <w:tcW w:w="1371" w:type="dxa"/>
                  <w:shd w:val="clear" w:color="auto" w:fill="auto"/>
                  <w:noWrap w:val="0"/>
                  <w:vAlign w:val="center"/>
                </w:tcPr>
                <w:p w14:paraId="43FA6DD0">
                  <w:pPr>
                    <w:pStyle w:val="56"/>
                    <w:bidi w:val="0"/>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lang w:val="en-US" w:eastAsia="zh-CN"/>
                    </w:rPr>
                    <w:t>废包装材料</w:t>
                  </w:r>
                </w:p>
              </w:tc>
              <w:tc>
                <w:tcPr>
                  <w:tcW w:w="1083" w:type="dxa"/>
                  <w:shd w:val="clear" w:color="auto" w:fill="auto"/>
                  <w:noWrap w:val="0"/>
                  <w:vAlign w:val="center"/>
                </w:tcPr>
                <w:p w14:paraId="257AE337">
                  <w:pPr>
                    <w:pStyle w:val="56"/>
                    <w:bidi w:val="0"/>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lang w:val="en-US" w:eastAsia="zh-CN"/>
                    </w:rPr>
                    <w:t>废水处理</w:t>
                  </w:r>
                </w:p>
              </w:tc>
              <w:tc>
                <w:tcPr>
                  <w:tcW w:w="637" w:type="dxa"/>
                  <w:vMerge w:val="continue"/>
                  <w:shd w:val="clear" w:color="auto" w:fill="auto"/>
                  <w:noWrap w:val="0"/>
                  <w:vAlign w:val="center"/>
                </w:tcPr>
                <w:p w14:paraId="19722804">
                  <w:pPr>
                    <w:pStyle w:val="56"/>
                    <w:bidi w:val="0"/>
                    <w:ind w:firstLine="0" w:firstLineChars="0"/>
                    <w:rPr>
                      <w:rFonts w:hint="eastAsia" w:ascii="Times New Roman" w:hAnsi="Times New Roman" w:eastAsia="宋体" w:cs="Times New Roman"/>
                      <w:b w:val="0"/>
                      <w:bCs/>
                      <w:color w:val="auto"/>
                      <w:kern w:val="0"/>
                      <w:sz w:val="21"/>
                      <w:szCs w:val="24"/>
                      <w:lang w:val="en-US" w:eastAsia="zh-CN" w:bidi="ar-SA"/>
                    </w:rPr>
                  </w:pPr>
                </w:p>
              </w:tc>
              <w:tc>
                <w:tcPr>
                  <w:tcW w:w="1702" w:type="dxa"/>
                  <w:shd w:val="clear" w:color="auto" w:fill="auto"/>
                  <w:noWrap w:val="0"/>
                  <w:vAlign w:val="center"/>
                </w:tcPr>
                <w:p w14:paraId="353041CD">
                  <w:pPr>
                    <w:pStyle w:val="56"/>
                    <w:bidi w:val="0"/>
                    <w:ind w:firstLine="0" w:firstLineChars="0"/>
                    <w:jc w:val="both"/>
                    <w:rPr>
                      <w:rFonts w:hint="default" w:ascii="Times New Roman" w:hAnsi="Times New Roman" w:eastAsia="宋体" w:cs="Times New Roman"/>
                      <w:b w:val="0"/>
                      <w:bCs/>
                      <w:color w:val="auto"/>
                      <w:kern w:val="0"/>
                      <w:sz w:val="21"/>
                      <w:szCs w:val="24"/>
                      <w:lang w:val="en-US" w:eastAsia="zh-CN" w:bidi="ar-SA"/>
                    </w:rPr>
                  </w:pPr>
                  <w:r>
                    <w:rPr>
                      <w:rFonts w:hint="eastAsia" w:cs="Times New Roman"/>
                      <w:b w:val="0"/>
                      <w:bCs/>
                      <w:color w:val="auto"/>
                      <w:kern w:val="0"/>
                      <w:sz w:val="21"/>
                      <w:szCs w:val="24"/>
                      <w:lang w:val="en-US" w:eastAsia="zh-CN" w:bidi="ar-SA"/>
                    </w:rPr>
                    <w:t>SW17 900-003-S17</w:t>
                  </w:r>
                </w:p>
              </w:tc>
              <w:tc>
                <w:tcPr>
                  <w:tcW w:w="639" w:type="dxa"/>
                  <w:shd w:val="clear" w:color="auto" w:fill="auto"/>
                  <w:noWrap w:val="0"/>
                  <w:vAlign w:val="center"/>
                </w:tcPr>
                <w:p w14:paraId="29266963">
                  <w:pPr>
                    <w:pStyle w:val="56"/>
                    <w:bidi w:val="0"/>
                    <w:ind w:firstLine="0" w:firstLineChars="0"/>
                    <w:rPr>
                      <w:rFonts w:hint="default" w:ascii="Times New Roman" w:hAnsi="Times New Roman" w:eastAsia="宋体" w:cs="Times New Roman"/>
                      <w:b w:val="0"/>
                      <w:bCs/>
                      <w:color w:val="auto"/>
                      <w:kern w:val="0"/>
                      <w:sz w:val="21"/>
                      <w:szCs w:val="24"/>
                      <w:lang w:val="en-US" w:eastAsia="zh-CN" w:bidi="ar-SA"/>
                    </w:rPr>
                  </w:pPr>
                  <w:r>
                    <w:rPr>
                      <w:rFonts w:hint="eastAsia"/>
                      <w:lang w:val="en-US" w:eastAsia="zh-CN"/>
                    </w:rPr>
                    <w:t>0.02</w:t>
                  </w:r>
                </w:p>
              </w:tc>
              <w:tc>
                <w:tcPr>
                  <w:tcW w:w="2413" w:type="dxa"/>
                  <w:shd w:val="clear" w:color="auto" w:fill="auto"/>
                  <w:noWrap w:val="0"/>
                  <w:vAlign w:val="center"/>
                </w:tcPr>
                <w:p w14:paraId="262A6201">
                  <w:pPr>
                    <w:pStyle w:val="56"/>
                    <w:bidi w:val="0"/>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lang w:val="en-US" w:eastAsia="zh-CN"/>
                    </w:rPr>
                    <w:t>外售综合利用</w:t>
                  </w:r>
                </w:p>
              </w:tc>
            </w:tr>
            <w:tr w14:paraId="161B5101">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68" w:type="dxa"/>
                  <w:noWrap w:val="0"/>
                  <w:vAlign w:val="center"/>
                </w:tcPr>
                <w:p w14:paraId="56E59022">
                  <w:pPr>
                    <w:pStyle w:val="56"/>
                    <w:bidi w:val="0"/>
                    <w:rPr>
                      <w:rFonts w:hint="default"/>
                      <w:lang w:val="en-US" w:eastAsia="zh-CN"/>
                    </w:rPr>
                  </w:pPr>
                  <w:r>
                    <w:rPr>
                      <w:rFonts w:hint="eastAsia"/>
                      <w:lang w:val="en-US" w:eastAsia="zh-CN"/>
                    </w:rPr>
                    <w:t>4</w:t>
                  </w:r>
                </w:p>
              </w:tc>
              <w:tc>
                <w:tcPr>
                  <w:tcW w:w="1371" w:type="dxa"/>
                  <w:shd w:val="clear" w:color="auto" w:fill="auto"/>
                  <w:noWrap w:val="0"/>
                  <w:vAlign w:val="center"/>
                </w:tcPr>
                <w:p w14:paraId="4A0DEF58">
                  <w:pPr>
                    <w:pStyle w:val="56"/>
                    <w:bidi w:val="0"/>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rPr>
                    <w:t>沉淀池及初期雨水池污泥</w:t>
                  </w:r>
                </w:p>
              </w:tc>
              <w:tc>
                <w:tcPr>
                  <w:tcW w:w="1083" w:type="dxa"/>
                  <w:shd w:val="clear" w:color="auto" w:fill="auto"/>
                  <w:noWrap w:val="0"/>
                  <w:vAlign w:val="center"/>
                </w:tcPr>
                <w:p w14:paraId="435F5787">
                  <w:pPr>
                    <w:pStyle w:val="56"/>
                    <w:bidi w:val="0"/>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lang w:val="en-US" w:eastAsia="zh-CN"/>
                    </w:rPr>
                    <w:t>废水处理</w:t>
                  </w:r>
                </w:p>
              </w:tc>
              <w:tc>
                <w:tcPr>
                  <w:tcW w:w="637" w:type="dxa"/>
                  <w:vMerge w:val="continue"/>
                  <w:shd w:val="clear" w:color="auto" w:fill="auto"/>
                  <w:noWrap w:val="0"/>
                  <w:vAlign w:val="center"/>
                </w:tcPr>
                <w:p w14:paraId="3592DB54">
                  <w:pPr>
                    <w:pStyle w:val="56"/>
                    <w:bidi w:val="0"/>
                    <w:ind w:firstLine="0" w:firstLineChars="0"/>
                    <w:rPr>
                      <w:rFonts w:hint="eastAsia" w:ascii="Times New Roman" w:hAnsi="Times New Roman" w:eastAsia="宋体" w:cs="Times New Roman"/>
                      <w:b w:val="0"/>
                      <w:bCs/>
                      <w:color w:val="auto"/>
                      <w:kern w:val="0"/>
                      <w:sz w:val="21"/>
                      <w:szCs w:val="24"/>
                      <w:lang w:val="en-US" w:eastAsia="zh-CN" w:bidi="ar-SA"/>
                    </w:rPr>
                  </w:pPr>
                </w:p>
              </w:tc>
              <w:tc>
                <w:tcPr>
                  <w:tcW w:w="1702" w:type="dxa"/>
                  <w:shd w:val="clear" w:color="auto" w:fill="auto"/>
                  <w:noWrap w:val="0"/>
                  <w:vAlign w:val="center"/>
                </w:tcPr>
                <w:p w14:paraId="625EFE2D">
                  <w:pPr>
                    <w:pStyle w:val="56"/>
                    <w:bidi w:val="0"/>
                    <w:ind w:firstLine="0" w:firstLineChars="0"/>
                    <w:rPr>
                      <w:rFonts w:hint="default" w:ascii="Times New Roman" w:hAnsi="Times New Roman" w:eastAsia="宋体" w:cs="Times New Roman"/>
                      <w:b w:val="0"/>
                      <w:bCs/>
                      <w:color w:val="auto"/>
                      <w:kern w:val="0"/>
                      <w:sz w:val="21"/>
                      <w:szCs w:val="24"/>
                      <w:lang w:val="en-US" w:eastAsia="zh-CN" w:bidi="ar-SA"/>
                    </w:rPr>
                  </w:pPr>
                  <w:r>
                    <w:rPr>
                      <w:rFonts w:hint="eastAsia"/>
                      <w:lang w:val="en-US" w:eastAsia="zh-CN"/>
                    </w:rPr>
                    <w:t>SW07 900-999-S07</w:t>
                  </w:r>
                </w:p>
              </w:tc>
              <w:tc>
                <w:tcPr>
                  <w:tcW w:w="639" w:type="dxa"/>
                  <w:shd w:val="clear" w:color="auto" w:fill="auto"/>
                  <w:noWrap w:val="0"/>
                  <w:vAlign w:val="center"/>
                </w:tcPr>
                <w:p w14:paraId="002EE968">
                  <w:pPr>
                    <w:pStyle w:val="56"/>
                    <w:bidi w:val="0"/>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lang w:val="en-US" w:eastAsia="zh-CN"/>
                    </w:rPr>
                    <w:t>2</w:t>
                  </w:r>
                </w:p>
              </w:tc>
              <w:tc>
                <w:tcPr>
                  <w:tcW w:w="2413" w:type="dxa"/>
                  <w:shd w:val="clear" w:color="auto" w:fill="auto"/>
                  <w:noWrap w:val="0"/>
                  <w:vAlign w:val="center"/>
                </w:tcPr>
                <w:p w14:paraId="38906300">
                  <w:pPr>
                    <w:pStyle w:val="56"/>
                    <w:bidi w:val="0"/>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lang w:val="en-US" w:eastAsia="zh-CN"/>
                    </w:rPr>
                    <w:t>交由资质单位处置</w:t>
                  </w:r>
                </w:p>
              </w:tc>
            </w:tr>
            <w:tr w14:paraId="15C2F7DD">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68" w:type="dxa"/>
                  <w:noWrap w:val="0"/>
                  <w:vAlign w:val="center"/>
                </w:tcPr>
                <w:p w14:paraId="2AE001CD">
                  <w:pPr>
                    <w:pStyle w:val="56"/>
                    <w:bidi w:val="0"/>
                    <w:rPr>
                      <w:rFonts w:hint="eastAsia"/>
                      <w:lang w:eastAsia="zh-CN"/>
                    </w:rPr>
                  </w:pPr>
                  <w:r>
                    <w:rPr>
                      <w:rFonts w:hint="eastAsia"/>
                      <w:lang w:val="en-US" w:eastAsia="zh-CN"/>
                    </w:rPr>
                    <w:t>5</w:t>
                  </w:r>
                </w:p>
              </w:tc>
              <w:tc>
                <w:tcPr>
                  <w:tcW w:w="1371" w:type="dxa"/>
                  <w:noWrap w:val="0"/>
                  <w:vAlign w:val="center"/>
                </w:tcPr>
                <w:p w14:paraId="43AC6AE6">
                  <w:pPr>
                    <w:pStyle w:val="56"/>
                    <w:bidi w:val="0"/>
                    <w:rPr>
                      <w:rFonts w:hint="eastAsia"/>
                      <w:lang w:eastAsia="zh-CN"/>
                    </w:rPr>
                  </w:pPr>
                  <w:r>
                    <w:rPr>
                      <w:rFonts w:hint="eastAsia"/>
                      <w:lang w:eastAsia="zh-CN"/>
                    </w:rPr>
                    <w:t>除尘装置收集粉尘</w:t>
                  </w:r>
                </w:p>
              </w:tc>
              <w:tc>
                <w:tcPr>
                  <w:tcW w:w="1083" w:type="dxa"/>
                  <w:noWrap w:val="0"/>
                  <w:vAlign w:val="center"/>
                </w:tcPr>
                <w:p w14:paraId="6645C1E9">
                  <w:pPr>
                    <w:pStyle w:val="56"/>
                    <w:bidi w:val="0"/>
                    <w:rPr>
                      <w:rFonts w:hint="default"/>
                      <w:lang w:val="en-US" w:eastAsia="zh-CN"/>
                    </w:rPr>
                  </w:pPr>
                  <w:r>
                    <w:rPr>
                      <w:rFonts w:hint="eastAsia"/>
                      <w:lang w:val="en-US" w:eastAsia="zh-CN"/>
                    </w:rPr>
                    <w:t>布袋除尘</w:t>
                  </w:r>
                </w:p>
              </w:tc>
              <w:tc>
                <w:tcPr>
                  <w:tcW w:w="637" w:type="dxa"/>
                  <w:vMerge w:val="continue"/>
                  <w:noWrap w:val="0"/>
                  <w:vAlign w:val="center"/>
                </w:tcPr>
                <w:p w14:paraId="047D6DC9">
                  <w:pPr>
                    <w:pStyle w:val="56"/>
                    <w:bidi w:val="0"/>
                  </w:pPr>
                </w:p>
              </w:tc>
              <w:tc>
                <w:tcPr>
                  <w:tcW w:w="1702" w:type="dxa"/>
                  <w:noWrap w:val="0"/>
                  <w:vAlign w:val="center"/>
                </w:tcPr>
                <w:p w14:paraId="718CF93D">
                  <w:pPr>
                    <w:pStyle w:val="56"/>
                    <w:bidi w:val="0"/>
                    <w:rPr>
                      <w:rFonts w:hint="default"/>
                      <w:lang w:val="en-US"/>
                    </w:rPr>
                  </w:pPr>
                  <w:r>
                    <w:rPr>
                      <w:rFonts w:hint="eastAsia"/>
                      <w:lang w:val="en-US" w:eastAsia="zh-CN"/>
                    </w:rPr>
                    <w:t>SW17 900</w:t>
                  </w:r>
                  <w:r>
                    <w:rPr>
                      <w:rFonts w:hint="eastAsia"/>
                    </w:rPr>
                    <w:t>-0</w:t>
                  </w:r>
                  <w:r>
                    <w:rPr>
                      <w:rFonts w:hint="eastAsia"/>
                      <w:lang w:val="en-US" w:eastAsia="zh-CN"/>
                    </w:rPr>
                    <w:t>99</w:t>
                  </w:r>
                  <w:r>
                    <w:rPr>
                      <w:rFonts w:hint="eastAsia"/>
                    </w:rPr>
                    <w:t>-S</w:t>
                  </w:r>
                  <w:r>
                    <w:rPr>
                      <w:rFonts w:hint="eastAsia"/>
                      <w:lang w:val="en-US" w:eastAsia="zh-CN"/>
                    </w:rPr>
                    <w:t>17</w:t>
                  </w:r>
                </w:p>
              </w:tc>
              <w:tc>
                <w:tcPr>
                  <w:tcW w:w="639" w:type="dxa"/>
                  <w:noWrap w:val="0"/>
                  <w:vAlign w:val="center"/>
                </w:tcPr>
                <w:p w14:paraId="42F7A2B6">
                  <w:pPr>
                    <w:pStyle w:val="56"/>
                    <w:bidi w:val="0"/>
                    <w:rPr>
                      <w:rFonts w:hint="default"/>
                      <w:lang w:val="en-US" w:eastAsia="zh-CN"/>
                    </w:rPr>
                  </w:pPr>
                  <w:r>
                    <w:rPr>
                      <w:rFonts w:hint="eastAsia"/>
                      <w:color w:val="FF0000"/>
                      <w:lang w:val="en-US" w:eastAsia="zh-CN"/>
                    </w:rPr>
                    <w:t>0.322</w:t>
                  </w:r>
                </w:p>
              </w:tc>
              <w:tc>
                <w:tcPr>
                  <w:tcW w:w="2413" w:type="dxa"/>
                  <w:noWrap w:val="0"/>
                  <w:vAlign w:val="center"/>
                </w:tcPr>
                <w:p w14:paraId="72CB5595">
                  <w:pPr>
                    <w:pStyle w:val="56"/>
                    <w:bidi w:val="0"/>
                    <w:jc w:val="left"/>
                    <w:rPr>
                      <w:rFonts w:hint="default"/>
                      <w:lang w:val="en-US" w:eastAsia="zh-CN"/>
                    </w:rPr>
                  </w:pPr>
                  <w:r>
                    <w:rPr>
                      <w:rFonts w:hint="eastAsia"/>
                      <w:lang w:val="en-US" w:eastAsia="zh-CN"/>
                    </w:rPr>
                    <w:t>全部回用于原产生工序生产</w:t>
                  </w:r>
                </w:p>
              </w:tc>
            </w:tr>
            <w:tr w14:paraId="48D09C7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68" w:type="dxa"/>
                  <w:noWrap w:val="0"/>
                  <w:vAlign w:val="center"/>
                </w:tcPr>
                <w:p w14:paraId="7183A5E6">
                  <w:pPr>
                    <w:pStyle w:val="56"/>
                    <w:bidi w:val="0"/>
                    <w:rPr>
                      <w:rFonts w:hint="eastAsia"/>
                      <w:lang w:val="en-US" w:eastAsia="zh-CN"/>
                    </w:rPr>
                  </w:pPr>
                  <w:r>
                    <w:rPr>
                      <w:rFonts w:hint="eastAsia"/>
                      <w:lang w:val="en-US" w:eastAsia="zh-CN"/>
                    </w:rPr>
                    <w:t>6</w:t>
                  </w:r>
                </w:p>
              </w:tc>
              <w:tc>
                <w:tcPr>
                  <w:tcW w:w="1371" w:type="dxa"/>
                  <w:noWrap w:val="0"/>
                  <w:vAlign w:val="center"/>
                </w:tcPr>
                <w:p w14:paraId="6140854A">
                  <w:pPr>
                    <w:pStyle w:val="56"/>
                    <w:bidi w:val="0"/>
                    <w:rPr>
                      <w:rFonts w:hint="eastAsia"/>
                      <w:lang w:eastAsia="zh-CN"/>
                    </w:rPr>
                  </w:pPr>
                  <w:r>
                    <w:rPr>
                      <w:rFonts w:hint="eastAsia"/>
                      <w:lang w:eastAsia="zh-CN"/>
                    </w:rPr>
                    <w:t>废布袋</w:t>
                  </w:r>
                </w:p>
              </w:tc>
              <w:tc>
                <w:tcPr>
                  <w:tcW w:w="1083" w:type="dxa"/>
                  <w:noWrap w:val="0"/>
                  <w:vAlign w:val="center"/>
                </w:tcPr>
                <w:p w14:paraId="498974F5">
                  <w:pPr>
                    <w:pStyle w:val="56"/>
                    <w:bidi w:val="0"/>
                    <w:rPr>
                      <w:rFonts w:hint="eastAsia"/>
                      <w:lang w:eastAsia="zh-CN"/>
                    </w:rPr>
                  </w:pPr>
                  <w:r>
                    <w:rPr>
                      <w:rFonts w:hint="eastAsia"/>
                      <w:lang w:eastAsia="zh-CN"/>
                    </w:rPr>
                    <w:t>布袋除尘器</w:t>
                  </w:r>
                </w:p>
              </w:tc>
              <w:tc>
                <w:tcPr>
                  <w:tcW w:w="637" w:type="dxa"/>
                  <w:vMerge w:val="continue"/>
                  <w:noWrap w:val="0"/>
                  <w:vAlign w:val="center"/>
                </w:tcPr>
                <w:p w14:paraId="4567270A">
                  <w:pPr>
                    <w:pStyle w:val="56"/>
                    <w:bidi w:val="0"/>
                  </w:pPr>
                </w:p>
              </w:tc>
              <w:tc>
                <w:tcPr>
                  <w:tcW w:w="1702" w:type="dxa"/>
                  <w:noWrap w:val="0"/>
                  <w:vAlign w:val="center"/>
                </w:tcPr>
                <w:p w14:paraId="2E0D7DEC">
                  <w:pPr>
                    <w:pStyle w:val="56"/>
                    <w:bidi w:val="0"/>
                    <w:rPr>
                      <w:rFonts w:hint="default"/>
                      <w:lang w:val="en-US" w:eastAsia="zh-CN"/>
                    </w:rPr>
                  </w:pPr>
                  <w:r>
                    <w:rPr>
                      <w:rFonts w:hint="eastAsia"/>
                      <w:lang w:val="en-US" w:eastAsia="zh-CN"/>
                    </w:rPr>
                    <w:t>SW17 900</w:t>
                  </w:r>
                  <w:r>
                    <w:rPr>
                      <w:rFonts w:hint="eastAsia"/>
                    </w:rPr>
                    <w:t>-0</w:t>
                  </w:r>
                  <w:r>
                    <w:rPr>
                      <w:rFonts w:hint="eastAsia"/>
                      <w:lang w:val="en-US" w:eastAsia="zh-CN"/>
                    </w:rPr>
                    <w:t>99</w:t>
                  </w:r>
                  <w:r>
                    <w:rPr>
                      <w:rFonts w:hint="eastAsia"/>
                    </w:rPr>
                    <w:t>-S</w:t>
                  </w:r>
                  <w:r>
                    <w:rPr>
                      <w:rFonts w:hint="eastAsia"/>
                      <w:lang w:val="en-US" w:eastAsia="zh-CN"/>
                    </w:rPr>
                    <w:t>17</w:t>
                  </w:r>
                </w:p>
              </w:tc>
              <w:tc>
                <w:tcPr>
                  <w:tcW w:w="639" w:type="dxa"/>
                  <w:noWrap w:val="0"/>
                  <w:vAlign w:val="center"/>
                </w:tcPr>
                <w:p w14:paraId="2579E6EF">
                  <w:pPr>
                    <w:pStyle w:val="56"/>
                    <w:bidi w:val="0"/>
                    <w:rPr>
                      <w:rFonts w:hint="default"/>
                      <w:lang w:val="en-US" w:eastAsia="zh-CN"/>
                    </w:rPr>
                  </w:pPr>
                  <w:r>
                    <w:rPr>
                      <w:rFonts w:hint="eastAsia"/>
                      <w:lang w:val="en-US" w:eastAsia="zh-CN"/>
                    </w:rPr>
                    <w:t>0.1</w:t>
                  </w:r>
                </w:p>
              </w:tc>
              <w:tc>
                <w:tcPr>
                  <w:tcW w:w="2413" w:type="dxa"/>
                  <w:noWrap w:val="0"/>
                  <w:vAlign w:val="center"/>
                </w:tcPr>
                <w:p w14:paraId="5CF7CBD5">
                  <w:pPr>
                    <w:pStyle w:val="56"/>
                    <w:bidi w:val="0"/>
                    <w:rPr>
                      <w:rFonts w:hint="eastAsia"/>
                      <w:lang w:eastAsia="zh-CN"/>
                    </w:rPr>
                  </w:pPr>
                  <w:r>
                    <w:rPr>
                      <w:rFonts w:hint="eastAsia"/>
                      <w:lang w:eastAsia="zh-CN"/>
                    </w:rPr>
                    <w:t>厂家回收处置</w:t>
                  </w:r>
                </w:p>
              </w:tc>
            </w:tr>
            <w:tr w14:paraId="7204060E">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68" w:type="dxa"/>
                  <w:noWrap w:val="0"/>
                  <w:vAlign w:val="center"/>
                </w:tcPr>
                <w:p w14:paraId="373404CA">
                  <w:pPr>
                    <w:pStyle w:val="56"/>
                    <w:bidi w:val="0"/>
                    <w:rPr>
                      <w:rFonts w:hint="default"/>
                      <w:color w:val="FF0000"/>
                      <w:lang w:val="en-US" w:eastAsia="zh-CN"/>
                    </w:rPr>
                  </w:pPr>
                  <w:r>
                    <w:rPr>
                      <w:rFonts w:hint="eastAsia"/>
                      <w:color w:val="FF0000"/>
                      <w:lang w:val="en-US" w:eastAsia="zh-CN"/>
                    </w:rPr>
                    <w:t>7</w:t>
                  </w:r>
                </w:p>
              </w:tc>
              <w:tc>
                <w:tcPr>
                  <w:tcW w:w="1371" w:type="dxa"/>
                  <w:noWrap w:val="0"/>
                  <w:vAlign w:val="center"/>
                </w:tcPr>
                <w:p w14:paraId="01B03691">
                  <w:pPr>
                    <w:pStyle w:val="56"/>
                    <w:bidi w:val="0"/>
                    <w:rPr>
                      <w:rFonts w:hint="default" w:eastAsia="宋体"/>
                      <w:color w:val="FF0000"/>
                      <w:lang w:val="en-US" w:eastAsia="zh-CN"/>
                    </w:rPr>
                  </w:pPr>
                  <w:r>
                    <w:rPr>
                      <w:rFonts w:hint="eastAsia"/>
                      <w:color w:val="FF0000"/>
                      <w:lang w:val="en-US" w:eastAsia="zh-CN"/>
                    </w:rPr>
                    <w:t>焊接烟尘及废焊丝</w:t>
                  </w:r>
                </w:p>
              </w:tc>
              <w:tc>
                <w:tcPr>
                  <w:tcW w:w="1083" w:type="dxa"/>
                  <w:noWrap w:val="0"/>
                  <w:vAlign w:val="center"/>
                </w:tcPr>
                <w:p w14:paraId="4E249A1D">
                  <w:pPr>
                    <w:pStyle w:val="56"/>
                    <w:bidi w:val="0"/>
                    <w:rPr>
                      <w:rFonts w:hint="default" w:eastAsia="宋体"/>
                      <w:color w:val="FF0000"/>
                      <w:lang w:val="en-US" w:eastAsia="zh-CN"/>
                    </w:rPr>
                  </w:pPr>
                  <w:r>
                    <w:rPr>
                      <w:rFonts w:hint="eastAsia"/>
                      <w:color w:val="FF0000"/>
                      <w:lang w:val="en-US" w:eastAsia="zh-CN"/>
                    </w:rPr>
                    <w:t>生产过程</w:t>
                  </w:r>
                </w:p>
              </w:tc>
              <w:tc>
                <w:tcPr>
                  <w:tcW w:w="637" w:type="dxa"/>
                  <w:vMerge w:val="continue"/>
                  <w:noWrap w:val="0"/>
                  <w:vAlign w:val="center"/>
                </w:tcPr>
                <w:p w14:paraId="76DE9892">
                  <w:pPr>
                    <w:pStyle w:val="56"/>
                    <w:bidi w:val="0"/>
                    <w:rPr>
                      <w:rFonts w:hint="eastAsia"/>
                      <w:color w:val="FF0000"/>
                      <w:lang w:val="en-US" w:eastAsia="zh-CN"/>
                    </w:rPr>
                  </w:pPr>
                </w:p>
              </w:tc>
              <w:tc>
                <w:tcPr>
                  <w:tcW w:w="1702" w:type="dxa"/>
                  <w:noWrap w:val="0"/>
                  <w:vAlign w:val="center"/>
                </w:tcPr>
                <w:p w14:paraId="4022CBC1">
                  <w:pPr>
                    <w:pStyle w:val="56"/>
                    <w:bidi w:val="0"/>
                    <w:rPr>
                      <w:rFonts w:hint="eastAsia"/>
                      <w:color w:val="FF0000"/>
                      <w:lang w:val="en-US" w:eastAsia="zh-CN"/>
                    </w:rPr>
                  </w:pPr>
                  <w:r>
                    <w:rPr>
                      <w:rFonts w:hint="eastAsia"/>
                      <w:color w:val="FF0000"/>
                      <w:lang w:val="en-US" w:eastAsia="zh-CN"/>
                    </w:rPr>
                    <w:t>SW17 900</w:t>
                  </w:r>
                  <w:r>
                    <w:rPr>
                      <w:rFonts w:hint="eastAsia"/>
                      <w:color w:val="FF0000"/>
                    </w:rPr>
                    <w:t>-0</w:t>
                  </w:r>
                  <w:r>
                    <w:rPr>
                      <w:rFonts w:hint="eastAsia"/>
                      <w:color w:val="FF0000"/>
                      <w:lang w:val="en-US" w:eastAsia="zh-CN"/>
                    </w:rPr>
                    <w:t>99</w:t>
                  </w:r>
                  <w:r>
                    <w:rPr>
                      <w:rFonts w:hint="eastAsia"/>
                      <w:color w:val="FF0000"/>
                    </w:rPr>
                    <w:t>-S</w:t>
                  </w:r>
                  <w:r>
                    <w:rPr>
                      <w:rFonts w:hint="eastAsia"/>
                      <w:color w:val="FF0000"/>
                      <w:lang w:val="en-US" w:eastAsia="zh-CN"/>
                    </w:rPr>
                    <w:t>17</w:t>
                  </w:r>
                </w:p>
              </w:tc>
              <w:tc>
                <w:tcPr>
                  <w:tcW w:w="639" w:type="dxa"/>
                  <w:noWrap w:val="0"/>
                  <w:vAlign w:val="center"/>
                </w:tcPr>
                <w:p w14:paraId="7AFE0279">
                  <w:pPr>
                    <w:pStyle w:val="56"/>
                    <w:bidi w:val="0"/>
                    <w:rPr>
                      <w:rFonts w:hint="default"/>
                      <w:color w:val="FF0000"/>
                      <w:lang w:val="en-US" w:eastAsia="zh-CN"/>
                    </w:rPr>
                  </w:pPr>
                  <w:r>
                    <w:rPr>
                      <w:rFonts w:hint="eastAsia"/>
                      <w:color w:val="FF0000"/>
                      <w:lang w:val="en-US" w:eastAsia="zh-CN"/>
                    </w:rPr>
                    <w:t>0.107</w:t>
                  </w:r>
                </w:p>
              </w:tc>
              <w:tc>
                <w:tcPr>
                  <w:tcW w:w="2413" w:type="dxa"/>
                  <w:noWrap w:val="0"/>
                  <w:vAlign w:val="center"/>
                </w:tcPr>
                <w:p w14:paraId="6DDC9F76">
                  <w:pPr>
                    <w:pStyle w:val="56"/>
                    <w:bidi w:val="0"/>
                    <w:rPr>
                      <w:rFonts w:hint="default"/>
                      <w:color w:val="FF0000"/>
                      <w:lang w:val="en-US" w:eastAsia="zh-CN"/>
                    </w:rPr>
                  </w:pPr>
                  <w:r>
                    <w:rPr>
                      <w:rFonts w:hint="eastAsia"/>
                      <w:color w:val="FF0000"/>
                      <w:lang w:val="en-US" w:eastAsia="zh-CN"/>
                    </w:rPr>
                    <w:t>外售综合利用</w:t>
                  </w:r>
                </w:p>
              </w:tc>
            </w:tr>
            <w:tr w14:paraId="067F5FCF">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68" w:type="dxa"/>
                  <w:noWrap w:val="0"/>
                  <w:vAlign w:val="center"/>
                </w:tcPr>
                <w:p w14:paraId="75902112">
                  <w:pPr>
                    <w:pStyle w:val="56"/>
                    <w:bidi w:val="0"/>
                    <w:rPr>
                      <w:rFonts w:hint="default"/>
                      <w:color w:val="FF0000"/>
                      <w:lang w:val="en-US" w:eastAsia="zh-CN"/>
                    </w:rPr>
                  </w:pPr>
                  <w:r>
                    <w:rPr>
                      <w:rFonts w:hint="eastAsia"/>
                      <w:color w:val="FF0000"/>
                      <w:lang w:val="en-US" w:eastAsia="zh-CN"/>
                    </w:rPr>
                    <w:t>8</w:t>
                  </w:r>
                </w:p>
              </w:tc>
              <w:tc>
                <w:tcPr>
                  <w:tcW w:w="1371" w:type="dxa"/>
                  <w:noWrap w:val="0"/>
                  <w:vAlign w:val="center"/>
                </w:tcPr>
                <w:p w14:paraId="7C220C05">
                  <w:pPr>
                    <w:pStyle w:val="56"/>
                    <w:bidi w:val="0"/>
                    <w:rPr>
                      <w:rFonts w:hint="default"/>
                      <w:color w:val="FF0000"/>
                      <w:lang w:val="en-US" w:eastAsia="zh-CN"/>
                    </w:rPr>
                  </w:pPr>
                  <w:r>
                    <w:rPr>
                      <w:rFonts w:hint="eastAsia"/>
                      <w:color w:val="FF0000"/>
                      <w:lang w:val="en-US" w:eastAsia="zh-CN"/>
                    </w:rPr>
                    <w:t>报废零部件</w:t>
                  </w:r>
                </w:p>
              </w:tc>
              <w:tc>
                <w:tcPr>
                  <w:tcW w:w="1083" w:type="dxa"/>
                  <w:noWrap w:val="0"/>
                  <w:vAlign w:val="center"/>
                </w:tcPr>
                <w:p w14:paraId="52AAF4F2">
                  <w:pPr>
                    <w:pStyle w:val="56"/>
                    <w:bidi w:val="0"/>
                    <w:rPr>
                      <w:rFonts w:hint="default"/>
                      <w:color w:val="FF0000"/>
                      <w:lang w:val="en-US" w:eastAsia="zh-CN"/>
                    </w:rPr>
                  </w:pPr>
                  <w:r>
                    <w:rPr>
                      <w:rFonts w:hint="eastAsia"/>
                      <w:color w:val="FF0000"/>
                      <w:lang w:val="en-US" w:eastAsia="zh-CN"/>
                    </w:rPr>
                    <w:t>生产过程</w:t>
                  </w:r>
                </w:p>
              </w:tc>
              <w:tc>
                <w:tcPr>
                  <w:tcW w:w="637" w:type="dxa"/>
                  <w:vMerge w:val="continue"/>
                  <w:noWrap w:val="0"/>
                  <w:vAlign w:val="center"/>
                </w:tcPr>
                <w:p w14:paraId="640AFF75">
                  <w:pPr>
                    <w:pStyle w:val="56"/>
                    <w:bidi w:val="0"/>
                    <w:rPr>
                      <w:rFonts w:hint="eastAsia"/>
                      <w:color w:val="FF0000"/>
                      <w:lang w:val="en-US" w:eastAsia="zh-CN"/>
                    </w:rPr>
                  </w:pPr>
                </w:p>
              </w:tc>
              <w:tc>
                <w:tcPr>
                  <w:tcW w:w="1702" w:type="dxa"/>
                  <w:noWrap w:val="0"/>
                  <w:vAlign w:val="center"/>
                </w:tcPr>
                <w:p w14:paraId="28E0E06A">
                  <w:pPr>
                    <w:pStyle w:val="56"/>
                    <w:bidi w:val="0"/>
                    <w:rPr>
                      <w:rFonts w:hint="eastAsia"/>
                      <w:color w:val="FF0000"/>
                      <w:lang w:val="en-US" w:eastAsia="zh-CN"/>
                    </w:rPr>
                  </w:pPr>
                  <w:r>
                    <w:rPr>
                      <w:rFonts w:hint="eastAsia"/>
                      <w:color w:val="FF0000"/>
                      <w:lang w:val="en-US" w:eastAsia="zh-CN"/>
                    </w:rPr>
                    <w:t>SW17 900-001-S17</w:t>
                  </w:r>
                </w:p>
              </w:tc>
              <w:tc>
                <w:tcPr>
                  <w:tcW w:w="639" w:type="dxa"/>
                  <w:noWrap w:val="0"/>
                  <w:vAlign w:val="center"/>
                </w:tcPr>
                <w:p w14:paraId="10616662">
                  <w:pPr>
                    <w:pStyle w:val="56"/>
                    <w:bidi w:val="0"/>
                    <w:rPr>
                      <w:rFonts w:hint="default"/>
                      <w:color w:val="FF0000"/>
                      <w:lang w:val="en-US" w:eastAsia="zh-CN"/>
                    </w:rPr>
                  </w:pPr>
                  <w:r>
                    <w:rPr>
                      <w:rFonts w:hint="eastAsia"/>
                      <w:color w:val="FF0000"/>
                      <w:lang w:val="en-US" w:eastAsia="zh-CN"/>
                    </w:rPr>
                    <w:t>2</w:t>
                  </w:r>
                </w:p>
              </w:tc>
              <w:tc>
                <w:tcPr>
                  <w:tcW w:w="2413" w:type="dxa"/>
                  <w:noWrap w:val="0"/>
                  <w:vAlign w:val="center"/>
                </w:tcPr>
                <w:p w14:paraId="7CCDEBDA">
                  <w:pPr>
                    <w:pStyle w:val="56"/>
                    <w:bidi w:val="0"/>
                    <w:rPr>
                      <w:rFonts w:hint="default"/>
                      <w:color w:val="FF0000"/>
                      <w:lang w:val="en-US" w:eastAsia="zh-CN"/>
                    </w:rPr>
                  </w:pPr>
                  <w:r>
                    <w:rPr>
                      <w:rFonts w:hint="eastAsia"/>
                      <w:color w:val="FF0000"/>
                      <w:lang w:val="en-US" w:eastAsia="zh-CN"/>
                    </w:rPr>
                    <w:t>外售综合利用</w:t>
                  </w:r>
                </w:p>
              </w:tc>
            </w:tr>
            <w:tr w14:paraId="0F2D025D">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68" w:type="dxa"/>
                  <w:noWrap w:val="0"/>
                  <w:vAlign w:val="center"/>
                </w:tcPr>
                <w:p w14:paraId="1A7B5F02">
                  <w:pPr>
                    <w:pStyle w:val="56"/>
                    <w:bidi w:val="0"/>
                    <w:rPr>
                      <w:rFonts w:hint="default"/>
                      <w:lang w:val="en-US" w:eastAsia="zh-CN"/>
                    </w:rPr>
                  </w:pPr>
                  <w:r>
                    <w:rPr>
                      <w:rFonts w:hint="eastAsia"/>
                      <w:lang w:val="en-US" w:eastAsia="zh-CN"/>
                    </w:rPr>
                    <w:t>9</w:t>
                  </w:r>
                </w:p>
              </w:tc>
              <w:tc>
                <w:tcPr>
                  <w:tcW w:w="1371" w:type="dxa"/>
                  <w:noWrap w:val="0"/>
                  <w:vAlign w:val="center"/>
                </w:tcPr>
                <w:p w14:paraId="1DBCAB21">
                  <w:pPr>
                    <w:pStyle w:val="56"/>
                    <w:bidi w:val="0"/>
                    <w:rPr>
                      <w:rFonts w:hint="eastAsia"/>
                      <w:lang w:val="en-US" w:eastAsia="zh-CN"/>
                    </w:rPr>
                  </w:pPr>
                  <w:r>
                    <w:t>生活垃圾</w:t>
                  </w:r>
                </w:p>
              </w:tc>
              <w:tc>
                <w:tcPr>
                  <w:tcW w:w="1083" w:type="dxa"/>
                  <w:noWrap w:val="0"/>
                  <w:vAlign w:val="center"/>
                </w:tcPr>
                <w:p w14:paraId="072ACCE1">
                  <w:pPr>
                    <w:pStyle w:val="56"/>
                    <w:bidi w:val="0"/>
                    <w:rPr>
                      <w:rFonts w:hint="eastAsia"/>
                      <w:lang w:val="en-US" w:eastAsia="zh-CN"/>
                    </w:rPr>
                  </w:pPr>
                  <w:r>
                    <w:t>职工</w:t>
                  </w:r>
                  <w:r>
                    <w:rPr>
                      <w:rFonts w:hint="eastAsia"/>
                      <w:lang w:val="en-US" w:eastAsia="zh-CN"/>
                    </w:rPr>
                    <w:t>生活</w:t>
                  </w:r>
                </w:p>
              </w:tc>
              <w:tc>
                <w:tcPr>
                  <w:tcW w:w="637" w:type="dxa"/>
                  <w:vMerge w:val="continue"/>
                  <w:noWrap w:val="0"/>
                  <w:vAlign w:val="center"/>
                </w:tcPr>
                <w:p w14:paraId="6B12AEBC">
                  <w:pPr>
                    <w:pStyle w:val="56"/>
                    <w:bidi w:val="0"/>
                    <w:rPr>
                      <w:rFonts w:hint="default"/>
                      <w:lang w:val="en-US" w:eastAsia="zh-CN"/>
                    </w:rPr>
                  </w:pPr>
                </w:p>
              </w:tc>
              <w:tc>
                <w:tcPr>
                  <w:tcW w:w="1702" w:type="dxa"/>
                  <w:noWrap w:val="0"/>
                  <w:vAlign w:val="center"/>
                </w:tcPr>
                <w:p w14:paraId="71298C0B">
                  <w:pPr>
                    <w:pStyle w:val="56"/>
                    <w:bidi w:val="0"/>
                    <w:rPr>
                      <w:rFonts w:hint="default"/>
                      <w:lang w:val="en-US" w:eastAsia="zh-CN"/>
                    </w:rPr>
                  </w:pPr>
                  <w:r>
                    <w:rPr>
                      <w:rFonts w:hint="eastAsia"/>
                      <w:color w:val="FF0000"/>
                      <w:lang w:val="en-US" w:eastAsia="zh-CN"/>
                    </w:rPr>
                    <w:t>SW61/SW62/SW64</w:t>
                  </w:r>
                </w:p>
              </w:tc>
              <w:tc>
                <w:tcPr>
                  <w:tcW w:w="639" w:type="dxa"/>
                  <w:noWrap w:val="0"/>
                  <w:vAlign w:val="center"/>
                </w:tcPr>
                <w:p w14:paraId="64448E1D">
                  <w:pPr>
                    <w:pStyle w:val="56"/>
                    <w:bidi w:val="0"/>
                    <w:rPr>
                      <w:rFonts w:hint="default"/>
                      <w:lang w:val="en-US" w:eastAsia="zh-CN"/>
                    </w:rPr>
                  </w:pPr>
                  <w:r>
                    <w:rPr>
                      <w:rFonts w:hint="eastAsia"/>
                      <w:lang w:val="en-US" w:eastAsia="zh-CN"/>
                    </w:rPr>
                    <w:t>2.25</w:t>
                  </w:r>
                </w:p>
              </w:tc>
              <w:tc>
                <w:tcPr>
                  <w:tcW w:w="2413" w:type="dxa"/>
                  <w:noWrap w:val="0"/>
                  <w:vAlign w:val="center"/>
                </w:tcPr>
                <w:p w14:paraId="4CB296D4">
                  <w:pPr>
                    <w:pStyle w:val="56"/>
                    <w:bidi w:val="0"/>
                    <w:rPr>
                      <w:rFonts w:hint="default"/>
                      <w:lang w:val="en-US" w:eastAsia="zh-CN"/>
                    </w:rPr>
                  </w:pPr>
                  <w:r>
                    <w:rPr>
                      <w:rFonts w:hint="eastAsia"/>
                      <w:lang w:val="en-US" w:eastAsia="zh-CN"/>
                    </w:rPr>
                    <w:t>交由环卫部门清运</w:t>
                  </w:r>
                </w:p>
              </w:tc>
            </w:tr>
            <w:tr w14:paraId="18BEAB4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68" w:type="dxa"/>
                  <w:noWrap w:val="0"/>
                  <w:vAlign w:val="center"/>
                </w:tcPr>
                <w:p w14:paraId="7F463D81">
                  <w:pPr>
                    <w:pStyle w:val="56"/>
                    <w:bidi w:val="0"/>
                    <w:rPr>
                      <w:rFonts w:hint="default"/>
                      <w:lang w:val="en-US" w:eastAsia="zh-CN"/>
                    </w:rPr>
                  </w:pPr>
                  <w:r>
                    <w:rPr>
                      <w:rFonts w:hint="eastAsia"/>
                      <w:lang w:val="en-US" w:eastAsia="zh-CN"/>
                    </w:rPr>
                    <w:t>10</w:t>
                  </w:r>
                </w:p>
              </w:tc>
              <w:tc>
                <w:tcPr>
                  <w:tcW w:w="1371" w:type="dxa"/>
                  <w:noWrap w:val="0"/>
                  <w:vAlign w:val="center"/>
                </w:tcPr>
                <w:p w14:paraId="0AB45AF0">
                  <w:pPr>
                    <w:pStyle w:val="56"/>
                    <w:bidi w:val="0"/>
                    <w:jc w:val="left"/>
                    <w:rPr>
                      <w:rFonts w:hint="eastAsia"/>
                      <w:lang w:val="en-US" w:eastAsia="zh-CN"/>
                    </w:rPr>
                  </w:pPr>
                  <w:r>
                    <w:t>沾染矿物油包装桶</w:t>
                  </w:r>
                </w:p>
              </w:tc>
              <w:tc>
                <w:tcPr>
                  <w:tcW w:w="1083" w:type="dxa"/>
                  <w:noWrap w:val="0"/>
                  <w:vAlign w:val="center"/>
                </w:tcPr>
                <w:p w14:paraId="11876EEB">
                  <w:pPr>
                    <w:pStyle w:val="56"/>
                    <w:bidi w:val="0"/>
                  </w:pPr>
                  <w:r>
                    <w:t>机械维修</w:t>
                  </w:r>
                </w:p>
              </w:tc>
              <w:tc>
                <w:tcPr>
                  <w:tcW w:w="637" w:type="dxa"/>
                  <w:vMerge w:val="restart"/>
                  <w:noWrap w:val="0"/>
                  <w:vAlign w:val="center"/>
                </w:tcPr>
                <w:p w14:paraId="39612055">
                  <w:pPr>
                    <w:pStyle w:val="56"/>
                    <w:bidi w:val="0"/>
                    <w:ind w:firstLine="0" w:firstLineChars="0"/>
                    <w:rPr>
                      <w:rFonts w:hint="eastAsia"/>
                      <w:lang w:val="en-US" w:eastAsia="zh-CN"/>
                    </w:rPr>
                  </w:pPr>
                  <w:r>
                    <w:rPr>
                      <w:rFonts w:hint="eastAsia"/>
                      <w:lang w:val="en-US" w:eastAsia="zh-CN"/>
                    </w:rPr>
                    <w:t>危险废物</w:t>
                  </w:r>
                </w:p>
              </w:tc>
              <w:tc>
                <w:tcPr>
                  <w:tcW w:w="1702" w:type="dxa"/>
                  <w:noWrap w:val="0"/>
                  <w:vAlign w:val="center"/>
                </w:tcPr>
                <w:p w14:paraId="11D0CE03">
                  <w:pPr>
                    <w:pStyle w:val="56"/>
                    <w:bidi w:val="0"/>
                  </w:pPr>
                  <w:r>
                    <w:t>HW49</w:t>
                  </w:r>
                  <w:r>
                    <w:rPr>
                      <w:rFonts w:hint="eastAsia"/>
                      <w:lang w:val="en-US" w:eastAsia="zh-CN"/>
                    </w:rPr>
                    <w:t xml:space="preserve"> 900-041-49</w:t>
                  </w:r>
                </w:p>
              </w:tc>
              <w:tc>
                <w:tcPr>
                  <w:tcW w:w="639" w:type="dxa"/>
                  <w:noWrap w:val="0"/>
                  <w:vAlign w:val="center"/>
                </w:tcPr>
                <w:p w14:paraId="0B6C8B9C">
                  <w:pPr>
                    <w:pStyle w:val="56"/>
                    <w:bidi w:val="0"/>
                    <w:rPr>
                      <w:rFonts w:hint="default"/>
                      <w:lang w:val="en-US" w:eastAsia="zh-CN"/>
                    </w:rPr>
                  </w:pPr>
                  <w:r>
                    <w:rPr>
                      <w:rFonts w:hint="eastAsia"/>
                      <w:lang w:val="en-US" w:eastAsia="zh-CN"/>
                    </w:rPr>
                    <w:t>0.05</w:t>
                  </w:r>
                </w:p>
              </w:tc>
              <w:tc>
                <w:tcPr>
                  <w:tcW w:w="2413" w:type="dxa"/>
                  <w:noWrap w:val="0"/>
                  <w:vAlign w:val="center"/>
                </w:tcPr>
                <w:p w14:paraId="56B5B09B">
                  <w:pPr>
                    <w:pStyle w:val="56"/>
                    <w:bidi w:val="0"/>
                    <w:rPr>
                      <w:rFonts w:hint="eastAsia"/>
                      <w:lang w:val="en-US" w:eastAsia="zh-CN"/>
                    </w:rPr>
                  </w:pPr>
                  <w:r>
                    <w:rPr>
                      <w:rFonts w:hint="eastAsia"/>
                      <w:lang w:val="en-US" w:eastAsia="zh-CN"/>
                    </w:rPr>
                    <w:t>在厂内暂存后交由资质单位处置</w:t>
                  </w:r>
                </w:p>
              </w:tc>
            </w:tr>
            <w:tr w14:paraId="2C51D258">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68" w:type="dxa"/>
                  <w:noWrap w:val="0"/>
                  <w:vAlign w:val="center"/>
                </w:tcPr>
                <w:p w14:paraId="2ED0C6FE">
                  <w:pPr>
                    <w:pStyle w:val="56"/>
                    <w:bidi w:val="0"/>
                    <w:rPr>
                      <w:rFonts w:hint="default"/>
                      <w:lang w:val="en-US" w:eastAsia="zh-CN"/>
                    </w:rPr>
                  </w:pPr>
                  <w:r>
                    <w:rPr>
                      <w:rFonts w:hint="eastAsia"/>
                      <w:lang w:val="en-US" w:eastAsia="zh-CN"/>
                    </w:rPr>
                    <w:t>11</w:t>
                  </w:r>
                </w:p>
              </w:tc>
              <w:tc>
                <w:tcPr>
                  <w:tcW w:w="1371" w:type="dxa"/>
                  <w:noWrap w:val="0"/>
                  <w:vAlign w:val="center"/>
                </w:tcPr>
                <w:p w14:paraId="7900A6EB">
                  <w:pPr>
                    <w:pStyle w:val="56"/>
                    <w:bidi w:val="0"/>
                  </w:pPr>
                  <w:r>
                    <w:rPr>
                      <w:rFonts w:hint="eastAsia"/>
                      <w:lang w:eastAsia="zh-CN"/>
                    </w:rPr>
                    <w:t>废弃含油抹布、劳保用品</w:t>
                  </w:r>
                </w:p>
              </w:tc>
              <w:tc>
                <w:tcPr>
                  <w:tcW w:w="1083" w:type="dxa"/>
                  <w:noWrap w:val="0"/>
                  <w:vAlign w:val="center"/>
                </w:tcPr>
                <w:p w14:paraId="4EA34FA9">
                  <w:pPr>
                    <w:pStyle w:val="56"/>
                    <w:bidi w:val="0"/>
                  </w:pPr>
                  <w:r>
                    <w:t>机械维修</w:t>
                  </w:r>
                </w:p>
              </w:tc>
              <w:tc>
                <w:tcPr>
                  <w:tcW w:w="637" w:type="dxa"/>
                  <w:vMerge w:val="continue"/>
                  <w:noWrap w:val="0"/>
                  <w:vAlign w:val="center"/>
                </w:tcPr>
                <w:p w14:paraId="520820B7">
                  <w:pPr>
                    <w:pStyle w:val="56"/>
                    <w:bidi w:val="0"/>
                    <w:rPr>
                      <w:rFonts w:hint="eastAsia"/>
                      <w:lang w:val="en-US" w:eastAsia="zh-CN"/>
                    </w:rPr>
                  </w:pPr>
                </w:p>
              </w:tc>
              <w:tc>
                <w:tcPr>
                  <w:tcW w:w="1702" w:type="dxa"/>
                  <w:noWrap w:val="0"/>
                  <w:vAlign w:val="center"/>
                </w:tcPr>
                <w:p w14:paraId="4545AB01">
                  <w:pPr>
                    <w:pStyle w:val="56"/>
                    <w:bidi w:val="0"/>
                    <w:rPr>
                      <w:rFonts w:hint="eastAsia"/>
                      <w:lang w:val="en-US" w:eastAsia="zh-CN"/>
                    </w:rPr>
                  </w:pPr>
                  <w:r>
                    <w:t>HW49</w:t>
                  </w:r>
                  <w:r>
                    <w:rPr>
                      <w:rFonts w:hint="eastAsia"/>
                      <w:lang w:val="en-US" w:eastAsia="zh-CN"/>
                    </w:rPr>
                    <w:t xml:space="preserve"> </w:t>
                  </w:r>
                  <w:r>
                    <w:t>900-041-49</w:t>
                  </w:r>
                </w:p>
              </w:tc>
              <w:tc>
                <w:tcPr>
                  <w:tcW w:w="639" w:type="dxa"/>
                  <w:noWrap w:val="0"/>
                  <w:vAlign w:val="center"/>
                </w:tcPr>
                <w:p w14:paraId="1274BE34">
                  <w:pPr>
                    <w:pStyle w:val="56"/>
                    <w:bidi w:val="0"/>
                    <w:rPr>
                      <w:rFonts w:hint="default"/>
                      <w:lang w:val="en-US" w:eastAsia="zh-CN"/>
                    </w:rPr>
                  </w:pPr>
                  <w:r>
                    <w:rPr>
                      <w:rFonts w:hint="eastAsia"/>
                      <w:lang w:val="en-US" w:eastAsia="zh-CN"/>
                    </w:rPr>
                    <w:t>0.01</w:t>
                  </w:r>
                </w:p>
              </w:tc>
              <w:tc>
                <w:tcPr>
                  <w:tcW w:w="2413" w:type="dxa"/>
                  <w:noWrap w:val="0"/>
                  <w:vAlign w:val="center"/>
                </w:tcPr>
                <w:p w14:paraId="2D477161">
                  <w:pPr>
                    <w:pStyle w:val="56"/>
                    <w:bidi w:val="0"/>
                    <w:jc w:val="left"/>
                    <w:rPr>
                      <w:rFonts w:hint="eastAsia"/>
                      <w:lang w:val="en-US" w:eastAsia="zh-CN"/>
                    </w:rPr>
                  </w:pPr>
                  <w:r>
                    <w:rPr>
                      <w:rFonts w:hint="eastAsia"/>
                      <w:lang w:val="en-US" w:eastAsia="zh-CN"/>
                    </w:rPr>
                    <w:t>与生活垃圾一同交由环卫部门清运</w:t>
                  </w:r>
                </w:p>
              </w:tc>
            </w:tr>
            <w:tr w14:paraId="1C54289F">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68" w:type="dxa"/>
                  <w:noWrap w:val="0"/>
                  <w:vAlign w:val="center"/>
                </w:tcPr>
                <w:p w14:paraId="7B3CEC62">
                  <w:pPr>
                    <w:pStyle w:val="56"/>
                    <w:bidi w:val="0"/>
                    <w:rPr>
                      <w:rFonts w:hint="default"/>
                      <w:lang w:val="en-US" w:eastAsia="zh-CN"/>
                    </w:rPr>
                  </w:pPr>
                  <w:r>
                    <w:rPr>
                      <w:rFonts w:hint="eastAsia"/>
                      <w:lang w:val="en-US" w:eastAsia="zh-CN"/>
                    </w:rPr>
                    <w:t>12</w:t>
                  </w:r>
                </w:p>
              </w:tc>
              <w:tc>
                <w:tcPr>
                  <w:tcW w:w="1371" w:type="dxa"/>
                  <w:noWrap w:val="0"/>
                  <w:vAlign w:val="center"/>
                </w:tcPr>
                <w:p w14:paraId="0C5A719E">
                  <w:pPr>
                    <w:pStyle w:val="56"/>
                    <w:bidi w:val="0"/>
                    <w:ind w:firstLine="0" w:firstLineChars="0"/>
                    <w:rPr>
                      <w:rFonts w:hint="eastAsia"/>
                      <w:lang w:eastAsia="zh-CN"/>
                    </w:rPr>
                  </w:pPr>
                  <w:r>
                    <w:rPr>
                      <w:rFonts w:hint="eastAsia"/>
                      <w:lang w:val="en-US" w:eastAsia="zh-CN"/>
                    </w:rPr>
                    <w:t>废机油</w:t>
                  </w:r>
                </w:p>
              </w:tc>
              <w:tc>
                <w:tcPr>
                  <w:tcW w:w="1083" w:type="dxa"/>
                  <w:noWrap w:val="0"/>
                  <w:vAlign w:val="center"/>
                </w:tcPr>
                <w:p w14:paraId="4302F20D">
                  <w:pPr>
                    <w:pStyle w:val="56"/>
                    <w:bidi w:val="0"/>
                    <w:ind w:firstLine="0" w:firstLineChars="0"/>
                  </w:pPr>
                  <w:r>
                    <w:t>机械维修</w:t>
                  </w:r>
                </w:p>
              </w:tc>
              <w:tc>
                <w:tcPr>
                  <w:tcW w:w="637" w:type="dxa"/>
                  <w:vMerge w:val="continue"/>
                  <w:noWrap w:val="0"/>
                  <w:vAlign w:val="center"/>
                </w:tcPr>
                <w:p w14:paraId="741BAB97">
                  <w:pPr>
                    <w:pStyle w:val="56"/>
                    <w:bidi w:val="0"/>
                    <w:ind w:firstLine="0" w:firstLineChars="0"/>
                    <w:rPr>
                      <w:rFonts w:hint="eastAsia"/>
                      <w:lang w:val="en-US" w:eastAsia="zh-CN"/>
                    </w:rPr>
                  </w:pPr>
                </w:p>
              </w:tc>
              <w:tc>
                <w:tcPr>
                  <w:tcW w:w="1702" w:type="dxa"/>
                  <w:noWrap w:val="0"/>
                  <w:vAlign w:val="center"/>
                </w:tcPr>
                <w:p w14:paraId="0D31A0E7">
                  <w:pPr>
                    <w:pStyle w:val="56"/>
                    <w:bidi w:val="0"/>
                    <w:ind w:firstLine="0" w:firstLineChars="0"/>
                  </w:pPr>
                  <w:r>
                    <w:t>HW08</w:t>
                  </w:r>
                  <w:r>
                    <w:rPr>
                      <w:rFonts w:hint="eastAsia"/>
                      <w:lang w:val="en-US" w:eastAsia="zh-CN"/>
                    </w:rPr>
                    <w:t xml:space="preserve"> 900-201-08</w:t>
                  </w:r>
                </w:p>
              </w:tc>
              <w:tc>
                <w:tcPr>
                  <w:tcW w:w="639" w:type="dxa"/>
                  <w:noWrap w:val="0"/>
                  <w:vAlign w:val="center"/>
                </w:tcPr>
                <w:p w14:paraId="06DEE307">
                  <w:pPr>
                    <w:pStyle w:val="56"/>
                    <w:bidi w:val="0"/>
                    <w:ind w:firstLine="0" w:firstLineChars="0"/>
                    <w:rPr>
                      <w:rFonts w:hint="eastAsia"/>
                      <w:lang w:val="en-US" w:eastAsia="zh-CN"/>
                    </w:rPr>
                  </w:pPr>
                  <w:r>
                    <w:rPr>
                      <w:rFonts w:hint="eastAsia"/>
                      <w:lang w:val="en-US" w:eastAsia="zh-CN"/>
                    </w:rPr>
                    <w:t>0.05</w:t>
                  </w:r>
                </w:p>
              </w:tc>
              <w:tc>
                <w:tcPr>
                  <w:tcW w:w="2413" w:type="dxa"/>
                  <w:noWrap w:val="0"/>
                  <w:vAlign w:val="center"/>
                </w:tcPr>
                <w:p w14:paraId="4ECB16A0">
                  <w:pPr>
                    <w:pStyle w:val="56"/>
                    <w:bidi w:val="0"/>
                    <w:ind w:firstLine="0" w:firstLineChars="0"/>
                    <w:rPr>
                      <w:rFonts w:hint="eastAsia"/>
                      <w:lang w:val="en-US" w:eastAsia="zh-CN"/>
                    </w:rPr>
                  </w:pPr>
                  <w:r>
                    <w:rPr>
                      <w:rFonts w:hint="eastAsia"/>
                      <w:lang w:val="en-US" w:eastAsia="zh-CN"/>
                    </w:rPr>
                    <w:t>在厂内暂存后交由资质单位处置</w:t>
                  </w:r>
                </w:p>
              </w:tc>
            </w:tr>
          </w:tbl>
          <w:p w14:paraId="1DFDEA54">
            <w:pPr>
              <w:ind w:firstLine="480"/>
            </w:pPr>
            <w:r>
              <w:rPr>
                <w:rFonts w:hint="eastAsia"/>
              </w:rPr>
              <w:t>（2）固体废物环境管理要求</w:t>
            </w:r>
          </w:p>
          <w:p w14:paraId="4F238AA4">
            <w:pPr>
              <w:ind w:firstLine="480"/>
              <w:rPr>
                <w:b/>
                <w:bCs/>
              </w:rPr>
            </w:pPr>
            <w:r>
              <w:rPr>
                <w:rFonts w:hint="eastAsia"/>
                <w:b/>
                <w:bCs/>
              </w:rPr>
              <w:t>一般固体废物管理要求</w:t>
            </w:r>
          </w:p>
          <w:p w14:paraId="1B17BE96">
            <w:pPr>
              <w:ind w:firstLine="480"/>
            </w:pPr>
            <w:r>
              <w:rPr>
                <w:rFonts w:hint="eastAsia"/>
              </w:rPr>
              <w:t>本项目的固体废物大部分属于可资源化废物，应考虑回收和综合利用，分类收集，妥善存放，并定期外售给回收单位。</w:t>
            </w:r>
          </w:p>
          <w:p w14:paraId="4BABC84B">
            <w:pPr>
              <w:ind w:firstLine="480"/>
            </w:pPr>
            <w:r>
              <w:rPr>
                <w:rFonts w:hint="eastAsia"/>
              </w:rPr>
              <w:t>综上所述，本项目产生的固体废物均可做到</w:t>
            </w:r>
            <w:r>
              <w:t>“</w:t>
            </w:r>
            <w:r>
              <w:rPr>
                <w:rFonts w:hint="eastAsia"/>
              </w:rPr>
              <w:t>资源化、减量化、无害化</w:t>
            </w:r>
            <w:r>
              <w:t>”</w:t>
            </w:r>
            <w:r>
              <w:rPr>
                <w:rFonts w:hint="eastAsia"/>
              </w:rPr>
              <w:t>，去向明确，不会直接被遗弃在自然环境中，本项目</w:t>
            </w:r>
            <w:r>
              <w:t>一般工业固废贮存过程应满足相应防渗漏、防雨淋、防扬尘等环境保护要求</w:t>
            </w:r>
            <w:r>
              <w:rPr>
                <w:rFonts w:hint="eastAsia"/>
              </w:rPr>
              <w:t>；</w:t>
            </w:r>
          </w:p>
          <w:p w14:paraId="6623411A">
            <w:pPr>
              <w:ind w:firstLine="480"/>
            </w:pPr>
            <w:r>
              <w:rPr>
                <w:rFonts w:hint="eastAsia"/>
              </w:rPr>
              <w:t>①一般工业固废贮存场所需设有防渗系统和导排系统；</w:t>
            </w:r>
          </w:p>
          <w:p w14:paraId="3BF1DD75">
            <w:pPr>
              <w:ind w:firstLine="480"/>
            </w:pPr>
            <w:r>
              <w:rPr>
                <w:rFonts w:hint="eastAsia"/>
              </w:rPr>
              <w:t>②不相容的一般工业固体废物应设置不同的分区进行贮存；</w:t>
            </w:r>
          </w:p>
          <w:p w14:paraId="188E3DE4">
            <w:pPr>
              <w:ind w:firstLine="480"/>
            </w:pPr>
            <w:r>
              <w:rPr>
                <w:rFonts w:hint="eastAsia"/>
              </w:rPr>
              <w:t>③危险废物和生活垃圾不得进入一般工业固体废物贮存场所；</w:t>
            </w:r>
          </w:p>
          <w:p w14:paraId="61068059">
            <w:pPr>
              <w:ind w:firstLine="480"/>
            </w:pPr>
            <w:r>
              <w:rPr>
                <w:rFonts w:hint="eastAsia"/>
              </w:rPr>
              <w:t>④应建立档案管理制度，记录废物的来源、种类、污染特性、数量、贮存位置等资料；</w:t>
            </w:r>
          </w:p>
          <w:p w14:paraId="5609A0FB">
            <w:pPr>
              <w:ind w:firstLine="480"/>
            </w:pPr>
            <w:r>
              <w:rPr>
                <w:rFonts w:hint="eastAsia"/>
              </w:rPr>
              <w:t>⑤一般工业固废贮存场所环境保护图形标志应符合</w:t>
            </w:r>
            <w:r>
              <w:t>GB15562.2</w:t>
            </w:r>
            <w:r>
              <w:rPr>
                <w:rFonts w:hint="eastAsia"/>
              </w:rPr>
              <w:t>的规定，并应定期检查和维护。</w:t>
            </w:r>
          </w:p>
          <w:p w14:paraId="5A6C25FC">
            <w:pPr>
              <w:ind w:firstLine="480"/>
              <w:rPr>
                <w:rFonts w:hint="eastAsia" w:ascii="Times New Roman" w:hAnsi="Times New Roman" w:eastAsia="宋体" w:cs="Times New Roman"/>
                <w:b/>
                <w:bCs/>
                <w:i w:val="0"/>
                <w:iCs w:val="0"/>
              </w:rPr>
            </w:pPr>
            <w:r>
              <w:rPr>
                <w:rFonts w:hint="eastAsia" w:ascii="Times New Roman" w:hAnsi="Times New Roman" w:eastAsia="宋体" w:cs="Times New Roman"/>
                <w:b/>
                <w:bCs/>
                <w:i w:val="0"/>
                <w:iCs w:val="0"/>
                <w:lang w:val="en-US" w:eastAsia="zh-CN"/>
              </w:rPr>
              <w:t>危险</w:t>
            </w:r>
            <w:r>
              <w:rPr>
                <w:rFonts w:hint="eastAsia" w:ascii="Times New Roman" w:hAnsi="Times New Roman" w:eastAsia="宋体" w:cs="Times New Roman"/>
                <w:b/>
                <w:bCs/>
                <w:i w:val="0"/>
                <w:iCs w:val="0"/>
              </w:rPr>
              <w:t>废物管理要求</w:t>
            </w:r>
          </w:p>
          <w:p w14:paraId="46E2EB50">
            <w:pPr>
              <w:ind w:firstLine="480"/>
              <w:rPr>
                <w:rFonts w:hint="eastAsia" w:ascii="Times New Roman" w:hAnsi="Times New Roman" w:eastAsia="宋体" w:cs="Times New Roman"/>
                <w:color w:val="FF0000"/>
                <w:lang w:val="en-US" w:eastAsia="zh-CN"/>
              </w:rPr>
            </w:pPr>
            <w:r>
              <w:rPr>
                <w:rFonts w:hint="eastAsia" w:ascii="Times New Roman" w:hAnsi="Times New Roman" w:eastAsia="宋体" w:cs="Times New Roman"/>
                <w:color w:val="FF0000"/>
                <w:lang w:val="en-US" w:eastAsia="zh-CN"/>
              </w:rPr>
              <w:t>本项目产生的危险废物暂存于危险废物暂存间内。为保证暂存的危险废物不对环境产生污染，在自产危险废物贮存过程中执行《危险废物贮存污染控制标准》（GB18597-2023）的有关规定，收集、转移过程中执行《危险废物收集贮存运输技术规范》（HJ2025-2012），严格遵守与本项目相关的法律法规。对危险废物暂存间提出如下措施：</w:t>
            </w:r>
          </w:p>
          <w:p w14:paraId="7585B659">
            <w:pPr>
              <w:ind w:firstLine="480"/>
              <w:rPr>
                <w:rFonts w:hint="eastAsia" w:ascii="Times New Roman" w:hAnsi="Times New Roman" w:eastAsia="宋体" w:cs="Times New Roman"/>
                <w:color w:val="FF0000"/>
                <w:lang w:val="en-US" w:eastAsia="zh-CN"/>
              </w:rPr>
            </w:pPr>
            <w:r>
              <w:rPr>
                <w:rFonts w:hint="eastAsia" w:ascii="Times New Roman" w:hAnsi="Times New Roman" w:eastAsia="宋体" w:cs="Times New Roman"/>
                <w:color w:val="FF0000"/>
                <w:lang w:val="en-US" w:eastAsia="zh-CN"/>
              </w:rPr>
              <w:t>①采取室内贮存方式，设置环境保护图形标志和警示标志。</w:t>
            </w:r>
          </w:p>
          <w:p w14:paraId="0DD4CC5E">
            <w:pPr>
              <w:ind w:firstLine="480"/>
              <w:rPr>
                <w:rFonts w:hint="eastAsia" w:ascii="Times New Roman" w:hAnsi="Times New Roman" w:eastAsia="宋体" w:cs="Times New Roman"/>
                <w:color w:val="FF0000"/>
                <w:lang w:val="en-US" w:eastAsia="zh-CN"/>
              </w:rPr>
            </w:pPr>
            <w:r>
              <w:rPr>
                <w:rFonts w:hint="eastAsia" w:ascii="Times New Roman" w:hAnsi="Times New Roman" w:eastAsia="宋体" w:cs="Times New Roman"/>
                <w:color w:val="FF0000"/>
                <w:lang w:val="en-US" w:eastAsia="zh-CN"/>
              </w:rPr>
              <w:t>②危险废物按类别放入相应的容器内，禁止与一般工业固体废物、生活垃圾混放，不相容的危险废物分开存放并设置隔断。防止事故状态下，废液泄漏。</w:t>
            </w:r>
          </w:p>
          <w:p w14:paraId="7A94B4F0">
            <w:pPr>
              <w:ind w:firstLine="480"/>
              <w:rPr>
                <w:rFonts w:hint="eastAsia" w:ascii="Times New Roman" w:hAnsi="Times New Roman" w:eastAsia="宋体" w:cs="Times New Roman"/>
                <w:color w:val="FF0000"/>
                <w:lang w:val="en-US" w:eastAsia="zh-CN"/>
              </w:rPr>
            </w:pPr>
            <w:r>
              <w:rPr>
                <w:rFonts w:hint="eastAsia" w:ascii="Times New Roman" w:hAnsi="Times New Roman" w:eastAsia="宋体" w:cs="Times New Roman"/>
                <w:color w:val="FF0000"/>
                <w:lang w:val="en-US" w:eastAsia="zh-CN"/>
              </w:rPr>
              <w:t>③收集危险废物的容器放置在隔架上，其底部与地面相距一定距离，以保持地面干燥，盛装在容器内的同类危险废物可以堆叠存放。</w:t>
            </w:r>
          </w:p>
          <w:p w14:paraId="76460CD7">
            <w:pPr>
              <w:ind w:firstLine="480"/>
              <w:rPr>
                <w:rFonts w:hint="eastAsia" w:ascii="Times New Roman" w:hAnsi="Times New Roman" w:eastAsia="宋体" w:cs="Times New Roman"/>
                <w:color w:val="FF0000"/>
                <w:lang w:val="en-US" w:eastAsia="zh-CN"/>
              </w:rPr>
            </w:pPr>
            <w:r>
              <w:rPr>
                <w:rFonts w:hint="eastAsia" w:ascii="Times New Roman" w:hAnsi="Times New Roman" w:eastAsia="宋体" w:cs="Times New Roman"/>
                <w:color w:val="FF0000"/>
                <w:lang w:val="en-US" w:eastAsia="zh-CN"/>
              </w:rPr>
              <w:t>④危险废物暂存场室内地面应做硬化处理，采取防腐防渗措施，且表面无裂隙。</w:t>
            </w:r>
          </w:p>
          <w:p w14:paraId="4788CAE2">
            <w:pPr>
              <w:ind w:firstLine="480"/>
              <w:rPr>
                <w:rFonts w:hint="eastAsia" w:ascii="Times New Roman" w:hAnsi="Times New Roman" w:eastAsia="宋体" w:cs="Times New Roman"/>
                <w:color w:val="FF0000"/>
                <w:lang w:val="en-US" w:eastAsia="zh-CN"/>
              </w:rPr>
            </w:pPr>
            <w:r>
              <w:rPr>
                <w:rFonts w:hint="eastAsia" w:ascii="Times New Roman" w:hAnsi="Times New Roman" w:eastAsia="宋体" w:cs="Times New Roman"/>
                <w:color w:val="FF0000"/>
                <w:lang w:val="en-US" w:eastAsia="zh-CN"/>
              </w:rPr>
              <w:t>⑤危险废物暂存场内暂存的固体废物应定期委托有资质单位处理处置。</w:t>
            </w:r>
          </w:p>
          <w:p w14:paraId="79E0F228">
            <w:pPr>
              <w:ind w:firstLine="480"/>
              <w:rPr>
                <w:rFonts w:hint="eastAsia" w:ascii="Times New Roman" w:hAnsi="Times New Roman" w:eastAsia="宋体" w:cs="Times New Roman"/>
                <w:color w:val="FF0000"/>
                <w:lang w:val="en-US" w:eastAsia="zh-CN"/>
              </w:rPr>
            </w:pPr>
            <w:r>
              <w:rPr>
                <w:rFonts w:hint="eastAsia" w:ascii="Times New Roman" w:hAnsi="Times New Roman" w:eastAsia="宋体" w:cs="Times New Roman"/>
                <w:color w:val="FF0000"/>
                <w:lang w:val="en-US" w:eastAsia="zh-CN"/>
              </w:rPr>
              <w:t>⑥危险废物暂存场室内地面、裙脚和收集沟、收集池做防渗漏处理，所使用的材料要与危险废物相容。</w:t>
            </w:r>
          </w:p>
          <w:p w14:paraId="4D4D431E">
            <w:pPr>
              <w:ind w:firstLine="480"/>
              <w:rPr>
                <w:rFonts w:hint="eastAsia" w:ascii="Times New Roman" w:hAnsi="Times New Roman" w:eastAsia="宋体" w:cs="Times New Roman"/>
                <w:color w:val="FF0000"/>
                <w:lang w:val="en-US" w:eastAsia="zh-CN"/>
              </w:rPr>
            </w:pPr>
            <w:r>
              <w:rPr>
                <w:rFonts w:hint="eastAsia" w:ascii="Times New Roman" w:hAnsi="Times New Roman" w:eastAsia="宋体" w:cs="Times New Roman"/>
                <w:color w:val="FF0000"/>
                <w:lang w:val="en-US" w:eastAsia="zh-CN"/>
              </w:rPr>
              <w:t>⑦建立档案制度，对暂存的废物种类、数量、特性、包装容器类别、存放库位、存入日期、运出日期等详细记录在案并长期保存。</w:t>
            </w:r>
          </w:p>
          <w:p w14:paraId="025E97C0">
            <w:pPr>
              <w:ind w:firstLine="480"/>
              <w:rPr>
                <w:rFonts w:hint="eastAsia" w:ascii="Times New Roman" w:hAnsi="Times New Roman" w:eastAsia="宋体" w:cs="Times New Roman"/>
                <w:color w:val="FF0000"/>
                <w:lang w:val="en-US" w:eastAsia="zh-CN"/>
              </w:rPr>
            </w:pPr>
            <w:r>
              <w:rPr>
                <w:rFonts w:hint="eastAsia" w:ascii="Times New Roman" w:hAnsi="Times New Roman" w:eastAsia="宋体" w:cs="Times New Roman"/>
                <w:color w:val="FF0000"/>
                <w:lang w:val="en-US" w:eastAsia="zh-CN"/>
              </w:rPr>
              <w:t>⑧由专门人员负责危险废物的日常收集和管理，对任何进出临时贮存场所的危险废物都要记录在案，做好台账；</w:t>
            </w:r>
          </w:p>
          <w:p w14:paraId="6EFD2ADF">
            <w:pPr>
              <w:ind w:firstLine="480"/>
              <w:rPr>
                <w:rFonts w:hint="eastAsia" w:ascii="Times New Roman" w:hAnsi="Times New Roman" w:eastAsia="宋体" w:cs="Times New Roman"/>
                <w:color w:val="FF0000"/>
                <w:lang w:val="en-US" w:eastAsia="zh-CN"/>
              </w:rPr>
            </w:pPr>
            <w:r>
              <w:rPr>
                <w:rFonts w:hint="eastAsia" w:ascii="Times New Roman" w:hAnsi="Times New Roman" w:eastAsia="宋体" w:cs="Times New Roman"/>
                <w:color w:val="FF0000"/>
                <w:lang w:val="en-US" w:eastAsia="zh-CN"/>
              </w:rPr>
              <w:t>⑨危险废物临时贮存场所周围要设置防护栅栏，并设置警示标志。贮存所内配备通讯设备、照明设备、安全防护服装及工具，并有应急防护措施；</w:t>
            </w:r>
          </w:p>
          <w:p w14:paraId="6DEE1E82">
            <w:pPr>
              <w:ind w:firstLine="480"/>
              <w:rPr>
                <w:rFonts w:hint="eastAsia" w:ascii="Times New Roman" w:hAnsi="Times New Roman" w:eastAsia="宋体" w:cs="Times New Roman"/>
                <w:color w:val="FF0000"/>
                <w:lang w:val="en-US" w:eastAsia="zh-CN"/>
              </w:rPr>
            </w:pPr>
            <w:r>
              <w:rPr>
                <w:rFonts w:hint="eastAsia" w:ascii="Times New Roman" w:hAnsi="Times New Roman" w:eastAsia="宋体" w:cs="Times New Roman"/>
                <w:color w:val="FF0000"/>
                <w:lang w:val="en-US" w:eastAsia="zh-CN"/>
              </w:rPr>
              <w:t>⑩危险废物的贮存和转运应严格按照《危险废物贮存污染控制标准》（GB18597-2023）和《危险废物转移联单管理办法》要求执行。建设单位应强化废物产生、收集、贮放各环节的管理，各种固体废物按照类别分类存放，杜绝固体废物在厂区内散失、渗漏，达到无害化的目的，避免产生二次污染。</w:t>
            </w:r>
          </w:p>
          <w:p w14:paraId="3CBF6C76">
            <w:pPr>
              <w:ind w:firstLine="480"/>
              <w:rPr>
                <w:rFonts w:hint="eastAsia" w:ascii="Times New Roman" w:hAnsi="Times New Roman" w:eastAsia="宋体" w:cs="Times New Roman"/>
                <w:color w:val="FF0000"/>
                <w:lang w:val="en-US" w:eastAsia="zh-CN"/>
              </w:rPr>
            </w:pPr>
            <w:r>
              <w:rPr>
                <w:rFonts w:hint="eastAsia" w:ascii="Times New Roman" w:hAnsi="Times New Roman" w:eastAsia="宋体" w:cs="Times New Roman"/>
                <w:color w:val="FF0000"/>
                <w:lang w:val="en-US" w:eastAsia="zh-CN"/>
              </w:rPr>
              <w:t>11危险废物的运输应保证运输安全，防止非法转移和非法处置，保证危险废物的安全监控，防止危险废物污染事故发生。</w:t>
            </w:r>
          </w:p>
          <w:p w14:paraId="4C265172">
            <w:pPr>
              <w:ind w:firstLine="480"/>
            </w:pPr>
            <w:r>
              <w:rPr>
                <w:rFonts w:hint="eastAsia"/>
              </w:rPr>
              <w:t>项目危险废物暂存场所基本情况见表</w:t>
            </w:r>
            <w:r>
              <w:rPr>
                <w:rFonts w:hint="eastAsia"/>
                <w:lang w:val="en-US" w:eastAsia="zh-CN"/>
              </w:rPr>
              <w:t>4-18</w:t>
            </w:r>
            <w:r>
              <w:rPr>
                <w:rFonts w:hint="eastAsia"/>
              </w:rPr>
              <w:t>。</w:t>
            </w:r>
          </w:p>
          <w:p w14:paraId="0C5A02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b/>
                <w:color w:val="auto"/>
                <w:kern w:val="0"/>
                <w:sz w:val="21"/>
                <w:szCs w:val="18"/>
              </w:rPr>
              <w:t>表</w:t>
            </w:r>
            <w:r>
              <w:rPr>
                <w:rFonts w:hint="eastAsia"/>
                <w:b/>
                <w:color w:val="auto"/>
                <w:kern w:val="0"/>
                <w:sz w:val="21"/>
                <w:szCs w:val="18"/>
              </w:rPr>
              <w:t>4-</w:t>
            </w:r>
            <w:r>
              <w:rPr>
                <w:rFonts w:hint="eastAsia"/>
                <w:b/>
                <w:color w:val="auto"/>
                <w:kern w:val="0"/>
                <w:sz w:val="21"/>
                <w:szCs w:val="18"/>
                <w:lang w:val="en-US" w:eastAsia="zh-CN"/>
              </w:rPr>
              <w:t>18</w:t>
            </w:r>
            <w:r>
              <w:rPr>
                <w:b/>
                <w:color w:val="auto"/>
                <w:kern w:val="0"/>
                <w:sz w:val="21"/>
                <w:szCs w:val="18"/>
              </w:rPr>
              <w:t xml:space="preserve"> 危险废物贮存场所（设施）基本情况表</w:t>
            </w:r>
          </w:p>
          <w:tbl>
            <w:tblPr>
              <w:tblStyle w:val="41"/>
              <w:tblW w:w="4984"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1"/>
              <w:gridCol w:w="1518"/>
              <w:gridCol w:w="1147"/>
              <w:gridCol w:w="990"/>
              <w:gridCol w:w="1196"/>
              <w:gridCol w:w="658"/>
              <w:gridCol w:w="734"/>
              <w:gridCol w:w="677"/>
              <w:gridCol w:w="816"/>
            </w:tblGrid>
            <w:tr w14:paraId="4F23EA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6" w:type="pct"/>
                  <w:tcBorders>
                    <w:tl2br w:val="nil"/>
                    <w:tr2bl w:val="nil"/>
                  </w:tcBorders>
                  <w:noWrap w:val="0"/>
                  <w:vAlign w:val="center"/>
                </w:tcPr>
                <w:p w14:paraId="63D71897">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color w:val="auto"/>
                      <w:kern w:val="0"/>
                      <w:sz w:val="21"/>
                      <w:szCs w:val="21"/>
                    </w:rPr>
                  </w:pPr>
                  <w:r>
                    <w:rPr>
                      <w:color w:val="auto"/>
                      <w:kern w:val="0"/>
                      <w:sz w:val="21"/>
                      <w:szCs w:val="21"/>
                    </w:rPr>
                    <w:t>序号</w:t>
                  </w:r>
                </w:p>
              </w:tc>
              <w:tc>
                <w:tcPr>
                  <w:tcW w:w="926" w:type="pct"/>
                  <w:tcBorders>
                    <w:tl2br w:val="nil"/>
                    <w:tr2bl w:val="nil"/>
                  </w:tcBorders>
                  <w:noWrap w:val="0"/>
                  <w:vAlign w:val="center"/>
                </w:tcPr>
                <w:p w14:paraId="3DBB1ABD">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color w:val="auto"/>
                      <w:kern w:val="0"/>
                      <w:sz w:val="21"/>
                      <w:szCs w:val="21"/>
                    </w:rPr>
                  </w:pPr>
                  <w:r>
                    <w:rPr>
                      <w:color w:val="auto"/>
                      <w:kern w:val="0"/>
                      <w:sz w:val="21"/>
                      <w:szCs w:val="21"/>
                    </w:rPr>
                    <w:t>贮存场所（设施）名称</w:t>
                  </w:r>
                </w:p>
              </w:tc>
              <w:tc>
                <w:tcPr>
                  <w:tcW w:w="700" w:type="pct"/>
                  <w:tcBorders>
                    <w:tl2br w:val="nil"/>
                    <w:tr2bl w:val="nil"/>
                  </w:tcBorders>
                  <w:noWrap w:val="0"/>
                  <w:vAlign w:val="center"/>
                </w:tcPr>
                <w:p w14:paraId="472CFF4A">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color w:val="auto"/>
                      <w:kern w:val="0"/>
                      <w:sz w:val="21"/>
                      <w:szCs w:val="21"/>
                    </w:rPr>
                  </w:pPr>
                  <w:r>
                    <w:rPr>
                      <w:color w:val="auto"/>
                      <w:kern w:val="0"/>
                      <w:sz w:val="21"/>
                      <w:szCs w:val="21"/>
                    </w:rPr>
                    <w:t>危险废物名称</w:t>
                  </w:r>
                </w:p>
              </w:tc>
              <w:tc>
                <w:tcPr>
                  <w:tcW w:w="604" w:type="pct"/>
                  <w:tcBorders>
                    <w:tl2br w:val="nil"/>
                    <w:tr2bl w:val="nil"/>
                  </w:tcBorders>
                  <w:noWrap w:val="0"/>
                  <w:vAlign w:val="center"/>
                </w:tcPr>
                <w:p w14:paraId="72D991D3">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color w:val="auto"/>
                      <w:kern w:val="0"/>
                      <w:sz w:val="21"/>
                      <w:szCs w:val="21"/>
                    </w:rPr>
                  </w:pPr>
                  <w:r>
                    <w:rPr>
                      <w:color w:val="auto"/>
                      <w:kern w:val="0"/>
                      <w:sz w:val="21"/>
                      <w:szCs w:val="21"/>
                    </w:rPr>
                    <w:t>危险废物类别</w:t>
                  </w:r>
                </w:p>
              </w:tc>
              <w:tc>
                <w:tcPr>
                  <w:tcW w:w="730" w:type="pct"/>
                  <w:tcBorders>
                    <w:tl2br w:val="nil"/>
                    <w:tr2bl w:val="nil"/>
                  </w:tcBorders>
                  <w:noWrap w:val="0"/>
                  <w:vAlign w:val="center"/>
                </w:tcPr>
                <w:p w14:paraId="7DD94F9A">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color w:val="auto"/>
                      <w:kern w:val="0"/>
                      <w:sz w:val="21"/>
                      <w:szCs w:val="21"/>
                    </w:rPr>
                  </w:pPr>
                  <w:r>
                    <w:rPr>
                      <w:color w:val="auto"/>
                      <w:kern w:val="0"/>
                      <w:sz w:val="21"/>
                      <w:szCs w:val="21"/>
                    </w:rPr>
                    <w:t>危险废物代码</w:t>
                  </w:r>
                </w:p>
              </w:tc>
              <w:tc>
                <w:tcPr>
                  <w:tcW w:w="401" w:type="pct"/>
                  <w:tcBorders>
                    <w:tl2br w:val="nil"/>
                    <w:tr2bl w:val="nil"/>
                  </w:tcBorders>
                  <w:noWrap w:val="0"/>
                  <w:vAlign w:val="center"/>
                </w:tcPr>
                <w:p w14:paraId="716B1898">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color w:val="auto"/>
                      <w:kern w:val="0"/>
                      <w:sz w:val="21"/>
                      <w:szCs w:val="21"/>
                    </w:rPr>
                  </w:pPr>
                  <w:r>
                    <w:rPr>
                      <w:color w:val="auto"/>
                      <w:kern w:val="0"/>
                      <w:sz w:val="21"/>
                      <w:szCs w:val="21"/>
                    </w:rPr>
                    <w:t>占地面积</w:t>
                  </w:r>
                </w:p>
              </w:tc>
              <w:tc>
                <w:tcPr>
                  <w:tcW w:w="448" w:type="pct"/>
                  <w:tcBorders>
                    <w:tl2br w:val="nil"/>
                    <w:tr2bl w:val="nil"/>
                  </w:tcBorders>
                  <w:noWrap w:val="0"/>
                  <w:vAlign w:val="center"/>
                </w:tcPr>
                <w:p w14:paraId="1F243A4D">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color w:val="auto"/>
                      <w:kern w:val="0"/>
                      <w:sz w:val="21"/>
                      <w:szCs w:val="21"/>
                    </w:rPr>
                  </w:pPr>
                  <w:r>
                    <w:rPr>
                      <w:color w:val="auto"/>
                      <w:kern w:val="0"/>
                      <w:sz w:val="21"/>
                      <w:szCs w:val="21"/>
                    </w:rPr>
                    <w:t>贮存方式</w:t>
                  </w:r>
                </w:p>
              </w:tc>
              <w:tc>
                <w:tcPr>
                  <w:tcW w:w="413" w:type="pct"/>
                  <w:tcBorders>
                    <w:tl2br w:val="nil"/>
                    <w:tr2bl w:val="nil"/>
                  </w:tcBorders>
                  <w:noWrap w:val="0"/>
                  <w:vAlign w:val="center"/>
                </w:tcPr>
                <w:p w14:paraId="543DE588">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color w:val="auto"/>
                      <w:kern w:val="0"/>
                      <w:sz w:val="21"/>
                      <w:szCs w:val="21"/>
                    </w:rPr>
                  </w:pPr>
                  <w:r>
                    <w:rPr>
                      <w:color w:val="auto"/>
                      <w:kern w:val="0"/>
                      <w:sz w:val="21"/>
                      <w:szCs w:val="21"/>
                    </w:rPr>
                    <w:t>贮存能力</w:t>
                  </w:r>
                </w:p>
              </w:tc>
              <w:tc>
                <w:tcPr>
                  <w:tcW w:w="498" w:type="pct"/>
                  <w:tcBorders>
                    <w:tl2br w:val="nil"/>
                    <w:tr2bl w:val="nil"/>
                  </w:tcBorders>
                  <w:noWrap w:val="0"/>
                  <w:vAlign w:val="center"/>
                </w:tcPr>
                <w:p w14:paraId="3EF5E8D0">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color w:val="auto"/>
                      <w:kern w:val="0"/>
                      <w:sz w:val="21"/>
                      <w:szCs w:val="21"/>
                    </w:rPr>
                  </w:pPr>
                  <w:r>
                    <w:rPr>
                      <w:color w:val="auto"/>
                      <w:kern w:val="0"/>
                      <w:sz w:val="21"/>
                      <w:szCs w:val="21"/>
                    </w:rPr>
                    <w:t>贮存</w:t>
                  </w:r>
                </w:p>
                <w:p w14:paraId="25323299">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color w:val="auto"/>
                      <w:kern w:val="0"/>
                      <w:sz w:val="21"/>
                      <w:szCs w:val="21"/>
                    </w:rPr>
                  </w:pPr>
                  <w:r>
                    <w:rPr>
                      <w:color w:val="auto"/>
                      <w:kern w:val="0"/>
                      <w:sz w:val="21"/>
                      <w:szCs w:val="21"/>
                    </w:rPr>
                    <w:t>周期</w:t>
                  </w:r>
                </w:p>
              </w:tc>
            </w:tr>
            <w:tr w14:paraId="24239D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276" w:type="pct"/>
                  <w:vMerge w:val="restart"/>
                  <w:tcBorders>
                    <w:tl2br w:val="nil"/>
                    <w:tr2bl w:val="nil"/>
                  </w:tcBorders>
                  <w:noWrap w:val="0"/>
                  <w:vAlign w:val="center"/>
                </w:tcPr>
                <w:p w14:paraId="3D926764">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color w:val="auto"/>
                      <w:kern w:val="0"/>
                      <w:sz w:val="21"/>
                      <w:szCs w:val="21"/>
                    </w:rPr>
                  </w:pPr>
                  <w:r>
                    <w:rPr>
                      <w:color w:val="auto"/>
                      <w:kern w:val="0"/>
                      <w:sz w:val="21"/>
                      <w:szCs w:val="21"/>
                    </w:rPr>
                    <w:t>1</w:t>
                  </w:r>
                </w:p>
              </w:tc>
              <w:tc>
                <w:tcPr>
                  <w:tcW w:w="926" w:type="pct"/>
                  <w:vMerge w:val="restart"/>
                  <w:tcBorders>
                    <w:tl2br w:val="nil"/>
                    <w:tr2bl w:val="nil"/>
                  </w:tcBorders>
                  <w:noWrap w:val="0"/>
                  <w:vAlign w:val="center"/>
                </w:tcPr>
                <w:p w14:paraId="133F69AA">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危废暂存间</w:t>
                  </w:r>
                </w:p>
              </w:tc>
              <w:tc>
                <w:tcPr>
                  <w:tcW w:w="700" w:type="pct"/>
                  <w:tcBorders>
                    <w:tl2br w:val="nil"/>
                    <w:tr2bl w:val="nil"/>
                  </w:tcBorders>
                  <w:noWrap w:val="0"/>
                  <w:vAlign w:val="center"/>
                </w:tcPr>
                <w:p w14:paraId="6D12843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ascii="Times New Roman" w:hAnsi="Times New Roman" w:eastAsia="宋体" w:cs="Times New Roman"/>
                      <w:color w:val="auto"/>
                      <w:kern w:val="0"/>
                      <w:sz w:val="21"/>
                      <w:szCs w:val="21"/>
                      <w:vertAlign w:val="baseline"/>
                      <w:lang w:val="en-US" w:eastAsia="zh-CN" w:bidi="ar-SA"/>
                    </w:rPr>
                    <w:t>废机油</w:t>
                  </w:r>
                </w:p>
              </w:tc>
              <w:tc>
                <w:tcPr>
                  <w:tcW w:w="604" w:type="pct"/>
                  <w:tcBorders>
                    <w:tl2br w:val="nil"/>
                    <w:tr2bl w:val="nil"/>
                  </w:tcBorders>
                  <w:noWrap w:val="0"/>
                  <w:vAlign w:val="center"/>
                </w:tcPr>
                <w:p w14:paraId="24F98F8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kern w:val="0"/>
                      <w:sz w:val="21"/>
                      <w:szCs w:val="21"/>
                      <w:vertAlign w:val="baseline"/>
                      <w:lang w:val="en-US" w:eastAsia="zh-CN" w:bidi="ar-SA"/>
                    </w:rPr>
                    <w:t>HW08</w:t>
                  </w:r>
                </w:p>
              </w:tc>
              <w:tc>
                <w:tcPr>
                  <w:tcW w:w="730" w:type="pct"/>
                  <w:tcBorders>
                    <w:tl2br w:val="nil"/>
                    <w:tr2bl w:val="nil"/>
                  </w:tcBorders>
                  <w:noWrap w:val="0"/>
                  <w:vAlign w:val="center"/>
                </w:tcPr>
                <w:p w14:paraId="6056AE4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ascii="Times New Roman" w:hAnsi="Times New Roman" w:eastAsia="宋体" w:cs="Times New Roman"/>
                      <w:color w:val="auto"/>
                      <w:kern w:val="0"/>
                      <w:sz w:val="21"/>
                      <w:szCs w:val="21"/>
                      <w:vertAlign w:val="baseline"/>
                      <w:lang w:val="en-US" w:eastAsia="zh-CN" w:bidi="ar-SA"/>
                    </w:rPr>
                    <w:t>900-249-08</w:t>
                  </w:r>
                </w:p>
              </w:tc>
              <w:tc>
                <w:tcPr>
                  <w:tcW w:w="401" w:type="pct"/>
                  <w:vMerge w:val="restart"/>
                  <w:tcBorders>
                    <w:tl2br w:val="nil"/>
                    <w:tr2bl w:val="nil"/>
                  </w:tcBorders>
                  <w:noWrap w:val="0"/>
                  <w:vAlign w:val="center"/>
                </w:tcPr>
                <w:p w14:paraId="41FB3D18">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rFonts w:hint="default" w:eastAsia="宋体"/>
                      <w:color w:val="auto"/>
                      <w:kern w:val="0"/>
                      <w:sz w:val="21"/>
                      <w:szCs w:val="21"/>
                      <w:lang w:val="en-US" w:eastAsia="zh-CN"/>
                    </w:rPr>
                  </w:pPr>
                  <w:r>
                    <w:rPr>
                      <w:rFonts w:hint="eastAsia" w:eastAsia="宋体"/>
                      <w:color w:val="auto"/>
                      <w:kern w:val="0"/>
                      <w:sz w:val="21"/>
                      <w:szCs w:val="21"/>
                      <w:lang w:val="en-US" w:eastAsia="zh-CN"/>
                    </w:rPr>
                    <w:t>10m</w:t>
                  </w:r>
                  <w:r>
                    <w:rPr>
                      <w:rFonts w:hint="eastAsia" w:eastAsia="宋体"/>
                      <w:color w:val="auto"/>
                      <w:kern w:val="0"/>
                      <w:sz w:val="21"/>
                      <w:szCs w:val="21"/>
                      <w:vertAlign w:val="superscript"/>
                      <w:lang w:val="en-US" w:eastAsia="zh-CN"/>
                    </w:rPr>
                    <w:t>2</w:t>
                  </w:r>
                </w:p>
              </w:tc>
              <w:tc>
                <w:tcPr>
                  <w:tcW w:w="448" w:type="pct"/>
                  <w:tcBorders>
                    <w:tl2br w:val="nil"/>
                    <w:tr2bl w:val="nil"/>
                  </w:tcBorders>
                  <w:noWrap w:val="0"/>
                  <w:vAlign w:val="center"/>
                </w:tcPr>
                <w:p w14:paraId="0E046A56">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rFonts w:hint="default" w:eastAsia="宋体"/>
                      <w:color w:val="auto"/>
                      <w:kern w:val="0"/>
                      <w:sz w:val="21"/>
                      <w:szCs w:val="21"/>
                      <w:lang w:val="en-US" w:eastAsia="zh-CN"/>
                    </w:rPr>
                  </w:pPr>
                  <w:r>
                    <w:rPr>
                      <w:rFonts w:hint="eastAsia" w:eastAsia="宋体"/>
                      <w:color w:val="auto"/>
                      <w:kern w:val="0"/>
                      <w:sz w:val="21"/>
                      <w:szCs w:val="21"/>
                      <w:lang w:val="en-US" w:eastAsia="zh-CN"/>
                    </w:rPr>
                    <w:t>桶装</w:t>
                  </w:r>
                </w:p>
              </w:tc>
              <w:tc>
                <w:tcPr>
                  <w:tcW w:w="413" w:type="pct"/>
                  <w:vMerge w:val="restart"/>
                  <w:tcBorders>
                    <w:tl2br w:val="nil"/>
                    <w:tr2bl w:val="nil"/>
                  </w:tcBorders>
                  <w:noWrap w:val="0"/>
                  <w:vAlign w:val="center"/>
                </w:tcPr>
                <w:p w14:paraId="3B2E5A24">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5t</w:t>
                  </w:r>
                </w:p>
              </w:tc>
              <w:tc>
                <w:tcPr>
                  <w:tcW w:w="498" w:type="pct"/>
                  <w:vMerge w:val="restart"/>
                  <w:tcBorders>
                    <w:tl2br w:val="nil"/>
                    <w:tr2bl w:val="nil"/>
                  </w:tcBorders>
                  <w:noWrap w:val="0"/>
                  <w:vAlign w:val="center"/>
                </w:tcPr>
                <w:p w14:paraId="1AE187ED">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1年</w:t>
                  </w:r>
                </w:p>
              </w:tc>
            </w:tr>
            <w:tr w14:paraId="45FF4E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276" w:type="pct"/>
                  <w:vMerge w:val="continue"/>
                  <w:tcBorders>
                    <w:tl2br w:val="nil"/>
                    <w:tr2bl w:val="nil"/>
                  </w:tcBorders>
                  <w:noWrap w:val="0"/>
                  <w:vAlign w:val="center"/>
                </w:tcPr>
                <w:p w14:paraId="635405F7">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color w:val="auto"/>
                      <w:kern w:val="0"/>
                      <w:sz w:val="21"/>
                      <w:szCs w:val="21"/>
                    </w:rPr>
                  </w:pPr>
                </w:p>
              </w:tc>
              <w:tc>
                <w:tcPr>
                  <w:tcW w:w="926" w:type="pct"/>
                  <w:vMerge w:val="continue"/>
                  <w:tcBorders>
                    <w:tl2br w:val="nil"/>
                    <w:tr2bl w:val="nil"/>
                  </w:tcBorders>
                  <w:noWrap w:val="0"/>
                  <w:vAlign w:val="center"/>
                </w:tcPr>
                <w:p w14:paraId="433096CD">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rFonts w:hint="eastAsia"/>
                      <w:color w:val="auto"/>
                      <w:kern w:val="0"/>
                      <w:sz w:val="21"/>
                      <w:szCs w:val="21"/>
                      <w:lang w:val="en-US" w:eastAsia="zh-CN"/>
                    </w:rPr>
                  </w:pPr>
                </w:p>
              </w:tc>
              <w:tc>
                <w:tcPr>
                  <w:tcW w:w="700" w:type="pct"/>
                  <w:tcBorders>
                    <w:tl2br w:val="nil"/>
                    <w:tr2bl w:val="nil"/>
                  </w:tcBorders>
                  <w:noWrap w:val="0"/>
                  <w:vAlign w:val="center"/>
                </w:tcPr>
                <w:p w14:paraId="2B869FA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b w:val="0"/>
                      <w:bCs w:val="0"/>
                      <w:color w:val="auto"/>
                      <w:kern w:val="0"/>
                      <w:sz w:val="21"/>
                      <w:szCs w:val="21"/>
                      <w:vertAlign w:val="baseline"/>
                      <w:lang w:val="en-US" w:eastAsia="zh-CN" w:bidi="ar-SA"/>
                    </w:rPr>
                  </w:pPr>
                  <w:r>
                    <w:rPr>
                      <w:rFonts w:hint="eastAsia" w:ascii="Times New Roman" w:hAnsi="Times New Roman" w:eastAsia="宋体" w:cs="Times New Roman"/>
                      <w:color w:val="auto"/>
                      <w:kern w:val="0"/>
                      <w:sz w:val="21"/>
                      <w:szCs w:val="21"/>
                      <w:vertAlign w:val="baseline"/>
                      <w:lang w:val="en-US" w:eastAsia="zh-CN" w:bidi="ar-SA"/>
                    </w:rPr>
                    <w:t>废机油桶</w:t>
                  </w:r>
                </w:p>
              </w:tc>
              <w:tc>
                <w:tcPr>
                  <w:tcW w:w="604" w:type="pct"/>
                  <w:tcBorders>
                    <w:tl2br w:val="nil"/>
                    <w:tr2bl w:val="nil"/>
                  </w:tcBorders>
                  <w:noWrap w:val="0"/>
                  <w:vAlign w:val="center"/>
                </w:tcPr>
                <w:p w14:paraId="7FBD4E10">
                  <w:pPr>
                    <w:keepNext w:val="0"/>
                    <w:keepLines w:val="0"/>
                    <w:pageBreakBefore w:val="0"/>
                    <w:widowControl/>
                    <w:suppressLineNumbers w:val="0"/>
                    <w:kinsoku/>
                    <w:wordWrap/>
                    <w:overflowPunct/>
                    <w:autoSpaceDE/>
                    <w:autoSpaceDN/>
                    <w:bidi w:val="0"/>
                    <w:spacing w:line="240" w:lineRule="auto"/>
                    <w:ind w:firstLine="0" w:firstLineChars="0"/>
                    <w:jc w:val="center"/>
                    <w:textAlignment w:val="auto"/>
                    <w:rPr>
                      <w:rFonts w:hint="eastAsia" w:ascii="Times New Roman" w:hAnsi="Times New Roman" w:eastAsia="宋体" w:cs="Times New Roman"/>
                      <w:b w:val="0"/>
                      <w:bCs w:val="0"/>
                      <w:color w:val="auto"/>
                      <w:kern w:val="0"/>
                      <w:sz w:val="21"/>
                      <w:szCs w:val="21"/>
                      <w:vertAlign w:val="baseline"/>
                      <w:lang w:val="en-US" w:eastAsia="zh-CN" w:bidi="ar-SA"/>
                    </w:rPr>
                  </w:pPr>
                  <w:r>
                    <w:rPr>
                      <w:rFonts w:hint="eastAsia" w:ascii="Times New Roman" w:hAnsi="Times New Roman" w:eastAsia="宋体" w:cs="Times New Roman"/>
                      <w:b w:val="0"/>
                      <w:bCs w:val="0"/>
                      <w:color w:val="auto"/>
                      <w:kern w:val="0"/>
                      <w:sz w:val="21"/>
                      <w:szCs w:val="21"/>
                      <w:vertAlign w:val="baseline"/>
                      <w:lang w:val="en-US" w:eastAsia="zh-CN" w:bidi="ar-SA"/>
                    </w:rPr>
                    <w:t>HW49</w:t>
                  </w:r>
                </w:p>
              </w:tc>
              <w:tc>
                <w:tcPr>
                  <w:tcW w:w="730" w:type="pct"/>
                  <w:tcBorders>
                    <w:tl2br w:val="nil"/>
                    <w:tr2bl w:val="nil"/>
                  </w:tcBorders>
                  <w:noWrap w:val="0"/>
                  <w:vAlign w:val="center"/>
                </w:tcPr>
                <w:p w14:paraId="6AF271C7">
                  <w:pPr>
                    <w:keepNext w:val="0"/>
                    <w:keepLines w:val="0"/>
                    <w:pageBreakBefore w:val="0"/>
                    <w:widowControl/>
                    <w:suppressLineNumbers w:val="0"/>
                    <w:kinsoku/>
                    <w:wordWrap/>
                    <w:overflowPunct/>
                    <w:autoSpaceDE/>
                    <w:autoSpaceDN/>
                    <w:bidi w:val="0"/>
                    <w:spacing w:line="240" w:lineRule="auto"/>
                    <w:ind w:firstLine="0" w:firstLineChars="0"/>
                    <w:jc w:val="center"/>
                    <w:textAlignment w:val="auto"/>
                    <w:rPr>
                      <w:rFonts w:hint="eastAsia"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color w:val="auto"/>
                      <w:kern w:val="0"/>
                      <w:sz w:val="21"/>
                      <w:szCs w:val="21"/>
                      <w:vertAlign w:val="baseline"/>
                      <w:lang w:val="en-US" w:eastAsia="zh-CN" w:bidi="ar-SA"/>
                    </w:rPr>
                    <w:t>900-210-08</w:t>
                  </w:r>
                </w:p>
              </w:tc>
              <w:tc>
                <w:tcPr>
                  <w:tcW w:w="401" w:type="pct"/>
                  <w:vMerge w:val="continue"/>
                  <w:tcBorders>
                    <w:tl2br w:val="nil"/>
                    <w:tr2bl w:val="nil"/>
                  </w:tcBorders>
                  <w:noWrap w:val="0"/>
                  <w:vAlign w:val="center"/>
                </w:tcPr>
                <w:p w14:paraId="5879BB28">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rFonts w:hint="eastAsia" w:eastAsia="宋体"/>
                      <w:color w:val="auto"/>
                      <w:kern w:val="0"/>
                      <w:sz w:val="21"/>
                      <w:szCs w:val="21"/>
                      <w:lang w:val="en-US" w:eastAsia="zh-CN"/>
                    </w:rPr>
                  </w:pPr>
                </w:p>
              </w:tc>
              <w:tc>
                <w:tcPr>
                  <w:tcW w:w="448" w:type="pct"/>
                  <w:tcBorders>
                    <w:tl2br w:val="nil"/>
                    <w:tr2bl w:val="nil"/>
                  </w:tcBorders>
                  <w:noWrap w:val="0"/>
                  <w:vAlign w:val="center"/>
                </w:tcPr>
                <w:p w14:paraId="00B51C1A">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堆存</w:t>
                  </w:r>
                </w:p>
              </w:tc>
              <w:tc>
                <w:tcPr>
                  <w:tcW w:w="413" w:type="pct"/>
                  <w:vMerge w:val="continue"/>
                  <w:tcBorders>
                    <w:tl2br w:val="nil"/>
                    <w:tr2bl w:val="nil"/>
                  </w:tcBorders>
                  <w:noWrap w:val="0"/>
                  <w:vAlign w:val="center"/>
                </w:tcPr>
                <w:p w14:paraId="5E46ED63">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rFonts w:hint="eastAsia"/>
                      <w:color w:val="auto"/>
                      <w:kern w:val="0"/>
                      <w:sz w:val="21"/>
                      <w:szCs w:val="21"/>
                      <w:lang w:val="en-US" w:eastAsia="zh-CN"/>
                    </w:rPr>
                  </w:pPr>
                </w:p>
              </w:tc>
              <w:tc>
                <w:tcPr>
                  <w:tcW w:w="498" w:type="pct"/>
                  <w:vMerge w:val="continue"/>
                  <w:tcBorders>
                    <w:tl2br w:val="nil"/>
                    <w:tr2bl w:val="nil"/>
                  </w:tcBorders>
                  <w:noWrap w:val="0"/>
                  <w:vAlign w:val="center"/>
                </w:tcPr>
                <w:p w14:paraId="0A15DA4B">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rFonts w:hint="eastAsia"/>
                      <w:color w:val="auto"/>
                      <w:kern w:val="0"/>
                      <w:sz w:val="21"/>
                      <w:szCs w:val="21"/>
                      <w:lang w:val="en-US" w:eastAsia="zh-CN"/>
                    </w:rPr>
                  </w:pPr>
                </w:p>
              </w:tc>
            </w:tr>
            <w:tr w14:paraId="2E50E5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276" w:type="pct"/>
                  <w:vMerge w:val="continue"/>
                  <w:tcBorders>
                    <w:tl2br w:val="nil"/>
                    <w:tr2bl w:val="nil"/>
                  </w:tcBorders>
                  <w:noWrap w:val="0"/>
                  <w:vAlign w:val="center"/>
                </w:tcPr>
                <w:p w14:paraId="5F8DE0CF">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color w:val="auto"/>
                      <w:kern w:val="0"/>
                      <w:sz w:val="21"/>
                      <w:szCs w:val="21"/>
                    </w:rPr>
                  </w:pPr>
                </w:p>
              </w:tc>
              <w:tc>
                <w:tcPr>
                  <w:tcW w:w="926" w:type="pct"/>
                  <w:vMerge w:val="continue"/>
                  <w:tcBorders>
                    <w:tl2br w:val="nil"/>
                    <w:tr2bl w:val="nil"/>
                  </w:tcBorders>
                  <w:noWrap w:val="0"/>
                  <w:vAlign w:val="center"/>
                </w:tcPr>
                <w:p w14:paraId="2DB070F6">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rFonts w:hint="eastAsia"/>
                      <w:color w:val="auto"/>
                      <w:kern w:val="0"/>
                      <w:sz w:val="21"/>
                      <w:szCs w:val="21"/>
                      <w:lang w:val="en-US" w:eastAsia="zh-CN"/>
                    </w:rPr>
                  </w:pPr>
                </w:p>
              </w:tc>
              <w:tc>
                <w:tcPr>
                  <w:tcW w:w="700" w:type="pct"/>
                  <w:tcBorders>
                    <w:tl2br w:val="nil"/>
                    <w:tr2bl w:val="nil"/>
                  </w:tcBorders>
                  <w:noWrap w:val="0"/>
                  <w:vAlign w:val="center"/>
                </w:tcPr>
                <w:p w14:paraId="04415A6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ascii="Times New Roman" w:hAnsi="Times New Roman" w:eastAsia="宋体" w:cs="Times New Roman"/>
                      <w:color w:val="auto"/>
                      <w:kern w:val="0"/>
                      <w:sz w:val="21"/>
                      <w:szCs w:val="21"/>
                      <w:vertAlign w:val="baseline"/>
                      <w:lang w:val="en-US" w:eastAsia="zh-CN" w:bidi="ar-SA"/>
                    </w:rPr>
                    <w:t>废弃含油抹布、劳保用品</w:t>
                  </w:r>
                </w:p>
              </w:tc>
              <w:tc>
                <w:tcPr>
                  <w:tcW w:w="604" w:type="pct"/>
                  <w:tcBorders>
                    <w:tl2br w:val="nil"/>
                    <w:tr2bl w:val="nil"/>
                  </w:tcBorders>
                  <w:noWrap w:val="0"/>
                  <w:vAlign w:val="center"/>
                </w:tcPr>
                <w:p w14:paraId="53A523A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ascii="Times New Roman" w:hAnsi="Times New Roman" w:eastAsia="宋体" w:cs="Times New Roman"/>
                      <w:color w:val="auto"/>
                      <w:kern w:val="0"/>
                      <w:sz w:val="21"/>
                      <w:szCs w:val="21"/>
                      <w:vertAlign w:val="baseline"/>
                      <w:lang w:val="en-US" w:eastAsia="zh-CN" w:bidi="ar-SA"/>
                    </w:rPr>
                    <w:t>HW30</w:t>
                  </w:r>
                </w:p>
              </w:tc>
              <w:tc>
                <w:tcPr>
                  <w:tcW w:w="730" w:type="pct"/>
                  <w:tcBorders>
                    <w:tl2br w:val="nil"/>
                    <w:tr2bl w:val="nil"/>
                  </w:tcBorders>
                  <w:noWrap w:val="0"/>
                  <w:vAlign w:val="center"/>
                </w:tcPr>
                <w:p w14:paraId="28ECA874">
                  <w:pPr>
                    <w:keepNext w:val="0"/>
                    <w:keepLines w:val="0"/>
                    <w:pageBreakBefore w:val="0"/>
                    <w:widowControl/>
                    <w:suppressLineNumbers w:val="0"/>
                    <w:kinsoku/>
                    <w:wordWrap/>
                    <w:overflowPunct/>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kern w:val="0"/>
                      <w:sz w:val="21"/>
                      <w:szCs w:val="21"/>
                      <w:vertAlign w:val="baseline"/>
                      <w:lang w:val="en-US" w:eastAsia="zh-CN" w:bidi="ar-SA"/>
                    </w:rPr>
                    <w:t>900-041-49</w:t>
                  </w:r>
                </w:p>
              </w:tc>
              <w:tc>
                <w:tcPr>
                  <w:tcW w:w="401" w:type="pct"/>
                  <w:vMerge w:val="continue"/>
                  <w:tcBorders>
                    <w:tl2br w:val="nil"/>
                    <w:tr2bl w:val="nil"/>
                  </w:tcBorders>
                  <w:noWrap w:val="0"/>
                  <w:vAlign w:val="center"/>
                </w:tcPr>
                <w:p w14:paraId="32BF2C36">
                  <w:pPr>
                    <w:keepNext w:val="0"/>
                    <w:keepLines w:val="0"/>
                    <w:pageBreakBefore w:val="0"/>
                    <w:kinsoku/>
                    <w:wordWrap/>
                    <w:overflowPunct/>
                    <w:autoSpaceDE/>
                    <w:autoSpaceDN/>
                    <w:bidi w:val="0"/>
                    <w:spacing w:line="240" w:lineRule="auto"/>
                    <w:ind w:firstLine="0" w:firstLineChars="0"/>
                    <w:jc w:val="center"/>
                    <w:textAlignment w:val="auto"/>
                    <w:rPr>
                      <w:rFonts w:hint="eastAsia"/>
                      <w:color w:val="FF0000"/>
                      <w:kern w:val="2"/>
                      <w:sz w:val="21"/>
                      <w:szCs w:val="21"/>
                      <w:lang w:val="en-US" w:eastAsia="zh-CN" w:bidi="ar-SA"/>
                    </w:rPr>
                  </w:pPr>
                </w:p>
              </w:tc>
              <w:tc>
                <w:tcPr>
                  <w:tcW w:w="448" w:type="pct"/>
                  <w:tcBorders>
                    <w:tl2br w:val="nil"/>
                    <w:tr2bl w:val="nil"/>
                  </w:tcBorders>
                  <w:noWrap w:val="0"/>
                  <w:vAlign w:val="center"/>
                </w:tcPr>
                <w:p w14:paraId="12C6F98D">
                  <w:pPr>
                    <w:keepNext w:val="0"/>
                    <w:keepLines w:val="0"/>
                    <w:pageBreakBefore w:val="0"/>
                    <w:kinsoku/>
                    <w:wordWrap/>
                    <w:overflowPunct/>
                    <w:autoSpaceDE/>
                    <w:autoSpaceDN/>
                    <w:bidi w:val="0"/>
                    <w:spacing w:line="240" w:lineRule="auto"/>
                    <w:ind w:firstLine="0" w:firstLineChars="0"/>
                    <w:jc w:val="center"/>
                    <w:textAlignment w:val="auto"/>
                    <w:rPr>
                      <w:rFonts w:hint="eastAsia" w:eastAsia="宋体"/>
                      <w:color w:val="FF0000"/>
                      <w:kern w:val="2"/>
                      <w:sz w:val="21"/>
                      <w:szCs w:val="21"/>
                      <w:lang w:val="en-US" w:eastAsia="zh-CN" w:bidi="ar-SA"/>
                    </w:rPr>
                  </w:pPr>
                  <w:r>
                    <w:rPr>
                      <w:rFonts w:hint="eastAsia"/>
                      <w:color w:val="auto"/>
                      <w:kern w:val="0"/>
                      <w:sz w:val="21"/>
                      <w:szCs w:val="21"/>
                      <w:lang w:val="en-US" w:eastAsia="zh-CN"/>
                    </w:rPr>
                    <w:t>桶装</w:t>
                  </w:r>
                </w:p>
              </w:tc>
              <w:tc>
                <w:tcPr>
                  <w:tcW w:w="413" w:type="pct"/>
                  <w:vMerge w:val="continue"/>
                  <w:tcBorders>
                    <w:tl2br w:val="nil"/>
                    <w:tr2bl w:val="nil"/>
                  </w:tcBorders>
                  <w:noWrap w:val="0"/>
                  <w:vAlign w:val="center"/>
                </w:tcPr>
                <w:p w14:paraId="31E8271B">
                  <w:pPr>
                    <w:keepNext w:val="0"/>
                    <w:keepLines w:val="0"/>
                    <w:pageBreakBefore w:val="0"/>
                    <w:kinsoku/>
                    <w:wordWrap/>
                    <w:overflowPunct/>
                    <w:autoSpaceDE/>
                    <w:autoSpaceDN/>
                    <w:bidi w:val="0"/>
                    <w:spacing w:line="240" w:lineRule="auto"/>
                    <w:ind w:firstLine="0" w:firstLineChars="0"/>
                    <w:jc w:val="center"/>
                    <w:textAlignment w:val="auto"/>
                    <w:rPr>
                      <w:rFonts w:hint="eastAsia" w:eastAsia="宋体"/>
                      <w:color w:val="FF0000"/>
                      <w:kern w:val="2"/>
                      <w:sz w:val="21"/>
                      <w:szCs w:val="21"/>
                      <w:lang w:val="en-US" w:eastAsia="zh-CN" w:bidi="ar-SA"/>
                    </w:rPr>
                  </w:pPr>
                </w:p>
              </w:tc>
              <w:tc>
                <w:tcPr>
                  <w:tcW w:w="498" w:type="pct"/>
                  <w:vMerge w:val="continue"/>
                  <w:tcBorders>
                    <w:tl2br w:val="nil"/>
                    <w:tr2bl w:val="nil"/>
                  </w:tcBorders>
                  <w:noWrap w:val="0"/>
                  <w:vAlign w:val="center"/>
                </w:tcPr>
                <w:p w14:paraId="29E573F7">
                  <w:pPr>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rFonts w:hint="eastAsia"/>
                      <w:color w:val="auto"/>
                      <w:kern w:val="0"/>
                      <w:sz w:val="21"/>
                      <w:szCs w:val="21"/>
                      <w:lang w:val="en-US" w:eastAsia="zh-CN"/>
                    </w:rPr>
                  </w:pPr>
                </w:p>
              </w:tc>
            </w:tr>
          </w:tbl>
          <w:p w14:paraId="6FF9EC2C">
            <w:pPr>
              <w:pStyle w:val="144"/>
              <w:keepNext w:val="0"/>
              <w:keepLines w:val="0"/>
              <w:pageBreakBefore w:val="0"/>
              <w:widowControl w:val="0"/>
              <w:kinsoku/>
              <w:wordWrap/>
              <w:overflowPunct/>
              <w:topLinePunct w:val="0"/>
              <w:autoSpaceDE/>
              <w:autoSpaceDN/>
              <w:bidi w:val="0"/>
              <w:adjustRightInd/>
              <w:snapToGrid/>
              <w:spacing w:line="360" w:lineRule="auto"/>
              <w:ind w:left="0" w:right="0" w:firstLine="476" w:firstLineChars="200"/>
              <w:textAlignment w:val="auto"/>
              <w:rPr>
                <w:rFonts w:hint="default"/>
                <w:color w:val="auto"/>
                <w:spacing w:val="-1"/>
                <w:lang w:val="en-US" w:eastAsia="zh-CN"/>
              </w:rPr>
            </w:pPr>
          </w:p>
        </w:tc>
      </w:tr>
    </w:tbl>
    <w:p w14:paraId="17DD3150">
      <w:pPr>
        <w:ind w:firstLine="480"/>
        <w:jc w:val="cente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7"/>
        <w:gridCol w:w="8444"/>
      </w:tblGrid>
      <w:tr w14:paraId="3F379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17" w:type="dxa"/>
            <w:vAlign w:val="center"/>
          </w:tcPr>
          <w:p w14:paraId="707DFE76">
            <w:pPr>
              <w:ind w:firstLine="0" w:firstLineChars="0"/>
              <w:jc w:val="center"/>
            </w:pPr>
            <w:r>
              <w:rPr>
                <w:rFonts w:hint="eastAsia"/>
              </w:rPr>
              <w:t>运营期环境影响和保护措施</w:t>
            </w:r>
          </w:p>
        </w:tc>
        <w:tc>
          <w:tcPr>
            <w:tcW w:w="8444" w:type="dxa"/>
          </w:tcPr>
          <w:p w14:paraId="1FB76DDB">
            <w:pPr>
              <w:ind w:firstLine="480"/>
            </w:pPr>
            <w:r>
              <w:rPr>
                <w:rFonts w:hint="eastAsia"/>
              </w:rPr>
              <w:t>从上述表格可知，项目危险废物贮存场选址可行，场所贮存能力满足要求。</w:t>
            </w:r>
          </w:p>
          <w:p w14:paraId="2ECED9A3">
            <w:pPr>
              <w:ind w:firstLine="0" w:firstLineChars="0"/>
            </w:pPr>
            <w:r>
              <w:rPr>
                <w:rFonts w:hint="eastAsia"/>
              </w:rPr>
              <w:t>项目危险废物通过各项污染防治措施，贮存符合相关要求，不会对周围环境空气、地表水、地下水、土壤以及环境敏感保护目标造成影响。</w:t>
            </w:r>
          </w:p>
          <w:p w14:paraId="66E2A98F">
            <w:pPr>
              <w:ind w:firstLine="482"/>
              <w:rPr>
                <w:b/>
                <w:bCs/>
              </w:rPr>
            </w:pPr>
            <w:r>
              <w:rPr>
                <w:rFonts w:hint="eastAsia"/>
                <w:b/>
                <w:bCs/>
              </w:rPr>
              <w:t>5、</w:t>
            </w:r>
            <w:r>
              <w:rPr>
                <w:b/>
                <w:bCs/>
                <w:lang w:val="zh-CN"/>
              </w:rPr>
              <w:t>地下水</w:t>
            </w:r>
            <w:r>
              <w:rPr>
                <w:rFonts w:hint="eastAsia"/>
                <w:b/>
                <w:bCs/>
                <w:lang w:val="zh-CN"/>
              </w:rPr>
              <w:t>、</w:t>
            </w:r>
            <w:r>
              <w:rPr>
                <w:b/>
                <w:bCs/>
                <w:lang w:val="zh-CN"/>
              </w:rPr>
              <w:t>土壤环境影响分析</w:t>
            </w:r>
          </w:p>
          <w:p w14:paraId="36DEBA42">
            <w:pPr>
              <w:ind w:firstLine="480"/>
            </w:pPr>
            <w:r>
              <w:rPr>
                <w:rFonts w:hint="eastAsia"/>
              </w:rPr>
              <w:t>（1）污染源及污染途径分析</w:t>
            </w:r>
          </w:p>
          <w:p w14:paraId="74055816">
            <w:pPr>
              <w:widowControl/>
              <w:ind w:firstLine="480"/>
              <w:jc w:val="left"/>
            </w:pPr>
            <w:r>
              <w:rPr>
                <w:rFonts w:hint="eastAsia" w:ascii="宋体" w:hAnsi="宋体" w:cs="宋体"/>
                <w:kern w:val="0"/>
                <w:lang w:bidi="ar"/>
              </w:rPr>
              <w:t>①地面漫流</w:t>
            </w:r>
          </w:p>
          <w:p w14:paraId="2C1BCAFC">
            <w:pPr>
              <w:widowControl/>
              <w:ind w:firstLine="480"/>
              <w:jc w:val="left"/>
            </w:pPr>
            <w:r>
              <w:rPr>
                <w:rFonts w:hint="eastAsia" w:ascii="宋体" w:hAnsi="宋体" w:cs="宋体"/>
                <w:kern w:val="0"/>
                <w:lang w:bidi="ar"/>
              </w:rPr>
              <w:t>地面漫流主要由于占地范围内污染物质水平扩散造成污染范围水平扩大的影响途径。生产废水排入自然水体、含土壤污染物的初期雨水对外排放（不含通过污水管网纳入集中污水处理设置情况）等建设项目须考虑地面漫流污染途径。</w:t>
            </w:r>
          </w:p>
          <w:p w14:paraId="51CE1BB4">
            <w:pPr>
              <w:widowControl/>
              <w:ind w:firstLine="480"/>
              <w:jc w:val="left"/>
              <w:rPr>
                <w:rFonts w:ascii="宋体" w:hAnsi="宋体" w:cs="宋体"/>
                <w:kern w:val="0"/>
                <w:lang w:bidi="ar"/>
              </w:rPr>
            </w:pPr>
            <w:r>
              <w:rPr>
                <w:rFonts w:hint="eastAsia"/>
                <w:lang w:val="en-US" w:eastAsia="zh-CN"/>
              </w:rPr>
              <w:t>项目</w:t>
            </w:r>
            <w:r>
              <w:rPr>
                <w:rFonts w:hint="eastAsia"/>
              </w:rPr>
              <w:t>生活污水经隔油池+化粪池处理后达到纳管标准和《污水排入城镇下水道水质标准》（GB/T31962-2015）表1A级后排入高安市工业园污水处理厂处理后</w:t>
            </w:r>
            <w:r>
              <w:rPr>
                <w:rFonts w:hint="eastAsia"/>
                <w:lang w:eastAsia="zh-CN"/>
              </w:rPr>
              <w:t>达到</w:t>
            </w:r>
            <w:r>
              <w:rPr>
                <w:rFonts w:hint="eastAsia"/>
              </w:rPr>
              <w:t>《城镇污水处理厂污染物排放标准》</w:t>
            </w:r>
            <w:r>
              <w:rPr>
                <w:rFonts w:hint="eastAsia"/>
                <w:lang w:eastAsia="zh-CN"/>
              </w:rPr>
              <w:t>（</w:t>
            </w:r>
            <w:r>
              <w:rPr>
                <w:rFonts w:hint="eastAsia"/>
              </w:rPr>
              <w:t>GB18918-2002</w:t>
            </w:r>
            <w:r>
              <w:rPr>
                <w:rFonts w:hint="eastAsia"/>
                <w:lang w:eastAsia="zh-CN"/>
              </w:rPr>
              <w:t>）</w:t>
            </w:r>
            <w:r>
              <w:rPr>
                <w:rFonts w:hint="eastAsia"/>
              </w:rPr>
              <w:t>一级A标准后排入锦江。</w:t>
            </w:r>
          </w:p>
          <w:p w14:paraId="2D3148E9">
            <w:pPr>
              <w:widowControl/>
              <w:ind w:firstLine="480"/>
              <w:jc w:val="left"/>
            </w:pPr>
            <w:r>
              <w:rPr>
                <w:rFonts w:hint="eastAsia" w:ascii="宋体" w:hAnsi="宋体" w:cs="宋体"/>
                <w:kern w:val="0"/>
                <w:lang w:bidi="ar"/>
              </w:rPr>
              <w:t>本项目设置完善废水和雨水收集系统，生产车间、危废仓库、原料仓库均采用防渗漏措施，在落实好厂区防渗漏措施前提下，项目生产过程对周围土壤影响很小，因此本项目正常情况下不考虑地面漫流。</w:t>
            </w:r>
          </w:p>
          <w:p w14:paraId="6132E97B">
            <w:pPr>
              <w:ind w:firstLine="480"/>
            </w:pPr>
            <w:r>
              <w:rPr>
                <w:rFonts w:hint="eastAsia"/>
              </w:rPr>
              <w:t>②垂直入渗</w:t>
            </w:r>
          </w:p>
          <w:p w14:paraId="631D0DCB">
            <w:pPr>
              <w:ind w:firstLine="480"/>
            </w:pPr>
            <w:r>
              <w:rPr>
                <w:rFonts w:hint="eastAsia"/>
              </w:rPr>
              <w:t>垂直入渗主要指由于占地范围内原有污染物质的入渗迁移造成污染范围</w:t>
            </w:r>
            <w:r>
              <w:rPr>
                <w:rFonts w:hint="eastAsia"/>
                <w:lang w:eastAsia="zh-CN"/>
              </w:rPr>
              <w:t>垂直</w:t>
            </w:r>
            <w:r>
              <w:rPr>
                <w:rFonts w:hint="eastAsia"/>
              </w:rPr>
              <w:t>扩大的影响途径。设置地面处理池体（主要针对化学表面处理工艺）、设置地下池体及储罐、危险化学品及有毒有害物质集中存储和地下输送（项目生产过</w:t>
            </w:r>
            <w:r>
              <w:rPr>
                <w:rFonts w:hint="eastAsia"/>
                <w:lang w:eastAsia="zh-CN"/>
              </w:rPr>
              <w:t>程中</w:t>
            </w:r>
            <w:r>
              <w:rPr>
                <w:rFonts w:hint="eastAsia"/>
              </w:rPr>
              <w:t>储存的原辅材料且做好防渗措施的除外）等建设项目须考虑垂直入渗污染途径。本项目储存的机油、废机油可能会发生泄漏，通过垂直入渗进一步污染土壤。根据本项目情况将地下工程构筑物（污水处理设施）采取重点防渗，在全面落实分区防渗</w:t>
            </w:r>
            <w:r>
              <w:rPr>
                <w:rFonts w:hint="eastAsia"/>
                <w:lang w:eastAsia="zh-CN"/>
              </w:rPr>
              <w:t>措施</w:t>
            </w:r>
            <w:r>
              <w:rPr>
                <w:rFonts w:hint="eastAsia"/>
              </w:rPr>
              <w:t>的情况下，物料或污染物的垂直入渗对土壤影响较小。</w:t>
            </w:r>
          </w:p>
          <w:p w14:paraId="2EEF4625">
            <w:pPr>
              <w:ind w:firstLine="480"/>
            </w:pPr>
            <w:r>
              <w:rPr>
                <w:rFonts w:hint="eastAsia" w:ascii="宋体" w:hAnsi="宋体" w:cs="宋体"/>
              </w:rPr>
              <w:t>③</w:t>
            </w:r>
            <w:r>
              <w:rPr>
                <w:rFonts w:hint="eastAsia"/>
              </w:rPr>
              <w:t>大气沉降</w:t>
            </w:r>
          </w:p>
          <w:p w14:paraId="6B7AE79D">
            <w:pPr>
              <w:ind w:firstLine="480"/>
            </w:pPr>
            <w:r>
              <w:rPr>
                <w:rFonts w:hint="eastAsia"/>
              </w:rPr>
              <w:t>大气沉降主要指由于生产活动产生气体排放间接造成土壤环境污染的影响途径。本项目主要的污染途径是大气沉降，主要的污染因子是颗粒物，不属于《土壤环境质量</w:t>
            </w:r>
            <w:r>
              <w:rPr>
                <w:rFonts w:hint="eastAsia"/>
                <w:lang w:val="en-US" w:eastAsia="zh-CN"/>
              </w:rPr>
              <w:t xml:space="preserve">  </w:t>
            </w:r>
            <w:r>
              <w:rPr>
                <w:rFonts w:hint="eastAsia"/>
              </w:rPr>
              <w:t>建设用地土壤污染风险管控标准（试行）》（GB36600-2018）中的污染物。</w:t>
            </w:r>
          </w:p>
          <w:p w14:paraId="77118045">
            <w:pPr>
              <w:ind w:firstLine="480"/>
            </w:pPr>
            <w:r>
              <w:rPr>
                <w:rFonts w:hint="eastAsia"/>
              </w:rPr>
              <w:t>这些污染物能够改变土壤的组成和性质，对土壤的物理化学特性对土壤积盐、肥力和土壤发育有着明显的影响。本项目的大气污染物排放浓度和排放速率均没有超标，经扩散、降解等作用后，沉降到周边土壤环境的污染物较少。</w:t>
            </w:r>
          </w:p>
          <w:p w14:paraId="012874A1">
            <w:pPr>
              <w:ind w:firstLine="480"/>
            </w:pPr>
            <w:r>
              <w:rPr>
                <w:rFonts w:hint="eastAsia"/>
                <w:lang w:eastAsia="zh-CN"/>
              </w:rPr>
              <w:t>根据以上</w:t>
            </w:r>
            <w:r>
              <w:rPr>
                <w:rFonts w:hint="eastAsia"/>
              </w:rPr>
              <w:t>分析，本项目设置完善废水和雨水收集系统，生活污水和生产废水预处理设施均采用防渗漏措施，在落实好厂区防渗漏措施前提下，可有效防止污水下渗到土壤和地下水；项目产生的废气经过有效处理后排放量不大，且不属于重金属等有毒有害物质，对土壤和地下水影响不大；一般固废仓库和危废仓库均做好防风挡雨、防渗漏等措施，因此可防止污染物</w:t>
            </w:r>
            <w:r>
              <w:rPr>
                <w:rFonts w:hint="eastAsia"/>
                <w:lang w:eastAsia="zh-CN"/>
              </w:rPr>
              <w:t>泄漏</w:t>
            </w:r>
            <w:r>
              <w:rPr>
                <w:rFonts w:hint="eastAsia"/>
              </w:rPr>
              <w:t>下渗到土壤和地下水，因此不存在土壤、地下水污染途径。</w:t>
            </w:r>
          </w:p>
          <w:p w14:paraId="3F4C8BCF">
            <w:pPr>
              <w:ind w:firstLine="480"/>
            </w:pPr>
            <w:r>
              <w:rPr>
                <w:rFonts w:hint="eastAsia"/>
              </w:rPr>
              <w:t>（2）防控措施</w:t>
            </w:r>
          </w:p>
          <w:p w14:paraId="00F06E47">
            <w:pPr>
              <w:ind w:firstLine="480"/>
            </w:pPr>
            <w:r>
              <w:rPr>
                <w:rFonts w:hint="eastAsia"/>
              </w:rPr>
              <w:t>1）源头控制措施</w:t>
            </w:r>
          </w:p>
          <w:p w14:paraId="49997507">
            <w:pPr>
              <w:ind w:firstLine="480"/>
            </w:pPr>
            <w:r>
              <w:rPr>
                <w:rFonts w:hint="eastAsia"/>
              </w:rPr>
              <w:t>减少工程排放的废气、废水污染物对土壤的不利影响，关键在于尽量从源头减少污染物的产生量。</w:t>
            </w:r>
          </w:p>
          <w:p w14:paraId="45647420">
            <w:pPr>
              <w:ind w:firstLine="480"/>
            </w:pPr>
            <w:r>
              <w:rPr>
                <w:rFonts w:hint="eastAsia"/>
              </w:rPr>
              <w:t>工艺、管道设备、污水储存及处理构筑物采取有效的污染控制措施，将污染物跑冒滴漏降到最低限。污水输送管道尽可能架空敷设，同时施工过程中保证高质量安装，运营过程中要加强管理，杜绝废水跑、冒、滴、漏现象。</w:t>
            </w:r>
          </w:p>
          <w:p w14:paraId="77442A44">
            <w:pPr>
              <w:ind w:firstLine="480"/>
            </w:pPr>
            <w:r>
              <w:rPr>
                <w:rFonts w:hint="eastAsia"/>
              </w:rPr>
              <w:t>另外，对职工加强环境保护意识的教育，采取严格的污染防治措施，对每个排污环节加强控制、管理，尽量将污染物排放降至最低限度。</w:t>
            </w:r>
          </w:p>
          <w:p w14:paraId="62D475FD">
            <w:pPr>
              <w:ind w:firstLine="480"/>
            </w:pPr>
            <w:r>
              <w:rPr>
                <w:rFonts w:hint="eastAsia"/>
              </w:rPr>
              <w:t>2）过程防控措施</w:t>
            </w:r>
          </w:p>
          <w:p w14:paraId="0BAA6E28">
            <w:pPr>
              <w:ind w:firstLine="480"/>
            </w:pPr>
            <w:r>
              <w:rPr>
                <w:rFonts w:hint="eastAsia"/>
              </w:rPr>
              <w:t>①厂区绿化</w:t>
            </w:r>
          </w:p>
          <w:p w14:paraId="2AE07B62">
            <w:pPr>
              <w:ind w:firstLine="480"/>
            </w:pPr>
            <w:r>
              <w:rPr>
                <w:rFonts w:hint="eastAsia"/>
              </w:rPr>
              <w:t>充分利用植物对污染物的净化作用，通过绿化来降低大气污染物通过大气沉降进入土壤中的量，在污染环境条件下生长的植物，都能不同程度地拦截、吸附和富集污染物质。有的污染物质被吸收后，经过植物代谢作用还能逐渐解毒。因此，植物对大气环境具有一定的净化作用。</w:t>
            </w:r>
          </w:p>
          <w:p w14:paraId="65F9ABCA">
            <w:pPr>
              <w:ind w:firstLine="480"/>
            </w:pPr>
            <w:r>
              <w:rPr>
                <w:rFonts w:hint="eastAsia"/>
              </w:rPr>
              <w:t>②厂区防渗</w:t>
            </w:r>
          </w:p>
          <w:p w14:paraId="412167B9">
            <w:pPr>
              <w:ind w:firstLine="480"/>
            </w:pPr>
            <w:r>
              <w:rPr>
                <w:rFonts w:hint="eastAsia"/>
              </w:rPr>
              <w:t>根据厂区各生产功能单元可能泄漏至地面区域的污染物性质和生产单元的构筑方式，将全厂划分为一般防渗区、简单防渗区和重点防渗区，项目防渗分区方案见表</w:t>
            </w:r>
            <w:r>
              <w:rPr>
                <w:rFonts w:hint="eastAsia"/>
                <w:lang w:val="en-US" w:eastAsia="zh-CN"/>
              </w:rPr>
              <w:t>4-19</w:t>
            </w:r>
            <w:r>
              <w:rPr>
                <w:rFonts w:hint="eastAsia"/>
              </w:rPr>
              <w:t>。</w:t>
            </w:r>
          </w:p>
          <w:p w14:paraId="5982FECB">
            <w:pPr>
              <w:pStyle w:val="59"/>
              <w:numPr>
                <w:ilvl w:val="0"/>
                <w:numId w:val="0"/>
              </w:numPr>
              <w:tabs>
                <w:tab w:val="left" w:pos="0"/>
              </w:tabs>
              <w:ind w:left="0" w:leftChars="0" w:firstLine="0" w:firstLineChars="0"/>
              <w:rPr>
                <w:b/>
                <w:bCs/>
              </w:rPr>
            </w:pPr>
            <w:r>
              <w:rPr>
                <w:rFonts w:hint="default" w:ascii="Times New Roman" w:hAnsi="Times New Roman" w:eastAsia="宋体" w:cs="Times New Roman"/>
                <w:b/>
                <w:bCs/>
                <w:kern w:val="2"/>
                <w:sz w:val="21"/>
                <w:szCs w:val="21"/>
                <w:lang w:val="en-US" w:eastAsia="zh-CN" w:bidi="ar-SA"/>
              </w:rPr>
              <w:t>表4-</w:t>
            </w:r>
            <w:r>
              <w:rPr>
                <w:rFonts w:hint="eastAsia" w:cs="Times New Roman"/>
                <w:b/>
                <w:bCs/>
                <w:kern w:val="2"/>
                <w:sz w:val="21"/>
                <w:szCs w:val="21"/>
                <w:lang w:val="en-US" w:eastAsia="zh-CN" w:bidi="ar-SA"/>
              </w:rPr>
              <w:t>19</w:t>
            </w:r>
            <w:r>
              <w:rPr>
                <w:rFonts w:hint="default" w:ascii="Times New Roman" w:hAnsi="Times New Roman" w:eastAsia="宋体" w:cs="Times New Roman"/>
                <w:b/>
                <w:bCs/>
                <w:kern w:val="2"/>
                <w:sz w:val="21"/>
                <w:szCs w:val="21"/>
                <w:lang w:val="en-US" w:eastAsia="zh-CN" w:bidi="ar-SA"/>
              </w:rPr>
              <w:t xml:space="preserve"> </w:t>
            </w:r>
            <w:r>
              <w:rPr>
                <w:rFonts w:hint="eastAsia"/>
                <w:b/>
                <w:bCs/>
              </w:rPr>
              <w:t>项目分区建议防渗方案一览表</w:t>
            </w:r>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9"/>
              <w:gridCol w:w="3787"/>
              <w:gridCol w:w="2972"/>
            </w:tblGrid>
            <w:tr w14:paraId="2BE6E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9" w:type="dxa"/>
                  <w:vAlign w:val="center"/>
                </w:tcPr>
                <w:p w14:paraId="0F071698">
                  <w:pPr>
                    <w:pStyle w:val="56"/>
                    <w:jc w:val="center"/>
                  </w:pPr>
                  <w:r>
                    <w:rPr>
                      <w:rFonts w:hint="eastAsia"/>
                    </w:rPr>
                    <w:t>防渗级别</w:t>
                  </w:r>
                </w:p>
              </w:tc>
              <w:tc>
                <w:tcPr>
                  <w:tcW w:w="3787" w:type="dxa"/>
                  <w:vAlign w:val="center"/>
                </w:tcPr>
                <w:p w14:paraId="65023BAF">
                  <w:pPr>
                    <w:pStyle w:val="56"/>
                    <w:jc w:val="center"/>
                  </w:pPr>
                  <w:r>
                    <w:rPr>
                      <w:rFonts w:hint="eastAsia"/>
                    </w:rPr>
                    <w:t>生产单元名称</w:t>
                  </w:r>
                </w:p>
              </w:tc>
              <w:tc>
                <w:tcPr>
                  <w:tcW w:w="0" w:type="auto"/>
                  <w:vAlign w:val="center"/>
                </w:tcPr>
                <w:p w14:paraId="23D5B751">
                  <w:pPr>
                    <w:pStyle w:val="56"/>
                    <w:jc w:val="center"/>
                  </w:pPr>
                  <w:r>
                    <w:rPr>
                      <w:rFonts w:hint="eastAsia"/>
                    </w:rPr>
                    <w:t>防渗技术要求</w:t>
                  </w:r>
                </w:p>
              </w:tc>
            </w:tr>
            <w:tr w14:paraId="566DF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9" w:type="dxa"/>
                  <w:vAlign w:val="center"/>
                </w:tcPr>
                <w:p w14:paraId="68616065">
                  <w:pPr>
                    <w:pStyle w:val="56"/>
                    <w:jc w:val="center"/>
                  </w:pPr>
                  <w:r>
                    <w:rPr>
                      <w:rFonts w:hint="eastAsia"/>
                    </w:rPr>
                    <w:t>重点防渗区</w:t>
                  </w:r>
                </w:p>
              </w:tc>
              <w:tc>
                <w:tcPr>
                  <w:tcW w:w="3787" w:type="dxa"/>
                  <w:vAlign w:val="center"/>
                </w:tcPr>
                <w:p w14:paraId="5B0BA763">
                  <w:pPr>
                    <w:pStyle w:val="56"/>
                    <w:jc w:val="center"/>
                    <w:rPr>
                      <w:rFonts w:hint="eastAsia" w:eastAsia="宋体"/>
                      <w:lang w:val="en-US" w:eastAsia="zh-CN"/>
                    </w:rPr>
                  </w:pPr>
                  <w:r>
                    <w:rPr>
                      <w:rFonts w:hint="eastAsia"/>
                      <w:lang w:val="en-US" w:eastAsia="zh-CN"/>
                    </w:rPr>
                    <w:t>化粪池、车辆冲洗沉淀池、危废暂存间</w:t>
                  </w:r>
                </w:p>
              </w:tc>
              <w:tc>
                <w:tcPr>
                  <w:tcW w:w="0" w:type="auto"/>
                  <w:vAlign w:val="center"/>
                </w:tcPr>
                <w:p w14:paraId="79CAA779">
                  <w:pPr>
                    <w:pStyle w:val="56"/>
                    <w:jc w:val="center"/>
                  </w:pPr>
                  <w:r>
                    <w:rPr>
                      <w:rFonts w:hint="eastAsia"/>
                    </w:rPr>
                    <w:t>等效黏土防渗层Mb≥6.0m，K≤1×10</w:t>
                  </w:r>
                  <w:r>
                    <w:rPr>
                      <w:rFonts w:hint="eastAsia"/>
                      <w:vertAlign w:val="superscript"/>
                    </w:rPr>
                    <w:t>-7</w:t>
                  </w:r>
                  <w:r>
                    <w:rPr>
                      <w:rFonts w:hint="eastAsia"/>
                    </w:rPr>
                    <w:t>cm/s</w:t>
                  </w:r>
                </w:p>
              </w:tc>
            </w:tr>
            <w:tr w14:paraId="44BB4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9" w:type="dxa"/>
                  <w:vAlign w:val="center"/>
                </w:tcPr>
                <w:p w14:paraId="23863751">
                  <w:pPr>
                    <w:pStyle w:val="56"/>
                    <w:ind w:firstLine="0" w:firstLineChars="0"/>
                    <w:jc w:val="center"/>
                    <w:rPr>
                      <w:rFonts w:hint="eastAsia"/>
                    </w:rPr>
                  </w:pPr>
                  <w:r>
                    <w:rPr>
                      <w:rFonts w:hint="eastAsia"/>
                    </w:rPr>
                    <w:t>一般防渗区</w:t>
                  </w:r>
                </w:p>
              </w:tc>
              <w:tc>
                <w:tcPr>
                  <w:tcW w:w="3787" w:type="dxa"/>
                  <w:vAlign w:val="center"/>
                </w:tcPr>
                <w:p w14:paraId="20E9BE2E">
                  <w:pPr>
                    <w:pStyle w:val="56"/>
                    <w:ind w:firstLine="0" w:firstLineChars="0"/>
                    <w:jc w:val="center"/>
                    <w:rPr>
                      <w:rFonts w:hint="default" w:eastAsia="宋体"/>
                      <w:lang w:val="en-US" w:eastAsia="zh-CN"/>
                    </w:rPr>
                  </w:pPr>
                  <w:r>
                    <w:rPr>
                      <w:rFonts w:hint="eastAsia"/>
                      <w:lang w:val="en-US" w:eastAsia="zh-CN"/>
                    </w:rPr>
                    <w:t>1#车间、2#车间、办公楼、车辆冲洗沉淀池、设备清洗沉淀池、初期雨水池</w:t>
                  </w:r>
                </w:p>
              </w:tc>
              <w:tc>
                <w:tcPr>
                  <w:tcW w:w="0" w:type="auto"/>
                  <w:vAlign w:val="center"/>
                </w:tcPr>
                <w:p w14:paraId="4D39D24C">
                  <w:pPr>
                    <w:pStyle w:val="56"/>
                    <w:ind w:firstLine="0" w:firstLineChars="0"/>
                    <w:jc w:val="center"/>
                    <w:rPr>
                      <w:rFonts w:hint="eastAsia"/>
                    </w:rPr>
                  </w:pPr>
                  <w:r>
                    <w:rPr>
                      <w:rFonts w:hint="eastAsia"/>
                    </w:rPr>
                    <w:t>等效黏土防渗层Mb≥1.5m，K≤1×10</w:t>
                  </w:r>
                  <w:r>
                    <w:rPr>
                      <w:rFonts w:hint="eastAsia"/>
                      <w:vertAlign w:val="superscript"/>
                    </w:rPr>
                    <w:t>-7</w:t>
                  </w:r>
                  <w:r>
                    <w:rPr>
                      <w:rFonts w:hint="eastAsia"/>
                    </w:rPr>
                    <w:t>cm/s</w:t>
                  </w:r>
                </w:p>
              </w:tc>
            </w:tr>
            <w:tr w14:paraId="53BFE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9" w:type="dxa"/>
                  <w:vAlign w:val="center"/>
                </w:tcPr>
                <w:p w14:paraId="47BA4B80">
                  <w:pPr>
                    <w:pStyle w:val="56"/>
                    <w:ind w:firstLine="0" w:firstLineChars="0"/>
                    <w:jc w:val="center"/>
                    <w:rPr>
                      <w:rFonts w:hint="eastAsia"/>
                    </w:rPr>
                  </w:pPr>
                  <w:r>
                    <w:rPr>
                      <w:rFonts w:hint="eastAsia"/>
                    </w:rPr>
                    <w:t>简单防渗区</w:t>
                  </w:r>
                </w:p>
              </w:tc>
              <w:tc>
                <w:tcPr>
                  <w:tcW w:w="3787" w:type="dxa"/>
                  <w:vAlign w:val="center"/>
                </w:tcPr>
                <w:p w14:paraId="603ACC1E">
                  <w:pPr>
                    <w:pStyle w:val="56"/>
                    <w:ind w:firstLine="0" w:firstLineChars="0"/>
                    <w:jc w:val="center"/>
                    <w:rPr>
                      <w:rFonts w:hint="default" w:eastAsia="宋体"/>
                      <w:lang w:val="en-US" w:eastAsia="zh-CN"/>
                    </w:rPr>
                  </w:pPr>
                  <w:r>
                    <w:rPr>
                      <w:rFonts w:hint="eastAsia"/>
                      <w:lang w:val="en-US" w:eastAsia="zh-CN"/>
                    </w:rPr>
                    <w:t>厂区其他区域</w:t>
                  </w:r>
                </w:p>
              </w:tc>
              <w:tc>
                <w:tcPr>
                  <w:tcW w:w="0" w:type="auto"/>
                  <w:vAlign w:val="center"/>
                </w:tcPr>
                <w:p w14:paraId="2CB855B7">
                  <w:pPr>
                    <w:pStyle w:val="56"/>
                    <w:ind w:firstLine="0" w:firstLineChars="0"/>
                    <w:jc w:val="center"/>
                    <w:rPr>
                      <w:rFonts w:hint="eastAsia"/>
                    </w:rPr>
                  </w:pPr>
                  <w:r>
                    <w:rPr>
                      <w:rFonts w:hint="eastAsia"/>
                    </w:rPr>
                    <w:t>一般地面硬化</w:t>
                  </w:r>
                </w:p>
              </w:tc>
            </w:tr>
          </w:tbl>
          <w:p w14:paraId="37307140">
            <w:pPr>
              <w:ind w:firstLine="480"/>
            </w:pPr>
            <w:r>
              <w:rPr>
                <w:rFonts w:hint="eastAsia"/>
              </w:rPr>
              <w:t>加强厂区巡检，对跑冒滴漏做到及时发现、及时控制；严格装置区内污染防治区地面分区防渗以及地下污水管线及污水收集、储存、处理设施防渗措施；做好厂区危废暂存间、设备装置区地面防渗等的管理，防渗层破裂后及时补救、更换。综上本项目在正常情况下，采取环评提出的措施后，对土壤和地下水不存在影响，同时大气沉降对土壤环境造成的影响较小。</w:t>
            </w:r>
          </w:p>
          <w:p w14:paraId="65FC5215">
            <w:pPr>
              <w:ind w:firstLine="482"/>
              <w:rPr>
                <w:b/>
                <w:bCs/>
              </w:rPr>
            </w:pPr>
            <w:r>
              <w:rPr>
                <w:b/>
                <w:bCs/>
              </w:rPr>
              <w:t>6</w:t>
            </w:r>
            <w:r>
              <w:rPr>
                <w:rFonts w:hint="eastAsia"/>
                <w:b/>
                <w:bCs/>
              </w:rPr>
              <w:t>、生态</w:t>
            </w:r>
            <w:r>
              <w:rPr>
                <w:b/>
                <w:bCs/>
                <w:lang w:val="zh-CN"/>
              </w:rPr>
              <w:t>影响分析</w:t>
            </w:r>
          </w:p>
          <w:p w14:paraId="1620E766">
            <w:pPr>
              <w:widowControl/>
              <w:ind w:firstLine="480"/>
              <w:jc w:val="left"/>
            </w:pPr>
            <w:r>
              <w:rPr>
                <w:rFonts w:hint="eastAsia"/>
              </w:rPr>
              <w:t>本项目选址位于工业园区内，</w:t>
            </w:r>
            <w:r>
              <w:rPr>
                <w:rFonts w:hint="eastAsia" w:ascii="宋体" w:hAnsi="宋体" w:cs="宋体"/>
                <w:kern w:val="0"/>
                <w:lang w:bidi="ar"/>
              </w:rPr>
              <w:t>无原始植被生长和珍贵野生动物活动，区域生态系统敏感程度较低，无需重点保护的生态环境。</w:t>
            </w:r>
          </w:p>
          <w:p w14:paraId="34BB2554">
            <w:pPr>
              <w:ind w:firstLine="482"/>
              <w:rPr>
                <w:b/>
                <w:bCs/>
              </w:rPr>
            </w:pPr>
            <w:r>
              <w:rPr>
                <w:rFonts w:hint="eastAsia"/>
                <w:b/>
                <w:bCs/>
              </w:rPr>
              <w:t>7、环境风险</w:t>
            </w:r>
          </w:p>
          <w:p w14:paraId="7E9D151E">
            <w:pPr>
              <w:ind w:firstLine="480"/>
            </w:pPr>
            <w:r>
              <w:rPr>
                <w:rFonts w:hint="eastAsia"/>
              </w:rPr>
              <w:t>（1）危险物质</w:t>
            </w:r>
          </w:p>
          <w:p w14:paraId="2CB46AE0">
            <w:pPr>
              <w:ind w:firstLine="480"/>
            </w:pPr>
            <w:r>
              <w:rPr>
                <w:rFonts w:hint="eastAsia"/>
              </w:rPr>
              <w:t>本项目生产过程中使用的原辅材料主要为机油、废机油。根据《建设项目环境风险评价技术导则》（HJ169-2018）附录B表B.1突发环境事件风险物质及临界量、表B.2其他危险物质临界量推荐值，本次评价对项目使用的原辅材料一一比对后，</w:t>
            </w:r>
            <w:r>
              <w:rPr>
                <w:rFonts w:hint="eastAsia"/>
                <w:lang w:eastAsia="zh-CN"/>
              </w:rPr>
              <w:t>发现</w:t>
            </w:r>
            <w:r>
              <w:rPr>
                <w:rFonts w:hint="eastAsia"/>
              </w:rPr>
              <w:t>项目</w:t>
            </w:r>
            <w:r>
              <w:rPr>
                <w:rFonts w:hint="eastAsia"/>
                <w:lang w:eastAsia="zh-CN"/>
              </w:rPr>
              <w:t>涉及</w:t>
            </w:r>
            <w:r>
              <w:rPr>
                <w:rFonts w:hint="eastAsia"/>
              </w:rPr>
              <w:t>的机油和废机油属于《建设项目环境风险评价技术导则》（HJ169-2018）附录B表B.1提及的风险物质，应重点关注，项目危险物质数量与临界量比值详见表</w:t>
            </w:r>
            <w:r>
              <w:rPr>
                <w:rFonts w:hint="eastAsia"/>
                <w:lang w:val="en-US" w:eastAsia="zh-CN"/>
              </w:rPr>
              <w:t>4-20</w:t>
            </w:r>
            <w:r>
              <w:rPr>
                <w:rFonts w:hint="eastAsia"/>
              </w:rPr>
              <w:t>。</w:t>
            </w:r>
          </w:p>
          <w:p w14:paraId="65A24EB0">
            <w:pPr>
              <w:pStyle w:val="59"/>
              <w:numPr>
                <w:ilvl w:val="0"/>
                <w:numId w:val="0"/>
              </w:numPr>
              <w:tabs>
                <w:tab w:val="left" w:pos="0"/>
              </w:tabs>
              <w:ind w:left="0" w:leftChars="0" w:firstLine="0" w:firstLineChars="0"/>
              <w:rPr>
                <w:b/>
                <w:bCs/>
              </w:rPr>
            </w:pPr>
            <w:r>
              <w:rPr>
                <w:rFonts w:hint="default" w:ascii="Times New Roman" w:hAnsi="Times New Roman" w:eastAsia="宋体" w:cs="Times New Roman"/>
                <w:b/>
                <w:bCs/>
                <w:kern w:val="2"/>
                <w:sz w:val="21"/>
                <w:szCs w:val="21"/>
                <w:lang w:val="en-US" w:eastAsia="zh-CN" w:bidi="ar-SA"/>
              </w:rPr>
              <w:t>表4-</w:t>
            </w:r>
            <w:r>
              <w:rPr>
                <w:rFonts w:hint="eastAsia" w:cs="Times New Roman"/>
                <w:b/>
                <w:bCs/>
                <w:kern w:val="2"/>
                <w:sz w:val="21"/>
                <w:szCs w:val="21"/>
                <w:lang w:val="en-US" w:eastAsia="zh-CN" w:bidi="ar-SA"/>
              </w:rPr>
              <w:t>20</w:t>
            </w:r>
            <w:r>
              <w:rPr>
                <w:rFonts w:hint="default" w:ascii="Times New Roman" w:hAnsi="Times New Roman" w:eastAsia="宋体" w:cs="Times New Roman"/>
                <w:b/>
                <w:bCs/>
                <w:kern w:val="2"/>
                <w:sz w:val="21"/>
                <w:szCs w:val="21"/>
                <w:lang w:val="en-US" w:eastAsia="zh-CN" w:bidi="ar-SA"/>
              </w:rPr>
              <w:t xml:space="preserve"> </w:t>
            </w:r>
            <w:r>
              <w:rPr>
                <w:rFonts w:hint="eastAsia"/>
                <w:b/>
                <w:bCs/>
              </w:rPr>
              <w:t>项目危险物质数量与临界量比值</w:t>
            </w:r>
          </w:p>
          <w:tbl>
            <w:tblPr>
              <w:tblStyle w:val="4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7"/>
              <w:gridCol w:w="1367"/>
              <w:gridCol w:w="1367"/>
              <w:gridCol w:w="1369"/>
              <w:gridCol w:w="1374"/>
              <w:gridCol w:w="1371"/>
            </w:tblGrid>
            <w:tr w14:paraId="39BB7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Align w:val="center"/>
                </w:tcPr>
                <w:p w14:paraId="45C83525">
                  <w:pPr>
                    <w:pStyle w:val="56"/>
                    <w:jc w:val="center"/>
                    <w:rPr>
                      <w:color w:val="auto"/>
                    </w:rPr>
                  </w:pPr>
                  <w:r>
                    <w:rPr>
                      <w:rFonts w:hint="eastAsia"/>
                      <w:color w:val="auto"/>
                    </w:rPr>
                    <w:t>序号</w:t>
                  </w:r>
                </w:p>
              </w:tc>
              <w:tc>
                <w:tcPr>
                  <w:tcW w:w="832" w:type="pct"/>
                  <w:vAlign w:val="center"/>
                </w:tcPr>
                <w:p w14:paraId="542D2B0C">
                  <w:pPr>
                    <w:pStyle w:val="56"/>
                    <w:jc w:val="center"/>
                    <w:rPr>
                      <w:color w:val="auto"/>
                    </w:rPr>
                  </w:pPr>
                  <w:r>
                    <w:rPr>
                      <w:rFonts w:hint="eastAsia"/>
                      <w:color w:val="auto"/>
                    </w:rPr>
                    <w:t>名称</w:t>
                  </w:r>
                </w:p>
              </w:tc>
              <w:tc>
                <w:tcPr>
                  <w:tcW w:w="832" w:type="pct"/>
                  <w:vAlign w:val="center"/>
                </w:tcPr>
                <w:p w14:paraId="4F710E92">
                  <w:pPr>
                    <w:pStyle w:val="56"/>
                    <w:jc w:val="center"/>
                    <w:rPr>
                      <w:color w:val="auto"/>
                    </w:rPr>
                  </w:pPr>
                  <w:r>
                    <w:rPr>
                      <w:rFonts w:hint="eastAsia"/>
                      <w:color w:val="auto"/>
                    </w:rPr>
                    <w:t>CAS号</w:t>
                  </w:r>
                </w:p>
              </w:tc>
              <w:tc>
                <w:tcPr>
                  <w:tcW w:w="833" w:type="pct"/>
                  <w:vAlign w:val="center"/>
                </w:tcPr>
                <w:p w14:paraId="70D8B070">
                  <w:pPr>
                    <w:pStyle w:val="56"/>
                    <w:jc w:val="center"/>
                    <w:rPr>
                      <w:color w:val="auto"/>
                    </w:rPr>
                  </w:pPr>
                  <w:r>
                    <w:rPr>
                      <w:rFonts w:hint="eastAsia"/>
                      <w:color w:val="auto"/>
                    </w:rPr>
                    <w:t>最大存量（t）</w:t>
                  </w:r>
                </w:p>
              </w:tc>
              <w:tc>
                <w:tcPr>
                  <w:tcW w:w="834" w:type="pct"/>
                  <w:vAlign w:val="center"/>
                </w:tcPr>
                <w:p w14:paraId="457FF419">
                  <w:pPr>
                    <w:pStyle w:val="56"/>
                    <w:jc w:val="center"/>
                    <w:rPr>
                      <w:color w:val="auto"/>
                    </w:rPr>
                  </w:pPr>
                  <w:r>
                    <w:rPr>
                      <w:rFonts w:hint="eastAsia"/>
                      <w:color w:val="auto"/>
                    </w:rPr>
                    <w:t>临界存量（t）</w:t>
                  </w:r>
                </w:p>
              </w:tc>
              <w:tc>
                <w:tcPr>
                  <w:tcW w:w="834" w:type="pct"/>
                  <w:vAlign w:val="center"/>
                </w:tcPr>
                <w:p w14:paraId="6B378A53">
                  <w:pPr>
                    <w:pStyle w:val="56"/>
                    <w:jc w:val="center"/>
                    <w:rPr>
                      <w:color w:val="auto"/>
                    </w:rPr>
                  </w:pPr>
                  <w:r>
                    <w:rPr>
                      <w:rFonts w:hint="eastAsia"/>
                      <w:color w:val="auto"/>
                    </w:rPr>
                    <w:t>qi/Qi</w:t>
                  </w:r>
                </w:p>
              </w:tc>
            </w:tr>
            <w:tr w14:paraId="0E576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Align w:val="center"/>
                </w:tcPr>
                <w:p w14:paraId="368E6878">
                  <w:pPr>
                    <w:pStyle w:val="56"/>
                    <w:jc w:val="center"/>
                    <w:rPr>
                      <w:color w:val="auto"/>
                    </w:rPr>
                  </w:pPr>
                  <w:r>
                    <w:rPr>
                      <w:rFonts w:hint="eastAsia"/>
                      <w:color w:val="auto"/>
                    </w:rPr>
                    <w:t>1</w:t>
                  </w:r>
                </w:p>
              </w:tc>
              <w:tc>
                <w:tcPr>
                  <w:tcW w:w="832" w:type="pct"/>
                  <w:vAlign w:val="center"/>
                </w:tcPr>
                <w:p w14:paraId="0AD3E075">
                  <w:pPr>
                    <w:pStyle w:val="56"/>
                    <w:jc w:val="center"/>
                    <w:rPr>
                      <w:color w:val="auto"/>
                    </w:rPr>
                  </w:pPr>
                  <w:r>
                    <w:rPr>
                      <w:rFonts w:hint="eastAsia"/>
                      <w:color w:val="auto"/>
                    </w:rPr>
                    <w:t>机油</w:t>
                  </w:r>
                </w:p>
              </w:tc>
              <w:tc>
                <w:tcPr>
                  <w:tcW w:w="832" w:type="pct"/>
                  <w:vAlign w:val="center"/>
                </w:tcPr>
                <w:p w14:paraId="4125BB03">
                  <w:pPr>
                    <w:pStyle w:val="56"/>
                    <w:jc w:val="center"/>
                    <w:rPr>
                      <w:color w:val="auto"/>
                    </w:rPr>
                  </w:pPr>
                  <w:r>
                    <w:rPr>
                      <w:rFonts w:hint="eastAsia"/>
                      <w:color w:val="auto"/>
                    </w:rPr>
                    <w:t>/</w:t>
                  </w:r>
                </w:p>
              </w:tc>
              <w:tc>
                <w:tcPr>
                  <w:tcW w:w="833" w:type="pct"/>
                  <w:vAlign w:val="center"/>
                </w:tcPr>
                <w:p w14:paraId="76C6CBF0">
                  <w:pPr>
                    <w:pStyle w:val="56"/>
                    <w:jc w:val="center"/>
                    <w:rPr>
                      <w:rFonts w:hint="default" w:eastAsia="宋体"/>
                      <w:color w:val="auto"/>
                      <w:lang w:val="en-US" w:eastAsia="zh-CN"/>
                    </w:rPr>
                  </w:pPr>
                  <w:r>
                    <w:rPr>
                      <w:rFonts w:hint="eastAsia"/>
                      <w:color w:val="auto"/>
                      <w:lang w:val="en-US" w:eastAsia="zh-CN"/>
                    </w:rPr>
                    <w:t>0.2</w:t>
                  </w:r>
                </w:p>
              </w:tc>
              <w:tc>
                <w:tcPr>
                  <w:tcW w:w="834" w:type="pct"/>
                  <w:vAlign w:val="center"/>
                </w:tcPr>
                <w:p w14:paraId="7AA84DA8">
                  <w:pPr>
                    <w:pStyle w:val="56"/>
                    <w:jc w:val="center"/>
                    <w:rPr>
                      <w:color w:val="auto"/>
                    </w:rPr>
                  </w:pPr>
                  <w:r>
                    <w:rPr>
                      <w:rFonts w:hint="eastAsia"/>
                      <w:color w:val="auto"/>
                    </w:rPr>
                    <w:t>2500</w:t>
                  </w:r>
                </w:p>
              </w:tc>
              <w:tc>
                <w:tcPr>
                  <w:tcW w:w="834" w:type="pct"/>
                  <w:vAlign w:val="center"/>
                </w:tcPr>
                <w:p w14:paraId="3C46B665">
                  <w:pPr>
                    <w:pStyle w:val="56"/>
                    <w:jc w:val="center"/>
                    <w:rPr>
                      <w:rFonts w:hint="eastAsia" w:eastAsia="宋体"/>
                      <w:color w:val="auto"/>
                      <w:lang w:eastAsia="zh-CN"/>
                    </w:rPr>
                  </w:pPr>
                  <w:r>
                    <w:rPr>
                      <w:rFonts w:hint="eastAsia"/>
                      <w:color w:val="auto"/>
                    </w:rPr>
                    <w:t>0.0000</w:t>
                  </w:r>
                  <w:r>
                    <w:rPr>
                      <w:rFonts w:hint="eastAsia"/>
                      <w:color w:val="auto"/>
                      <w:lang w:val="en-US" w:eastAsia="zh-CN"/>
                    </w:rPr>
                    <w:t>8</w:t>
                  </w:r>
                </w:p>
              </w:tc>
            </w:tr>
            <w:tr w14:paraId="50492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vAlign w:val="center"/>
                </w:tcPr>
                <w:p w14:paraId="5A36D0E2">
                  <w:pPr>
                    <w:pStyle w:val="56"/>
                    <w:jc w:val="center"/>
                    <w:rPr>
                      <w:color w:val="auto"/>
                    </w:rPr>
                  </w:pPr>
                  <w:r>
                    <w:rPr>
                      <w:rFonts w:hint="eastAsia"/>
                      <w:color w:val="auto"/>
                    </w:rPr>
                    <w:t>2</w:t>
                  </w:r>
                </w:p>
              </w:tc>
              <w:tc>
                <w:tcPr>
                  <w:tcW w:w="832" w:type="pct"/>
                  <w:vAlign w:val="center"/>
                </w:tcPr>
                <w:p w14:paraId="7B22C75F">
                  <w:pPr>
                    <w:pStyle w:val="56"/>
                    <w:jc w:val="center"/>
                    <w:rPr>
                      <w:color w:val="auto"/>
                    </w:rPr>
                  </w:pPr>
                  <w:r>
                    <w:rPr>
                      <w:rFonts w:hint="eastAsia"/>
                      <w:color w:val="auto"/>
                    </w:rPr>
                    <w:t>废机油</w:t>
                  </w:r>
                </w:p>
              </w:tc>
              <w:tc>
                <w:tcPr>
                  <w:tcW w:w="832" w:type="pct"/>
                  <w:vAlign w:val="center"/>
                </w:tcPr>
                <w:p w14:paraId="4CA08CE5">
                  <w:pPr>
                    <w:pStyle w:val="56"/>
                    <w:jc w:val="center"/>
                    <w:rPr>
                      <w:color w:val="auto"/>
                    </w:rPr>
                  </w:pPr>
                  <w:r>
                    <w:rPr>
                      <w:rFonts w:hint="eastAsia"/>
                      <w:color w:val="auto"/>
                    </w:rPr>
                    <w:t>/</w:t>
                  </w:r>
                </w:p>
              </w:tc>
              <w:tc>
                <w:tcPr>
                  <w:tcW w:w="833" w:type="pct"/>
                  <w:vAlign w:val="center"/>
                </w:tcPr>
                <w:p w14:paraId="79CC55B2">
                  <w:pPr>
                    <w:pStyle w:val="56"/>
                    <w:jc w:val="center"/>
                    <w:rPr>
                      <w:rFonts w:hint="default" w:eastAsia="宋体"/>
                      <w:color w:val="auto"/>
                      <w:lang w:val="en-US" w:eastAsia="zh-CN"/>
                    </w:rPr>
                  </w:pPr>
                  <w:r>
                    <w:rPr>
                      <w:rFonts w:hint="eastAsia"/>
                      <w:color w:val="auto"/>
                      <w:lang w:val="en-US" w:eastAsia="zh-CN"/>
                    </w:rPr>
                    <w:t>0.2</w:t>
                  </w:r>
                </w:p>
              </w:tc>
              <w:tc>
                <w:tcPr>
                  <w:tcW w:w="834" w:type="pct"/>
                  <w:vAlign w:val="center"/>
                </w:tcPr>
                <w:p w14:paraId="47EF3BE8">
                  <w:pPr>
                    <w:pStyle w:val="56"/>
                    <w:jc w:val="center"/>
                    <w:rPr>
                      <w:color w:val="auto"/>
                    </w:rPr>
                  </w:pPr>
                  <w:r>
                    <w:rPr>
                      <w:rFonts w:hint="eastAsia"/>
                      <w:color w:val="auto"/>
                    </w:rPr>
                    <w:t>2500</w:t>
                  </w:r>
                </w:p>
              </w:tc>
              <w:tc>
                <w:tcPr>
                  <w:tcW w:w="834" w:type="pct"/>
                  <w:vAlign w:val="center"/>
                </w:tcPr>
                <w:p w14:paraId="7870A57C">
                  <w:pPr>
                    <w:pStyle w:val="56"/>
                    <w:jc w:val="center"/>
                    <w:rPr>
                      <w:rFonts w:hint="eastAsia" w:eastAsia="宋体"/>
                      <w:color w:val="auto"/>
                      <w:lang w:eastAsia="zh-CN"/>
                    </w:rPr>
                  </w:pPr>
                  <w:r>
                    <w:rPr>
                      <w:rFonts w:hint="eastAsia"/>
                      <w:color w:val="auto"/>
                    </w:rPr>
                    <w:t>0.0000</w:t>
                  </w:r>
                  <w:r>
                    <w:rPr>
                      <w:rFonts w:hint="eastAsia"/>
                      <w:color w:val="auto"/>
                      <w:lang w:val="en-US" w:eastAsia="zh-CN"/>
                    </w:rPr>
                    <w:t>8</w:t>
                  </w:r>
                </w:p>
              </w:tc>
            </w:tr>
            <w:tr w14:paraId="36742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5" w:type="pct"/>
                  <w:gridSpan w:val="5"/>
                  <w:vAlign w:val="center"/>
                </w:tcPr>
                <w:p w14:paraId="1DC0F829">
                  <w:pPr>
                    <w:pStyle w:val="56"/>
                    <w:jc w:val="center"/>
                    <w:rPr>
                      <w:color w:val="auto"/>
                    </w:rPr>
                  </w:pPr>
                  <w:r>
                    <w:rPr>
                      <w:rFonts w:hint="eastAsia"/>
                      <w:color w:val="auto"/>
                    </w:rPr>
                    <w:t>合计</w:t>
                  </w:r>
                </w:p>
              </w:tc>
              <w:tc>
                <w:tcPr>
                  <w:tcW w:w="834" w:type="pct"/>
                  <w:vAlign w:val="center"/>
                </w:tcPr>
                <w:p w14:paraId="7D7CB311">
                  <w:pPr>
                    <w:pStyle w:val="56"/>
                    <w:jc w:val="center"/>
                    <w:rPr>
                      <w:rFonts w:hint="default" w:eastAsia="宋体"/>
                      <w:color w:val="auto"/>
                      <w:lang w:val="en-US" w:eastAsia="zh-CN"/>
                    </w:rPr>
                  </w:pPr>
                  <w:r>
                    <w:rPr>
                      <w:rFonts w:hint="eastAsia"/>
                      <w:color w:val="auto"/>
                      <w:lang w:val="en-US" w:eastAsia="zh-CN"/>
                    </w:rPr>
                    <w:t>0.00016</w:t>
                  </w:r>
                </w:p>
              </w:tc>
            </w:tr>
          </w:tbl>
          <w:p w14:paraId="23BEAC26">
            <w:pPr>
              <w:ind w:firstLine="480"/>
              <w:jc w:val="left"/>
              <w:rPr>
                <w:bCs/>
              </w:rPr>
            </w:pPr>
            <w:r>
              <w:rPr>
                <w:rFonts w:hint="eastAsia"/>
                <w:bCs/>
              </w:rPr>
              <w:t>由上表可知，本项目危险物质数量与临界量比值Q＜1，项目不存在有毒有害和易燃易爆危险物质存储量超过临界量的情况，无需进行专项评价。</w:t>
            </w:r>
          </w:p>
          <w:p w14:paraId="06DA3CE2">
            <w:pPr>
              <w:ind w:firstLine="480"/>
            </w:pPr>
            <w:r>
              <w:rPr>
                <w:rFonts w:hint="eastAsia"/>
              </w:rPr>
              <w:t>（2）影响途径</w:t>
            </w:r>
          </w:p>
          <w:p w14:paraId="7F7D4DC6">
            <w:pPr>
              <w:ind w:firstLine="480"/>
            </w:pPr>
            <w:r>
              <w:rPr>
                <w:rFonts w:hint="eastAsia"/>
              </w:rPr>
              <w:t>本项目风险源分布、可能影响的途径如表</w:t>
            </w:r>
            <w:r>
              <w:rPr>
                <w:rFonts w:hint="eastAsia"/>
                <w:lang w:val="en-US" w:eastAsia="zh-CN"/>
              </w:rPr>
              <w:t>4-21</w:t>
            </w:r>
            <w:r>
              <w:rPr>
                <w:rFonts w:hint="eastAsia"/>
              </w:rPr>
              <w:t>所示。</w:t>
            </w:r>
          </w:p>
          <w:p w14:paraId="3BA8AF5E">
            <w:pPr>
              <w:pStyle w:val="59"/>
              <w:numPr>
                <w:ilvl w:val="0"/>
                <w:numId w:val="0"/>
              </w:numPr>
              <w:tabs>
                <w:tab w:val="left" w:pos="0"/>
              </w:tabs>
              <w:ind w:left="0" w:leftChars="0" w:firstLine="0" w:firstLineChars="0"/>
              <w:rPr>
                <w:b/>
                <w:bCs/>
              </w:rPr>
            </w:pPr>
            <w:r>
              <w:rPr>
                <w:rFonts w:hint="default" w:ascii="Times New Roman" w:hAnsi="Times New Roman" w:eastAsia="宋体" w:cs="Times New Roman"/>
                <w:b/>
                <w:bCs/>
                <w:kern w:val="2"/>
                <w:sz w:val="21"/>
                <w:szCs w:val="21"/>
                <w:lang w:val="en-US" w:eastAsia="zh-CN" w:bidi="ar-SA"/>
              </w:rPr>
              <w:t>表4-</w:t>
            </w:r>
            <w:r>
              <w:rPr>
                <w:rFonts w:hint="eastAsia" w:cs="Times New Roman"/>
                <w:b/>
                <w:bCs/>
                <w:kern w:val="2"/>
                <w:sz w:val="21"/>
                <w:szCs w:val="21"/>
                <w:lang w:val="en-US" w:eastAsia="zh-CN" w:bidi="ar-SA"/>
              </w:rPr>
              <w:t>21</w:t>
            </w:r>
            <w:r>
              <w:rPr>
                <w:rFonts w:hint="default" w:ascii="Times New Roman" w:hAnsi="Times New Roman" w:eastAsia="宋体" w:cs="Times New Roman"/>
                <w:b/>
                <w:bCs/>
                <w:kern w:val="2"/>
                <w:sz w:val="21"/>
                <w:szCs w:val="21"/>
                <w:lang w:val="en-US" w:eastAsia="zh-CN" w:bidi="ar-SA"/>
              </w:rPr>
              <w:t xml:space="preserve"> </w:t>
            </w:r>
            <w:r>
              <w:rPr>
                <w:rFonts w:hint="eastAsia"/>
                <w:b/>
                <w:bCs/>
              </w:rPr>
              <w:t>本项目风险源分布、可能影响的途径一览表</w:t>
            </w:r>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1276"/>
              <w:gridCol w:w="968"/>
              <w:gridCol w:w="687"/>
              <w:gridCol w:w="1557"/>
              <w:gridCol w:w="744"/>
              <w:gridCol w:w="2186"/>
            </w:tblGrid>
            <w:tr w14:paraId="06D10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vAlign w:val="center"/>
                </w:tcPr>
                <w:p w14:paraId="350E0D11">
                  <w:pPr>
                    <w:pStyle w:val="56"/>
                    <w:jc w:val="center"/>
                    <w:rPr>
                      <w:color w:val="auto"/>
                    </w:rPr>
                  </w:pPr>
                  <w:r>
                    <w:rPr>
                      <w:rFonts w:hint="eastAsia"/>
                      <w:color w:val="auto"/>
                    </w:rPr>
                    <w:t>事故起因</w:t>
                  </w:r>
                </w:p>
              </w:tc>
              <w:tc>
                <w:tcPr>
                  <w:tcW w:w="1276" w:type="dxa"/>
                  <w:vAlign w:val="center"/>
                </w:tcPr>
                <w:p w14:paraId="5F4F4FBF">
                  <w:pPr>
                    <w:pStyle w:val="56"/>
                    <w:jc w:val="center"/>
                    <w:rPr>
                      <w:color w:val="auto"/>
                    </w:rPr>
                  </w:pPr>
                  <w:r>
                    <w:rPr>
                      <w:rFonts w:hint="eastAsia"/>
                      <w:color w:val="auto"/>
                    </w:rPr>
                    <w:t>环境风险描述</w:t>
                  </w:r>
                </w:p>
              </w:tc>
              <w:tc>
                <w:tcPr>
                  <w:tcW w:w="968" w:type="dxa"/>
                  <w:vAlign w:val="center"/>
                </w:tcPr>
                <w:p w14:paraId="4C2E9948">
                  <w:pPr>
                    <w:pStyle w:val="56"/>
                    <w:jc w:val="center"/>
                    <w:rPr>
                      <w:color w:val="auto"/>
                    </w:rPr>
                  </w:pPr>
                  <w:r>
                    <w:rPr>
                      <w:rFonts w:hint="eastAsia"/>
                      <w:color w:val="auto"/>
                    </w:rPr>
                    <w:t>涉及化学品（污染物）</w:t>
                  </w:r>
                </w:p>
              </w:tc>
              <w:tc>
                <w:tcPr>
                  <w:tcW w:w="687" w:type="dxa"/>
                  <w:vAlign w:val="center"/>
                </w:tcPr>
                <w:p w14:paraId="6032D08B">
                  <w:pPr>
                    <w:pStyle w:val="56"/>
                    <w:jc w:val="center"/>
                    <w:rPr>
                      <w:color w:val="auto"/>
                    </w:rPr>
                  </w:pPr>
                  <w:r>
                    <w:rPr>
                      <w:rFonts w:hint="eastAsia"/>
                      <w:color w:val="auto"/>
                    </w:rPr>
                    <w:t>风险类别</w:t>
                  </w:r>
                </w:p>
              </w:tc>
              <w:tc>
                <w:tcPr>
                  <w:tcW w:w="1557" w:type="dxa"/>
                  <w:vAlign w:val="center"/>
                </w:tcPr>
                <w:p w14:paraId="27E69592">
                  <w:pPr>
                    <w:pStyle w:val="56"/>
                    <w:jc w:val="center"/>
                    <w:rPr>
                      <w:color w:val="auto"/>
                    </w:rPr>
                  </w:pPr>
                  <w:r>
                    <w:rPr>
                      <w:rFonts w:hint="eastAsia"/>
                      <w:color w:val="auto"/>
                    </w:rPr>
                    <w:t>途径及后果</w:t>
                  </w:r>
                </w:p>
              </w:tc>
              <w:tc>
                <w:tcPr>
                  <w:tcW w:w="744" w:type="dxa"/>
                  <w:vAlign w:val="center"/>
                </w:tcPr>
                <w:p w14:paraId="7559B85F">
                  <w:pPr>
                    <w:pStyle w:val="56"/>
                    <w:jc w:val="center"/>
                    <w:rPr>
                      <w:color w:val="auto"/>
                    </w:rPr>
                  </w:pPr>
                  <w:r>
                    <w:rPr>
                      <w:rFonts w:hint="eastAsia"/>
                      <w:color w:val="auto"/>
                    </w:rPr>
                    <w:t>位置</w:t>
                  </w:r>
                </w:p>
              </w:tc>
              <w:tc>
                <w:tcPr>
                  <w:tcW w:w="2186" w:type="dxa"/>
                  <w:vAlign w:val="center"/>
                </w:tcPr>
                <w:p w14:paraId="10BD070C">
                  <w:pPr>
                    <w:pStyle w:val="56"/>
                    <w:jc w:val="center"/>
                    <w:rPr>
                      <w:color w:val="auto"/>
                    </w:rPr>
                  </w:pPr>
                  <w:r>
                    <w:rPr>
                      <w:rFonts w:hint="eastAsia"/>
                      <w:color w:val="auto"/>
                    </w:rPr>
                    <w:t>风险防范措施</w:t>
                  </w:r>
                </w:p>
              </w:tc>
            </w:tr>
            <w:tr w14:paraId="6F46E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vMerge w:val="restart"/>
                  <w:vAlign w:val="center"/>
                </w:tcPr>
                <w:p w14:paraId="466DCD3F">
                  <w:pPr>
                    <w:pStyle w:val="56"/>
                    <w:jc w:val="center"/>
                    <w:rPr>
                      <w:color w:val="auto"/>
                    </w:rPr>
                  </w:pPr>
                  <w:r>
                    <w:rPr>
                      <w:rFonts w:hint="eastAsia"/>
                      <w:color w:val="auto"/>
                    </w:rPr>
                    <w:t>化学品</w:t>
                  </w:r>
                </w:p>
                <w:p w14:paraId="757575E2">
                  <w:pPr>
                    <w:pStyle w:val="56"/>
                    <w:jc w:val="center"/>
                    <w:rPr>
                      <w:color w:val="auto"/>
                    </w:rPr>
                  </w:pPr>
                  <w:r>
                    <w:rPr>
                      <w:rFonts w:hint="eastAsia"/>
                      <w:color w:val="auto"/>
                    </w:rPr>
                    <w:t>泄漏</w:t>
                  </w:r>
                </w:p>
              </w:tc>
              <w:tc>
                <w:tcPr>
                  <w:tcW w:w="1276" w:type="dxa"/>
                  <w:vAlign w:val="center"/>
                </w:tcPr>
                <w:p w14:paraId="34799887">
                  <w:pPr>
                    <w:pStyle w:val="56"/>
                    <w:jc w:val="center"/>
                    <w:rPr>
                      <w:color w:val="auto"/>
                    </w:rPr>
                  </w:pPr>
                  <w:r>
                    <w:rPr>
                      <w:rFonts w:hint="eastAsia"/>
                      <w:color w:val="auto"/>
                    </w:rPr>
                    <w:t>泄漏有毒有害化学品进入大气</w:t>
                  </w:r>
                </w:p>
              </w:tc>
              <w:tc>
                <w:tcPr>
                  <w:tcW w:w="968" w:type="dxa"/>
                  <w:vMerge w:val="restart"/>
                  <w:vAlign w:val="center"/>
                </w:tcPr>
                <w:p w14:paraId="32C97F43">
                  <w:pPr>
                    <w:pStyle w:val="56"/>
                    <w:jc w:val="center"/>
                    <w:rPr>
                      <w:color w:val="auto"/>
                    </w:rPr>
                  </w:pPr>
                  <w:r>
                    <w:rPr>
                      <w:rFonts w:hint="eastAsia"/>
                      <w:color w:val="auto"/>
                    </w:rPr>
                    <w:t>机油</w:t>
                  </w:r>
                </w:p>
              </w:tc>
              <w:tc>
                <w:tcPr>
                  <w:tcW w:w="687" w:type="dxa"/>
                  <w:vAlign w:val="center"/>
                </w:tcPr>
                <w:p w14:paraId="0FCB8153">
                  <w:pPr>
                    <w:pStyle w:val="56"/>
                    <w:jc w:val="center"/>
                    <w:rPr>
                      <w:color w:val="auto"/>
                    </w:rPr>
                  </w:pPr>
                  <w:r>
                    <w:rPr>
                      <w:rFonts w:hint="eastAsia"/>
                      <w:color w:val="auto"/>
                    </w:rPr>
                    <w:t>大气环境</w:t>
                  </w:r>
                </w:p>
              </w:tc>
              <w:tc>
                <w:tcPr>
                  <w:tcW w:w="1557" w:type="dxa"/>
                  <w:vAlign w:val="center"/>
                </w:tcPr>
                <w:p w14:paraId="4F782ED9">
                  <w:pPr>
                    <w:pStyle w:val="56"/>
                    <w:jc w:val="left"/>
                    <w:rPr>
                      <w:rFonts w:hint="eastAsia" w:eastAsia="宋体"/>
                      <w:color w:val="auto"/>
                      <w:lang w:val="en-US" w:eastAsia="zh-CN"/>
                    </w:rPr>
                  </w:pPr>
                  <w:r>
                    <w:rPr>
                      <w:rFonts w:hint="eastAsia"/>
                      <w:color w:val="auto"/>
                    </w:rPr>
                    <w:t>通过挥发，对车间局部大气环境和厂区附近环境造成瞬时影响</w:t>
                  </w:r>
                  <w:r>
                    <w:rPr>
                      <w:rFonts w:hint="eastAsia"/>
                      <w:color w:val="auto"/>
                      <w:lang w:eastAsia="zh-CN"/>
                    </w:rPr>
                    <w:t>。</w:t>
                  </w:r>
                </w:p>
              </w:tc>
              <w:tc>
                <w:tcPr>
                  <w:tcW w:w="744" w:type="dxa"/>
                  <w:vMerge w:val="restart"/>
                  <w:vAlign w:val="center"/>
                </w:tcPr>
                <w:p w14:paraId="01CD1F2B">
                  <w:pPr>
                    <w:pStyle w:val="56"/>
                    <w:jc w:val="center"/>
                    <w:rPr>
                      <w:color w:val="auto"/>
                    </w:rPr>
                  </w:pPr>
                  <w:r>
                    <w:rPr>
                      <w:rFonts w:hint="eastAsia"/>
                      <w:color w:val="auto"/>
                    </w:rPr>
                    <w:t>原料区</w:t>
                  </w:r>
                </w:p>
              </w:tc>
              <w:tc>
                <w:tcPr>
                  <w:tcW w:w="2186" w:type="dxa"/>
                  <w:vMerge w:val="restart"/>
                  <w:vAlign w:val="center"/>
                </w:tcPr>
                <w:p w14:paraId="2BBAADB7">
                  <w:pPr>
                    <w:pStyle w:val="56"/>
                    <w:jc w:val="left"/>
                    <w:rPr>
                      <w:color w:val="auto"/>
                    </w:rPr>
                  </w:pPr>
                  <w:r>
                    <w:rPr>
                      <w:rFonts w:hint="eastAsia"/>
                      <w:color w:val="auto"/>
                    </w:rPr>
                    <w:t>车间铺设符合要求的防渗层，并设置漫坡。现场配置泄漏吸附收集等应急器材，防止</w:t>
                  </w:r>
                </w:p>
                <w:p w14:paraId="0327CC4A">
                  <w:pPr>
                    <w:pStyle w:val="56"/>
                    <w:jc w:val="center"/>
                    <w:rPr>
                      <w:color w:val="auto"/>
                    </w:rPr>
                  </w:pPr>
                  <w:r>
                    <w:rPr>
                      <w:rFonts w:hint="eastAsia"/>
                      <w:color w:val="auto"/>
                    </w:rPr>
                    <w:t>泄漏物挥发和下渗。</w:t>
                  </w:r>
                </w:p>
              </w:tc>
            </w:tr>
            <w:tr w14:paraId="565E7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0" w:type="dxa"/>
                  <w:vMerge w:val="continue"/>
                  <w:vAlign w:val="center"/>
                </w:tcPr>
                <w:p w14:paraId="21FF093A">
                  <w:pPr>
                    <w:pStyle w:val="56"/>
                    <w:jc w:val="center"/>
                    <w:rPr>
                      <w:color w:val="auto"/>
                    </w:rPr>
                  </w:pPr>
                </w:p>
              </w:tc>
              <w:tc>
                <w:tcPr>
                  <w:tcW w:w="1276" w:type="dxa"/>
                  <w:vAlign w:val="center"/>
                </w:tcPr>
                <w:p w14:paraId="1D6C0B52">
                  <w:pPr>
                    <w:pStyle w:val="56"/>
                    <w:jc w:val="center"/>
                    <w:rPr>
                      <w:color w:val="auto"/>
                    </w:rPr>
                  </w:pPr>
                  <w:r>
                    <w:rPr>
                      <w:rFonts w:hint="eastAsia"/>
                      <w:color w:val="auto"/>
                    </w:rPr>
                    <w:t>泄漏化学品进入水体</w:t>
                  </w:r>
                </w:p>
              </w:tc>
              <w:tc>
                <w:tcPr>
                  <w:tcW w:w="968" w:type="dxa"/>
                  <w:vMerge w:val="continue"/>
                  <w:vAlign w:val="center"/>
                </w:tcPr>
                <w:p w14:paraId="4983FB0B">
                  <w:pPr>
                    <w:pStyle w:val="56"/>
                    <w:jc w:val="center"/>
                    <w:rPr>
                      <w:color w:val="auto"/>
                    </w:rPr>
                  </w:pPr>
                </w:p>
              </w:tc>
              <w:tc>
                <w:tcPr>
                  <w:tcW w:w="687" w:type="dxa"/>
                  <w:vMerge w:val="restart"/>
                  <w:vAlign w:val="center"/>
                </w:tcPr>
                <w:p w14:paraId="65037758">
                  <w:pPr>
                    <w:pStyle w:val="56"/>
                    <w:jc w:val="center"/>
                    <w:rPr>
                      <w:color w:val="auto"/>
                    </w:rPr>
                  </w:pPr>
                  <w:r>
                    <w:rPr>
                      <w:rFonts w:hint="eastAsia"/>
                      <w:color w:val="auto"/>
                    </w:rPr>
                    <w:t>水环境</w:t>
                  </w:r>
                </w:p>
              </w:tc>
              <w:tc>
                <w:tcPr>
                  <w:tcW w:w="1557" w:type="dxa"/>
                  <w:vMerge w:val="restart"/>
                  <w:vAlign w:val="center"/>
                </w:tcPr>
                <w:p w14:paraId="3646FBD8">
                  <w:pPr>
                    <w:pStyle w:val="56"/>
                    <w:jc w:val="left"/>
                    <w:rPr>
                      <w:rFonts w:hint="eastAsia" w:eastAsia="宋体"/>
                      <w:color w:val="auto"/>
                      <w:lang w:eastAsia="zh-CN"/>
                    </w:rPr>
                  </w:pPr>
                  <w:r>
                    <w:rPr>
                      <w:rFonts w:hint="eastAsia"/>
                      <w:color w:val="auto"/>
                    </w:rPr>
                    <w:t>通过雨水管排放到附近水体，影响</w:t>
                  </w:r>
                  <w:r>
                    <w:rPr>
                      <w:rFonts w:hint="eastAsia"/>
                      <w:color w:val="auto"/>
                      <w:lang w:val="en-US" w:eastAsia="zh-CN"/>
                    </w:rPr>
                    <w:t>河流</w:t>
                  </w:r>
                  <w:r>
                    <w:rPr>
                      <w:rFonts w:hint="eastAsia"/>
                      <w:color w:val="auto"/>
                    </w:rPr>
                    <w:t>水质，影响水生环境</w:t>
                  </w:r>
                  <w:r>
                    <w:rPr>
                      <w:rFonts w:hint="eastAsia"/>
                      <w:color w:val="auto"/>
                      <w:lang w:eastAsia="zh-CN"/>
                    </w:rPr>
                    <w:t>。</w:t>
                  </w:r>
                </w:p>
              </w:tc>
              <w:tc>
                <w:tcPr>
                  <w:tcW w:w="744" w:type="dxa"/>
                  <w:vMerge w:val="continue"/>
                  <w:vAlign w:val="center"/>
                </w:tcPr>
                <w:p w14:paraId="67E0AA52">
                  <w:pPr>
                    <w:pStyle w:val="56"/>
                    <w:jc w:val="center"/>
                    <w:rPr>
                      <w:color w:val="auto"/>
                    </w:rPr>
                  </w:pPr>
                </w:p>
              </w:tc>
              <w:tc>
                <w:tcPr>
                  <w:tcW w:w="2186" w:type="dxa"/>
                  <w:vMerge w:val="continue"/>
                  <w:vAlign w:val="center"/>
                </w:tcPr>
                <w:p w14:paraId="1773505C">
                  <w:pPr>
                    <w:pStyle w:val="56"/>
                    <w:jc w:val="center"/>
                    <w:rPr>
                      <w:color w:val="auto"/>
                    </w:rPr>
                  </w:pPr>
                </w:p>
              </w:tc>
            </w:tr>
            <w:tr w14:paraId="7907C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vAlign w:val="center"/>
                </w:tcPr>
                <w:p w14:paraId="6E294D7A">
                  <w:pPr>
                    <w:pStyle w:val="56"/>
                    <w:jc w:val="center"/>
                    <w:rPr>
                      <w:color w:val="auto"/>
                    </w:rPr>
                  </w:pPr>
                  <w:r>
                    <w:rPr>
                      <w:rFonts w:hint="eastAsia"/>
                      <w:color w:val="auto"/>
                    </w:rPr>
                    <w:t>危险废物泄漏</w:t>
                  </w:r>
                </w:p>
              </w:tc>
              <w:tc>
                <w:tcPr>
                  <w:tcW w:w="1276" w:type="dxa"/>
                  <w:vAlign w:val="center"/>
                </w:tcPr>
                <w:p w14:paraId="1B37B21F">
                  <w:pPr>
                    <w:pStyle w:val="56"/>
                    <w:jc w:val="center"/>
                    <w:rPr>
                      <w:color w:val="auto"/>
                    </w:rPr>
                  </w:pPr>
                  <w:r>
                    <w:rPr>
                      <w:rFonts w:hint="eastAsia"/>
                      <w:color w:val="auto"/>
                    </w:rPr>
                    <w:t>泄漏危险废物污染地表及地下水</w:t>
                  </w:r>
                </w:p>
              </w:tc>
              <w:tc>
                <w:tcPr>
                  <w:tcW w:w="968" w:type="dxa"/>
                  <w:vAlign w:val="center"/>
                </w:tcPr>
                <w:p w14:paraId="09A96C9A">
                  <w:pPr>
                    <w:pStyle w:val="56"/>
                    <w:jc w:val="center"/>
                    <w:rPr>
                      <w:color w:val="auto"/>
                    </w:rPr>
                  </w:pPr>
                  <w:r>
                    <w:rPr>
                      <w:rFonts w:hint="eastAsia"/>
                      <w:color w:val="auto"/>
                    </w:rPr>
                    <w:t>废机油</w:t>
                  </w:r>
                </w:p>
              </w:tc>
              <w:tc>
                <w:tcPr>
                  <w:tcW w:w="687" w:type="dxa"/>
                  <w:vMerge w:val="continue"/>
                  <w:vAlign w:val="center"/>
                </w:tcPr>
                <w:p w14:paraId="4D38A7D5">
                  <w:pPr>
                    <w:pStyle w:val="56"/>
                    <w:jc w:val="center"/>
                    <w:rPr>
                      <w:color w:val="auto"/>
                    </w:rPr>
                  </w:pPr>
                </w:p>
              </w:tc>
              <w:tc>
                <w:tcPr>
                  <w:tcW w:w="1557" w:type="dxa"/>
                  <w:vMerge w:val="continue"/>
                  <w:vAlign w:val="center"/>
                </w:tcPr>
                <w:p w14:paraId="1BF340E8">
                  <w:pPr>
                    <w:pStyle w:val="56"/>
                    <w:jc w:val="center"/>
                    <w:rPr>
                      <w:color w:val="auto"/>
                    </w:rPr>
                  </w:pPr>
                </w:p>
              </w:tc>
              <w:tc>
                <w:tcPr>
                  <w:tcW w:w="744" w:type="dxa"/>
                  <w:vAlign w:val="center"/>
                </w:tcPr>
                <w:p w14:paraId="5976D255">
                  <w:pPr>
                    <w:pStyle w:val="56"/>
                    <w:jc w:val="center"/>
                    <w:rPr>
                      <w:color w:val="auto"/>
                    </w:rPr>
                  </w:pPr>
                  <w:r>
                    <w:rPr>
                      <w:rFonts w:hint="eastAsia"/>
                      <w:color w:val="auto"/>
                    </w:rPr>
                    <w:t>危险废物暂存间</w:t>
                  </w:r>
                </w:p>
              </w:tc>
              <w:tc>
                <w:tcPr>
                  <w:tcW w:w="2186" w:type="dxa"/>
                  <w:vAlign w:val="center"/>
                </w:tcPr>
                <w:p w14:paraId="24DA725E">
                  <w:pPr>
                    <w:pStyle w:val="56"/>
                    <w:jc w:val="left"/>
                    <w:rPr>
                      <w:color w:val="auto"/>
                    </w:rPr>
                  </w:pPr>
                  <w:r>
                    <w:rPr>
                      <w:rFonts w:hint="eastAsia"/>
                      <w:color w:val="auto"/>
                    </w:rPr>
                    <w:t>危险废物暂存间设置漫坡，铺设符合要求的防渗层，选用符合标准的容器盛装危废。</w:t>
                  </w:r>
                </w:p>
              </w:tc>
            </w:tr>
            <w:tr w14:paraId="4F818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vMerge w:val="restart"/>
                  <w:vAlign w:val="center"/>
                </w:tcPr>
                <w:p w14:paraId="43553285">
                  <w:pPr>
                    <w:pStyle w:val="56"/>
                    <w:jc w:val="center"/>
                    <w:rPr>
                      <w:color w:val="FF0000"/>
                    </w:rPr>
                  </w:pPr>
                  <w:r>
                    <w:rPr>
                      <w:rFonts w:hint="eastAsia"/>
                      <w:color w:val="FF0000"/>
                    </w:rPr>
                    <w:t>爆炸、火灾</w:t>
                  </w:r>
                </w:p>
              </w:tc>
              <w:tc>
                <w:tcPr>
                  <w:tcW w:w="1276" w:type="dxa"/>
                  <w:vAlign w:val="center"/>
                </w:tcPr>
                <w:p w14:paraId="12F943CE">
                  <w:pPr>
                    <w:pStyle w:val="56"/>
                    <w:jc w:val="center"/>
                    <w:rPr>
                      <w:color w:val="FF0000"/>
                    </w:rPr>
                  </w:pPr>
                  <w:r>
                    <w:rPr>
                      <w:rFonts w:hint="eastAsia"/>
                      <w:color w:val="FF0000"/>
                    </w:rPr>
                    <w:t>燃烧烟尘及污染物污染周围大气环境</w:t>
                  </w:r>
                </w:p>
              </w:tc>
              <w:tc>
                <w:tcPr>
                  <w:tcW w:w="968" w:type="dxa"/>
                  <w:vAlign w:val="center"/>
                </w:tcPr>
                <w:p w14:paraId="65EDF2C6">
                  <w:pPr>
                    <w:pStyle w:val="56"/>
                    <w:jc w:val="center"/>
                    <w:rPr>
                      <w:color w:val="auto"/>
                    </w:rPr>
                  </w:pPr>
                  <w:r>
                    <w:rPr>
                      <w:rFonts w:hint="eastAsia"/>
                      <w:color w:val="FF0000"/>
                    </w:rPr>
                    <w:t>CO、NOx</w:t>
                  </w:r>
                </w:p>
              </w:tc>
              <w:tc>
                <w:tcPr>
                  <w:tcW w:w="687" w:type="dxa"/>
                  <w:vAlign w:val="center"/>
                </w:tcPr>
                <w:p w14:paraId="1C3E25E0">
                  <w:pPr>
                    <w:pStyle w:val="56"/>
                    <w:jc w:val="center"/>
                    <w:rPr>
                      <w:color w:val="auto"/>
                    </w:rPr>
                  </w:pPr>
                  <w:r>
                    <w:rPr>
                      <w:rFonts w:hint="eastAsia"/>
                      <w:color w:val="auto"/>
                    </w:rPr>
                    <w:t>大气环境</w:t>
                  </w:r>
                </w:p>
              </w:tc>
              <w:tc>
                <w:tcPr>
                  <w:tcW w:w="1557" w:type="dxa"/>
                  <w:vAlign w:val="center"/>
                </w:tcPr>
                <w:p w14:paraId="2AAFCA95">
                  <w:pPr>
                    <w:pStyle w:val="56"/>
                    <w:jc w:val="center"/>
                    <w:rPr>
                      <w:color w:val="auto"/>
                    </w:rPr>
                  </w:pPr>
                  <w:r>
                    <w:rPr>
                      <w:rFonts w:hint="eastAsia"/>
                      <w:color w:val="auto"/>
                    </w:rPr>
                    <w:t>通过燃烧烟气扩散，对周围大气环境造成短时污染</w:t>
                  </w:r>
                </w:p>
              </w:tc>
              <w:tc>
                <w:tcPr>
                  <w:tcW w:w="744" w:type="dxa"/>
                  <w:vAlign w:val="center"/>
                </w:tcPr>
                <w:p w14:paraId="41781290">
                  <w:pPr>
                    <w:pStyle w:val="56"/>
                    <w:jc w:val="center"/>
                    <w:rPr>
                      <w:color w:val="auto"/>
                    </w:rPr>
                  </w:pPr>
                  <w:r>
                    <w:rPr>
                      <w:rFonts w:hint="eastAsia"/>
                      <w:color w:val="auto"/>
                    </w:rPr>
                    <w:t>生产车间</w:t>
                  </w:r>
                </w:p>
              </w:tc>
              <w:tc>
                <w:tcPr>
                  <w:tcW w:w="2186" w:type="dxa"/>
                  <w:vMerge w:val="restart"/>
                  <w:vAlign w:val="center"/>
                </w:tcPr>
                <w:p w14:paraId="3CDC2AA3">
                  <w:pPr>
                    <w:pStyle w:val="56"/>
                    <w:jc w:val="left"/>
                    <w:rPr>
                      <w:rFonts w:hint="eastAsia" w:eastAsia="宋体"/>
                      <w:color w:val="auto"/>
                      <w:lang w:eastAsia="zh-CN"/>
                    </w:rPr>
                  </w:pPr>
                  <w:r>
                    <w:rPr>
                      <w:rFonts w:hint="eastAsia"/>
                      <w:color w:val="auto"/>
                    </w:rPr>
                    <w:t>落实防止火灾措施，发生火灾时可封堵雨水井</w:t>
                  </w:r>
                  <w:r>
                    <w:rPr>
                      <w:rFonts w:hint="eastAsia"/>
                      <w:color w:val="auto"/>
                      <w:lang w:eastAsia="zh-CN"/>
                    </w:rPr>
                    <w:t>。</w:t>
                  </w:r>
                </w:p>
              </w:tc>
            </w:tr>
            <w:tr w14:paraId="3518E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vMerge w:val="continue"/>
                  <w:vAlign w:val="center"/>
                </w:tcPr>
                <w:p w14:paraId="3311126B">
                  <w:pPr>
                    <w:pStyle w:val="56"/>
                    <w:jc w:val="center"/>
                    <w:rPr>
                      <w:color w:val="auto"/>
                    </w:rPr>
                  </w:pPr>
                </w:p>
              </w:tc>
              <w:tc>
                <w:tcPr>
                  <w:tcW w:w="1276" w:type="dxa"/>
                  <w:vAlign w:val="center"/>
                </w:tcPr>
                <w:p w14:paraId="2AE2E2C1">
                  <w:pPr>
                    <w:pStyle w:val="56"/>
                    <w:jc w:val="center"/>
                    <w:rPr>
                      <w:color w:val="auto"/>
                    </w:rPr>
                  </w:pPr>
                  <w:r>
                    <w:rPr>
                      <w:rFonts w:hint="eastAsia"/>
                      <w:color w:val="auto"/>
                    </w:rPr>
                    <w:t>消防废水进入附近水体</w:t>
                  </w:r>
                </w:p>
              </w:tc>
              <w:tc>
                <w:tcPr>
                  <w:tcW w:w="968" w:type="dxa"/>
                  <w:vAlign w:val="center"/>
                </w:tcPr>
                <w:p w14:paraId="041F1B19">
                  <w:pPr>
                    <w:pStyle w:val="56"/>
                    <w:jc w:val="center"/>
                    <w:rPr>
                      <w:color w:val="auto"/>
                    </w:rPr>
                  </w:pPr>
                  <w:r>
                    <w:rPr>
                      <w:color w:val="auto"/>
                    </w:rPr>
                    <w:t>COD</w:t>
                  </w:r>
                  <w:r>
                    <w:rPr>
                      <w:color w:val="auto"/>
                      <w:vertAlign w:val="subscript"/>
                    </w:rPr>
                    <w:t>Cr</w:t>
                  </w:r>
                  <w:r>
                    <w:rPr>
                      <w:rFonts w:hint="eastAsia"/>
                      <w:color w:val="auto"/>
                    </w:rPr>
                    <w:t>等</w:t>
                  </w:r>
                </w:p>
              </w:tc>
              <w:tc>
                <w:tcPr>
                  <w:tcW w:w="687" w:type="dxa"/>
                  <w:vAlign w:val="center"/>
                </w:tcPr>
                <w:p w14:paraId="07811789">
                  <w:pPr>
                    <w:pStyle w:val="56"/>
                    <w:jc w:val="center"/>
                    <w:rPr>
                      <w:color w:val="auto"/>
                    </w:rPr>
                  </w:pPr>
                  <w:r>
                    <w:rPr>
                      <w:rFonts w:hint="eastAsia"/>
                      <w:color w:val="auto"/>
                    </w:rPr>
                    <w:t>水环境</w:t>
                  </w:r>
                </w:p>
              </w:tc>
              <w:tc>
                <w:tcPr>
                  <w:tcW w:w="1557" w:type="dxa"/>
                  <w:vAlign w:val="center"/>
                </w:tcPr>
                <w:p w14:paraId="4EE73AF8">
                  <w:pPr>
                    <w:pStyle w:val="56"/>
                    <w:jc w:val="center"/>
                    <w:rPr>
                      <w:color w:val="auto"/>
                    </w:rPr>
                  </w:pPr>
                  <w:r>
                    <w:rPr>
                      <w:rFonts w:hint="eastAsia"/>
                      <w:color w:val="auto"/>
                    </w:rPr>
                    <w:t>通过雨水管对附近内河涌水</w:t>
                  </w:r>
                </w:p>
                <w:p w14:paraId="204DB717">
                  <w:pPr>
                    <w:pStyle w:val="56"/>
                    <w:jc w:val="left"/>
                    <w:rPr>
                      <w:color w:val="auto"/>
                    </w:rPr>
                  </w:pPr>
                  <w:r>
                    <w:rPr>
                      <w:rFonts w:hint="eastAsia"/>
                      <w:color w:val="auto"/>
                    </w:rPr>
                    <w:t>质造成影响</w:t>
                  </w:r>
                </w:p>
              </w:tc>
              <w:tc>
                <w:tcPr>
                  <w:tcW w:w="744" w:type="dxa"/>
                  <w:vAlign w:val="center"/>
                </w:tcPr>
                <w:p w14:paraId="705B9E07">
                  <w:pPr>
                    <w:pStyle w:val="56"/>
                    <w:jc w:val="center"/>
                    <w:rPr>
                      <w:color w:val="auto"/>
                    </w:rPr>
                  </w:pPr>
                  <w:r>
                    <w:rPr>
                      <w:rFonts w:hint="eastAsia"/>
                      <w:color w:val="auto"/>
                    </w:rPr>
                    <w:t>生产车间</w:t>
                  </w:r>
                </w:p>
              </w:tc>
              <w:tc>
                <w:tcPr>
                  <w:tcW w:w="2186" w:type="dxa"/>
                  <w:vMerge w:val="continue"/>
                  <w:vAlign w:val="center"/>
                </w:tcPr>
                <w:p w14:paraId="6F687867">
                  <w:pPr>
                    <w:pStyle w:val="56"/>
                    <w:jc w:val="center"/>
                    <w:rPr>
                      <w:color w:val="auto"/>
                    </w:rPr>
                  </w:pPr>
                </w:p>
              </w:tc>
            </w:tr>
          </w:tbl>
          <w:p w14:paraId="08A0CE36">
            <w:pPr>
              <w:ind w:firstLine="480"/>
            </w:pPr>
            <w:r>
              <w:rPr>
                <w:rFonts w:hint="eastAsia"/>
              </w:rPr>
              <w:t>通过对同类型企业产生风险情况类比，本项目可能出现的环境风险主要为火灾引发的次生环境影响。火灾、爆炸时会产生大量的大气污染物污染大气环境；在灭火过程中，消防喷水、泡沫喷淋等均会产生废水污染地表水体。火灾大气污染主要物质是SO</w:t>
            </w:r>
            <w:r>
              <w:rPr>
                <w:rFonts w:hint="eastAsia"/>
                <w:vertAlign w:val="subscript"/>
              </w:rPr>
              <w:t>X</w:t>
            </w:r>
            <w:r>
              <w:rPr>
                <w:rFonts w:hint="eastAsia"/>
              </w:rPr>
              <w:t>、NOx、CO、碳氢化合物等，来源于厂内的可燃物。火灾发生期间，周边空气因火灾燃烧产生的废气受到不利影响。火灾水污染主要物质是</w:t>
            </w:r>
            <w:r>
              <w:rPr>
                <w:rFonts w:hint="eastAsia"/>
                <w:sz w:val="24"/>
                <w:szCs w:val="24"/>
              </w:rPr>
              <w:t>COD</w:t>
            </w:r>
            <w:r>
              <w:rPr>
                <w:rFonts w:hint="eastAsia"/>
                <w:sz w:val="24"/>
                <w:szCs w:val="24"/>
                <w:vertAlign w:val="subscript"/>
              </w:rPr>
              <w:t>Cr</w:t>
            </w:r>
            <w:r>
              <w:rPr>
                <w:rFonts w:hint="eastAsia"/>
              </w:rPr>
              <w:t>等，来源于厂内的可燃物。消防水在灭火和应急救援中，水体因排放的消防废水的介入，而导致其化学、物理、生物等方面特性的改变，从而影响水的有效利用，危害人体健康或破坏生态环境，造成水质恶化。</w:t>
            </w:r>
          </w:p>
          <w:p w14:paraId="46973C05">
            <w:pPr>
              <w:ind w:firstLine="482"/>
              <w:rPr>
                <w:b/>
                <w:bCs/>
              </w:rPr>
            </w:pPr>
            <w:r>
              <w:rPr>
                <w:rFonts w:hint="eastAsia"/>
                <w:b/>
                <w:bCs/>
              </w:rPr>
              <w:t>（</w:t>
            </w:r>
            <w:r>
              <w:rPr>
                <w:b/>
                <w:bCs/>
              </w:rPr>
              <w:t>3</w:t>
            </w:r>
            <w:r>
              <w:rPr>
                <w:rFonts w:hint="eastAsia"/>
                <w:b/>
                <w:bCs/>
              </w:rPr>
              <w:t>）环境风险防范措施</w:t>
            </w:r>
          </w:p>
          <w:p w14:paraId="3A297F19">
            <w:pPr>
              <w:pStyle w:val="155"/>
              <w:ind w:firstLine="480"/>
              <w:rPr>
                <w:color w:val="auto"/>
              </w:rPr>
            </w:pPr>
            <w:r>
              <w:rPr>
                <w:rFonts w:hint="eastAsia"/>
                <w:color w:val="auto"/>
              </w:rPr>
              <w:t>①环境风险防范</w:t>
            </w:r>
          </w:p>
          <w:p w14:paraId="49B75007">
            <w:pPr>
              <w:ind w:firstLine="480"/>
              <w:rPr>
                <w:rFonts w:hint="default" w:eastAsia="宋体"/>
                <w:color w:val="FF0000"/>
                <w:lang w:val="en-US" w:eastAsia="zh-CN"/>
              </w:rPr>
            </w:pPr>
            <w:r>
              <w:rPr>
                <w:rFonts w:hint="eastAsia"/>
                <w:color w:val="auto"/>
              </w:rPr>
              <w:t>易燃原辅料及产物必须设置专用场地进行分区管理，并设置专人管理，原辅料进出场必须进行核查登记，并定期检查库存；配备消防栓和消防灭火器材等灭火装置，预留安全疏散通道；参考《建筑设计防火规范》（GB50016-2014）相关规定，在厂区四周角落处加强防渗处理和在厂房出入口设置5cm高的阻挡慢坡，发生火灾事故时，防止消防废水溢出；设计</w:t>
            </w:r>
            <w:r>
              <w:rPr>
                <w:color w:val="auto"/>
              </w:rPr>
              <w:t>时应将消防水导流至事故应急池</w:t>
            </w:r>
            <w:r>
              <w:rPr>
                <w:rFonts w:hint="eastAsia"/>
                <w:color w:val="auto"/>
              </w:rPr>
              <w:t>，再做进一步处置。</w:t>
            </w:r>
            <w:r>
              <w:rPr>
                <w:rFonts w:hint="eastAsia"/>
                <w:color w:val="FF0000"/>
                <w:lang w:val="en-US" w:eastAsia="zh-CN"/>
              </w:rPr>
              <w:t>本项目不属于化工项目等高环境风险项目，因此不设置事故池。</w:t>
            </w:r>
          </w:p>
          <w:p w14:paraId="283AC7AE">
            <w:pPr>
              <w:ind w:firstLine="480"/>
            </w:pPr>
            <w:r>
              <w:rPr>
                <w:rFonts w:hint="eastAsia"/>
              </w:rPr>
              <w:t>加强废气治理设备及管路阀门等维护，发现问题及时解决。控制车间和除尘器、生产设备的粉尘浓度、现场杜绝火种。车间内务必严禁烟火、定时检查电线线路等等。控制车间和除尘器、生产设备粉尘浓度需同时做到：在每个产尘点都配置吸尘装置、吸尘口的负压和风量都应满足实际的工况需要、采用防爆型集尘主机、先进有效的自动清灰装置、防静电滤筒、及时清理堆积灰尘、安装粉尘浓度报警器等。针对堆积在地面墙壁的粉尘的清理，建议</w:t>
            </w:r>
            <w:r>
              <w:rPr>
                <w:rFonts w:hint="eastAsia"/>
                <w:lang w:eastAsia="zh-CN"/>
              </w:rPr>
              <w:t>设置</w:t>
            </w:r>
            <w:r>
              <w:rPr>
                <w:rFonts w:hint="eastAsia"/>
              </w:rPr>
              <w:t>工业吸尘器，定期吸尘处理。员工上岗前，除进行一般安全培训外，还应进行粉尘防爆的专业培训。培训内容应包括粉尘特性及自身工作岗位的危险因素；防爆设施的使用、维护；粉尘爆炸应急响应程序和救援；个体防护措施及事故。</w:t>
            </w:r>
          </w:p>
          <w:p w14:paraId="705D4E17">
            <w:pPr>
              <w:ind w:firstLine="480"/>
            </w:pPr>
            <w:r>
              <w:rPr>
                <w:rFonts w:hint="eastAsia"/>
              </w:rPr>
              <w:t>②应急要求</w:t>
            </w:r>
          </w:p>
          <w:p w14:paraId="45FA60BE">
            <w:pPr>
              <w:ind w:firstLine="480"/>
            </w:pPr>
            <w:r>
              <w:rPr>
                <w:rFonts w:hint="eastAsia"/>
              </w:rPr>
              <w:t>针对本项目可能带来的环境风险，提出以下应急要求：建立事故应急预案，成立事故应急处理小组，由安全负责人担任事故应急小组组长，一旦发生火灾等事故，应立即启动事故应急预案，并向有关环境主管部门汇报情况，协助环境管理部门进行应急监测等工作。生产车间内应配备灭火器、消防砂箱和防毒面具等消防应急设备，并定期检查设备有效性。</w:t>
            </w:r>
          </w:p>
          <w:p w14:paraId="4C468075">
            <w:pPr>
              <w:ind w:firstLine="480"/>
            </w:pPr>
            <w:r>
              <w:rPr>
                <w:rFonts w:hint="eastAsia"/>
              </w:rPr>
              <w:t>参考《建筑设计防火规范》（GB50016-2014）相关规定，在厂区四周角落处加强防渗处理和在厂房出入口设5cm高的阻挡慢坡，发生火灾事故时，防止消防废水溢出。发生火灾事故，事故处理完毕后应用防爆泵将消防下水转移至事故应急</w:t>
            </w:r>
            <w:r>
              <w:t>池</w:t>
            </w:r>
            <w:r>
              <w:rPr>
                <w:rFonts w:hint="eastAsia"/>
              </w:rPr>
              <w:t>，再做进一步处置。废气治理设施发生故障时应立即停止生产，对设施进行检查及维修。控制车间和除尘器、生产设备粉尘浓度，超过警报浓度时应立即停止生产。</w:t>
            </w:r>
          </w:p>
          <w:p w14:paraId="4A751AA6">
            <w:pPr>
              <w:ind w:firstLine="480"/>
            </w:pPr>
            <w:r>
              <w:rPr>
                <w:rFonts w:hint="eastAsia"/>
              </w:rPr>
              <w:t>（</w:t>
            </w:r>
            <w:r>
              <w:t>4</w:t>
            </w:r>
            <w:r>
              <w:rPr>
                <w:rFonts w:hint="eastAsia"/>
              </w:rPr>
              <w:t>）风险评价结论</w:t>
            </w:r>
          </w:p>
          <w:p w14:paraId="7F2F75E4">
            <w:pPr>
              <w:ind w:firstLine="480"/>
            </w:pPr>
            <w:r>
              <w:rPr>
                <w:rFonts w:hint="eastAsia"/>
              </w:rPr>
              <w:t>综上</w:t>
            </w:r>
            <w:r>
              <w:t>，</w:t>
            </w:r>
            <w:r>
              <w:rPr>
                <w:rFonts w:hint="eastAsia"/>
              </w:rPr>
              <w:t>本项目应严格按照国家安全规范及国家相关规定加强安全监督管理，建议</w:t>
            </w:r>
            <w:r>
              <w:t>建设单位</w:t>
            </w:r>
            <w:r>
              <w:rPr>
                <w:rFonts w:hint="eastAsia"/>
              </w:rPr>
              <w:t>委托</w:t>
            </w:r>
            <w:r>
              <w:t>专业机构编制环境风险应急预案</w:t>
            </w:r>
            <w:r>
              <w:rPr>
                <w:rFonts w:hint="eastAsia"/>
              </w:rPr>
              <w:t>，对出现的环境风险及时采取措施，对隐患坚决消除，将本项目的环境风险发生的机率控制在最小水平，对周围环境的影响可得到控制。</w:t>
            </w:r>
          </w:p>
          <w:p w14:paraId="099653F1">
            <w:pPr>
              <w:ind w:firstLine="480"/>
            </w:pPr>
            <w:r>
              <w:rPr>
                <w:rFonts w:hint="eastAsia"/>
              </w:rPr>
              <w:t>（</w:t>
            </w:r>
            <w:r>
              <w:t>5</w:t>
            </w:r>
            <w:r>
              <w:rPr>
                <w:rFonts w:hint="eastAsia"/>
              </w:rPr>
              <w:t>）建设项目环境风险简单分析内容表</w:t>
            </w:r>
          </w:p>
          <w:p w14:paraId="12B32C23">
            <w:pPr>
              <w:ind w:firstLine="480"/>
              <w:rPr>
                <w:rFonts w:hint="eastAsia"/>
              </w:rPr>
            </w:pPr>
            <w:r>
              <w:rPr>
                <w:rFonts w:hint="eastAsia"/>
              </w:rPr>
              <w:t>本项目</w:t>
            </w:r>
            <w:r>
              <w:t>环境风险</w:t>
            </w:r>
            <w:r>
              <w:rPr>
                <w:rFonts w:hint="eastAsia"/>
              </w:rPr>
              <w:t>简单</w:t>
            </w:r>
            <w:r>
              <w:t>分析</w:t>
            </w:r>
            <w:r>
              <w:rPr>
                <w:rFonts w:hint="eastAsia"/>
              </w:rPr>
              <w:t>见</w:t>
            </w:r>
            <w:r>
              <w:t>表</w:t>
            </w:r>
            <w:r>
              <w:rPr>
                <w:rFonts w:hint="eastAsia"/>
              </w:rPr>
              <w:t>4-</w:t>
            </w:r>
            <w:r>
              <w:rPr>
                <w:rFonts w:hint="eastAsia"/>
                <w:lang w:val="en-US" w:eastAsia="zh-CN"/>
              </w:rPr>
              <w:t>22</w:t>
            </w:r>
            <w:r>
              <w:rPr>
                <w:rFonts w:hint="eastAsia"/>
              </w:rPr>
              <w:t>。</w:t>
            </w:r>
          </w:p>
          <w:p w14:paraId="0FF14157">
            <w:pPr>
              <w:pStyle w:val="59"/>
              <w:numPr>
                <w:ilvl w:val="0"/>
                <w:numId w:val="0"/>
              </w:numPr>
              <w:tabs>
                <w:tab w:val="left" w:pos="0"/>
              </w:tabs>
              <w:ind w:left="0" w:leftChars="0" w:firstLine="0" w:firstLineChars="0"/>
              <w:rPr>
                <w:b/>
                <w:bCs/>
              </w:rPr>
            </w:pPr>
            <w:r>
              <w:rPr>
                <w:rFonts w:hint="default" w:ascii="Times New Roman" w:hAnsi="Times New Roman" w:eastAsia="宋体" w:cs="Times New Roman"/>
                <w:b/>
                <w:bCs/>
                <w:kern w:val="2"/>
                <w:sz w:val="21"/>
                <w:szCs w:val="21"/>
                <w:lang w:val="en-US" w:eastAsia="zh-CN" w:bidi="ar-SA"/>
              </w:rPr>
              <w:t>表4-</w:t>
            </w:r>
            <w:r>
              <w:rPr>
                <w:rFonts w:hint="eastAsia" w:cs="Times New Roman"/>
                <w:b/>
                <w:bCs/>
                <w:kern w:val="2"/>
                <w:sz w:val="21"/>
                <w:szCs w:val="21"/>
                <w:lang w:val="en-US" w:eastAsia="zh-CN" w:bidi="ar-SA"/>
              </w:rPr>
              <w:t>22</w:t>
            </w:r>
            <w:r>
              <w:rPr>
                <w:rFonts w:hint="default" w:ascii="Times New Roman" w:hAnsi="Times New Roman" w:eastAsia="宋体" w:cs="Times New Roman"/>
                <w:b/>
                <w:bCs/>
                <w:kern w:val="2"/>
                <w:sz w:val="21"/>
                <w:szCs w:val="21"/>
                <w:lang w:val="en-US" w:eastAsia="zh-CN" w:bidi="ar-SA"/>
              </w:rPr>
              <w:t xml:space="preserve"> </w:t>
            </w:r>
            <w:r>
              <w:rPr>
                <w:rFonts w:hint="eastAsia"/>
                <w:b/>
                <w:bCs/>
              </w:rPr>
              <w:t>建设项目环境风险简单分析内容表</w:t>
            </w:r>
          </w:p>
          <w:tbl>
            <w:tblPr>
              <w:tblStyle w:val="41"/>
              <w:tblW w:w="4997"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390"/>
              <w:gridCol w:w="1134"/>
              <w:gridCol w:w="1221"/>
              <w:gridCol w:w="1274"/>
              <w:gridCol w:w="856"/>
              <w:gridCol w:w="2343"/>
            </w:tblGrid>
            <w:tr w14:paraId="77B6B9F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846" w:type="pct"/>
                  <w:tcBorders>
                    <w:tl2br w:val="nil"/>
                    <w:tr2bl w:val="nil"/>
                  </w:tcBorders>
                  <w:vAlign w:val="center"/>
                </w:tcPr>
                <w:p w14:paraId="237001A5">
                  <w:pPr>
                    <w:pStyle w:val="56"/>
                    <w:jc w:val="center"/>
                    <w:rPr>
                      <w:color w:val="auto"/>
                    </w:rPr>
                  </w:pPr>
                  <w:r>
                    <w:rPr>
                      <w:color w:val="auto"/>
                    </w:rPr>
                    <w:t>建设项目名称</w:t>
                  </w:r>
                </w:p>
              </w:tc>
              <w:tc>
                <w:tcPr>
                  <w:tcW w:w="4153" w:type="pct"/>
                  <w:gridSpan w:val="5"/>
                  <w:tcBorders>
                    <w:tl2br w:val="nil"/>
                    <w:tr2bl w:val="nil"/>
                  </w:tcBorders>
                  <w:vAlign w:val="center"/>
                </w:tcPr>
                <w:p w14:paraId="7D097C78">
                  <w:pPr>
                    <w:spacing w:line="360" w:lineRule="exact"/>
                    <w:ind w:firstLine="0" w:firstLineChars="0"/>
                    <w:jc w:val="left"/>
                    <w:rPr>
                      <w:rFonts w:hint="eastAsia" w:eastAsia="宋体"/>
                      <w:color w:val="auto"/>
                      <w:lang w:eastAsia="zh-CN"/>
                    </w:rPr>
                  </w:pPr>
                  <w:r>
                    <w:rPr>
                      <w:rFonts w:hint="eastAsia"/>
                      <w:color w:val="auto"/>
                      <w:sz w:val="21"/>
                      <w:szCs w:val="21"/>
                      <w:lang w:eastAsia="zh-CN"/>
                    </w:rPr>
                    <w:t>江西中超建设工程有限公司高安分公司江西电力科技成果转化中心建设项目</w:t>
                  </w:r>
                </w:p>
              </w:tc>
            </w:tr>
            <w:tr w14:paraId="04BA030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846" w:type="pct"/>
                  <w:tcBorders>
                    <w:tl2br w:val="nil"/>
                    <w:tr2bl w:val="nil"/>
                  </w:tcBorders>
                  <w:vAlign w:val="center"/>
                </w:tcPr>
                <w:p w14:paraId="6641220F">
                  <w:pPr>
                    <w:pStyle w:val="56"/>
                    <w:jc w:val="center"/>
                    <w:rPr>
                      <w:color w:val="auto"/>
                    </w:rPr>
                  </w:pPr>
                  <w:r>
                    <w:rPr>
                      <w:color w:val="auto"/>
                    </w:rPr>
                    <w:t>建设地点</w:t>
                  </w:r>
                </w:p>
              </w:tc>
              <w:tc>
                <w:tcPr>
                  <w:tcW w:w="690" w:type="pct"/>
                  <w:tcBorders>
                    <w:tl2br w:val="nil"/>
                    <w:tr2bl w:val="nil"/>
                  </w:tcBorders>
                  <w:vAlign w:val="center"/>
                </w:tcPr>
                <w:p w14:paraId="76FF9F4A">
                  <w:pPr>
                    <w:pStyle w:val="56"/>
                    <w:jc w:val="center"/>
                    <w:rPr>
                      <w:color w:val="auto"/>
                    </w:rPr>
                  </w:pPr>
                  <w:r>
                    <w:rPr>
                      <w:color w:val="auto"/>
                    </w:rPr>
                    <w:t>江西省</w:t>
                  </w:r>
                </w:p>
              </w:tc>
              <w:tc>
                <w:tcPr>
                  <w:tcW w:w="743" w:type="pct"/>
                  <w:tcBorders>
                    <w:tl2br w:val="nil"/>
                    <w:tr2bl w:val="nil"/>
                  </w:tcBorders>
                  <w:vAlign w:val="center"/>
                </w:tcPr>
                <w:p w14:paraId="21EB9F11">
                  <w:pPr>
                    <w:pStyle w:val="56"/>
                    <w:jc w:val="center"/>
                    <w:rPr>
                      <w:color w:val="auto"/>
                    </w:rPr>
                  </w:pPr>
                  <w:r>
                    <w:rPr>
                      <w:rFonts w:hint="eastAsia"/>
                      <w:color w:val="auto"/>
                    </w:rPr>
                    <w:t>宜春市</w:t>
                  </w:r>
                </w:p>
              </w:tc>
              <w:tc>
                <w:tcPr>
                  <w:tcW w:w="774" w:type="pct"/>
                  <w:tcBorders>
                    <w:tl2br w:val="nil"/>
                    <w:tr2bl w:val="nil"/>
                  </w:tcBorders>
                  <w:vAlign w:val="center"/>
                </w:tcPr>
                <w:p w14:paraId="4248C208">
                  <w:pPr>
                    <w:pStyle w:val="56"/>
                    <w:jc w:val="center"/>
                    <w:rPr>
                      <w:color w:val="auto"/>
                    </w:rPr>
                  </w:pPr>
                  <w:r>
                    <w:rPr>
                      <w:color w:val="auto"/>
                    </w:rPr>
                    <w:t>（/）区</w:t>
                  </w:r>
                </w:p>
              </w:tc>
              <w:tc>
                <w:tcPr>
                  <w:tcW w:w="521" w:type="pct"/>
                  <w:tcBorders>
                    <w:tl2br w:val="nil"/>
                    <w:tr2bl w:val="nil"/>
                  </w:tcBorders>
                  <w:vAlign w:val="center"/>
                </w:tcPr>
                <w:p w14:paraId="51EE75A6">
                  <w:pPr>
                    <w:pStyle w:val="56"/>
                    <w:jc w:val="center"/>
                    <w:rPr>
                      <w:color w:val="auto"/>
                    </w:rPr>
                  </w:pPr>
                  <w:r>
                    <w:rPr>
                      <w:rFonts w:hint="eastAsia"/>
                      <w:color w:val="auto"/>
                    </w:rPr>
                    <w:t>高安市</w:t>
                  </w:r>
                </w:p>
              </w:tc>
              <w:tc>
                <w:tcPr>
                  <w:tcW w:w="1423" w:type="pct"/>
                  <w:tcBorders>
                    <w:tl2br w:val="nil"/>
                    <w:tr2bl w:val="nil"/>
                  </w:tcBorders>
                  <w:vAlign w:val="center"/>
                </w:tcPr>
                <w:p w14:paraId="26E5CF4D">
                  <w:pPr>
                    <w:pStyle w:val="56"/>
                    <w:jc w:val="center"/>
                    <w:rPr>
                      <w:color w:val="auto"/>
                    </w:rPr>
                  </w:pPr>
                  <w:r>
                    <w:rPr>
                      <w:rFonts w:hint="eastAsia"/>
                      <w:color w:val="auto"/>
                    </w:rPr>
                    <w:t>高新技术产业园</w:t>
                  </w:r>
                </w:p>
              </w:tc>
            </w:tr>
            <w:tr w14:paraId="08A43DC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32" w:hRule="atLeast"/>
                <w:jc w:val="center"/>
              </w:trPr>
              <w:tc>
                <w:tcPr>
                  <w:tcW w:w="846" w:type="pct"/>
                  <w:tcBorders>
                    <w:tl2br w:val="nil"/>
                    <w:tr2bl w:val="nil"/>
                  </w:tcBorders>
                  <w:vAlign w:val="center"/>
                </w:tcPr>
                <w:p w14:paraId="0DFD532F">
                  <w:pPr>
                    <w:pStyle w:val="56"/>
                    <w:jc w:val="center"/>
                    <w:rPr>
                      <w:color w:val="auto"/>
                    </w:rPr>
                  </w:pPr>
                  <w:r>
                    <w:rPr>
                      <w:color w:val="auto"/>
                    </w:rPr>
                    <w:t>地理坐标</w:t>
                  </w:r>
                </w:p>
              </w:tc>
              <w:tc>
                <w:tcPr>
                  <w:tcW w:w="690" w:type="pct"/>
                  <w:tcBorders>
                    <w:tl2br w:val="nil"/>
                    <w:tr2bl w:val="nil"/>
                  </w:tcBorders>
                  <w:vAlign w:val="center"/>
                </w:tcPr>
                <w:p w14:paraId="2A8D37C0">
                  <w:pPr>
                    <w:pStyle w:val="56"/>
                    <w:jc w:val="center"/>
                    <w:rPr>
                      <w:color w:val="auto"/>
                    </w:rPr>
                  </w:pPr>
                  <w:r>
                    <w:rPr>
                      <w:rFonts w:hint="eastAsia"/>
                      <w:color w:val="auto"/>
                    </w:rPr>
                    <w:t>经度</w:t>
                  </w:r>
                </w:p>
              </w:tc>
              <w:tc>
                <w:tcPr>
                  <w:tcW w:w="1518" w:type="pct"/>
                  <w:gridSpan w:val="2"/>
                  <w:tcBorders>
                    <w:tl2br w:val="nil"/>
                    <w:tr2bl w:val="nil"/>
                  </w:tcBorders>
                  <w:vAlign w:val="center"/>
                </w:tcPr>
                <w:p w14:paraId="6E60F31B">
                  <w:pPr>
                    <w:pStyle w:val="56"/>
                    <w:jc w:val="center"/>
                    <w:rPr>
                      <w:color w:val="auto"/>
                    </w:rPr>
                  </w:pPr>
                  <w:r>
                    <w:rPr>
                      <w:rFonts w:hint="eastAsia"/>
                      <w:color w:val="auto"/>
                    </w:rPr>
                    <w:t>东经115°28′16.983″</w:t>
                  </w:r>
                </w:p>
              </w:tc>
              <w:tc>
                <w:tcPr>
                  <w:tcW w:w="521" w:type="pct"/>
                  <w:tcBorders>
                    <w:tl2br w:val="nil"/>
                    <w:tr2bl w:val="nil"/>
                  </w:tcBorders>
                  <w:vAlign w:val="center"/>
                </w:tcPr>
                <w:p w14:paraId="35EC88BB">
                  <w:pPr>
                    <w:pStyle w:val="56"/>
                    <w:jc w:val="center"/>
                    <w:rPr>
                      <w:color w:val="auto"/>
                    </w:rPr>
                  </w:pPr>
                  <w:r>
                    <w:rPr>
                      <w:color w:val="auto"/>
                    </w:rPr>
                    <w:t>纬度</w:t>
                  </w:r>
                </w:p>
              </w:tc>
              <w:tc>
                <w:tcPr>
                  <w:tcW w:w="1423" w:type="pct"/>
                  <w:tcBorders>
                    <w:tl2br w:val="nil"/>
                    <w:tr2bl w:val="nil"/>
                  </w:tcBorders>
                  <w:vAlign w:val="center"/>
                </w:tcPr>
                <w:p w14:paraId="708340C6">
                  <w:pPr>
                    <w:pStyle w:val="56"/>
                    <w:jc w:val="center"/>
                    <w:rPr>
                      <w:color w:val="auto"/>
                    </w:rPr>
                  </w:pPr>
                  <w:r>
                    <w:rPr>
                      <w:rFonts w:hint="eastAsia"/>
                      <w:color w:val="auto"/>
                    </w:rPr>
                    <w:t>北纬28°29′6.178″</w:t>
                  </w:r>
                </w:p>
              </w:tc>
            </w:tr>
            <w:tr w14:paraId="3DC528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846" w:type="pct"/>
                  <w:tcBorders>
                    <w:tl2br w:val="nil"/>
                    <w:tr2bl w:val="nil"/>
                  </w:tcBorders>
                  <w:vAlign w:val="center"/>
                </w:tcPr>
                <w:p w14:paraId="73760168">
                  <w:pPr>
                    <w:pStyle w:val="56"/>
                    <w:jc w:val="center"/>
                    <w:rPr>
                      <w:color w:val="auto"/>
                    </w:rPr>
                  </w:pPr>
                  <w:r>
                    <w:rPr>
                      <w:color w:val="auto"/>
                    </w:rPr>
                    <w:t>主要危险物质及分布</w:t>
                  </w:r>
                </w:p>
              </w:tc>
              <w:tc>
                <w:tcPr>
                  <w:tcW w:w="4153" w:type="pct"/>
                  <w:gridSpan w:val="5"/>
                  <w:tcBorders>
                    <w:tl2br w:val="nil"/>
                    <w:tr2bl w:val="nil"/>
                  </w:tcBorders>
                  <w:vAlign w:val="center"/>
                </w:tcPr>
                <w:p w14:paraId="6DCC9296">
                  <w:pPr>
                    <w:pStyle w:val="56"/>
                    <w:jc w:val="center"/>
                    <w:rPr>
                      <w:rFonts w:hint="eastAsia" w:eastAsia="宋体"/>
                      <w:color w:val="auto"/>
                      <w:lang w:val="en-US" w:eastAsia="zh-CN"/>
                    </w:rPr>
                  </w:pPr>
                  <w:r>
                    <w:rPr>
                      <w:rFonts w:hint="eastAsia"/>
                      <w:color w:val="auto"/>
                    </w:rPr>
                    <w:t>主要</w:t>
                  </w:r>
                  <w:r>
                    <w:rPr>
                      <w:color w:val="auto"/>
                    </w:rPr>
                    <w:t>危险物质为</w:t>
                  </w:r>
                  <w:r>
                    <w:rPr>
                      <w:rFonts w:hint="eastAsia"/>
                      <w:color w:val="auto"/>
                      <w:lang w:val="en-US" w:eastAsia="zh-CN"/>
                    </w:rPr>
                    <w:t>机油及废</w:t>
                  </w:r>
                  <w:r>
                    <w:rPr>
                      <w:rFonts w:hint="eastAsia"/>
                      <w:color w:val="auto"/>
                    </w:rPr>
                    <w:t>油类物质</w:t>
                  </w:r>
                  <w:r>
                    <w:rPr>
                      <w:color w:val="auto"/>
                    </w:rPr>
                    <w:t>，</w:t>
                  </w:r>
                  <w:r>
                    <w:rPr>
                      <w:rFonts w:hint="eastAsia"/>
                      <w:color w:val="auto"/>
                    </w:rPr>
                    <w:t>分布于</w:t>
                  </w:r>
                  <w:r>
                    <w:rPr>
                      <w:rFonts w:hint="eastAsia"/>
                      <w:color w:val="auto"/>
                      <w:lang w:val="en-US" w:eastAsia="zh-CN"/>
                    </w:rPr>
                    <w:t>原料区、</w:t>
                  </w:r>
                  <w:r>
                    <w:rPr>
                      <w:rFonts w:hint="eastAsia"/>
                      <w:color w:val="auto"/>
                    </w:rPr>
                    <w:t>危废</w:t>
                  </w:r>
                  <w:r>
                    <w:rPr>
                      <w:color w:val="auto"/>
                    </w:rPr>
                    <w:t>暂存</w:t>
                  </w:r>
                  <w:r>
                    <w:rPr>
                      <w:rFonts w:hint="eastAsia"/>
                      <w:color w:val="auto"/>
                    </w:rPr>
                    <w:t>区</w:t>
                  </w:r>
                  <w:r>
                    <w:rPr>
                      <w:rFonts w:hint="eastAsia"/>
                      <w:color w:val="auto"/>
                      <w:lang w:eastAsia="zh-CN"/>
                    </w:rPr>
                    <w:t>。</w:t>
                  </w:r>
                </w:p>
              </w:tc>
            </w:tr>
            <w:tr w14:paraId="61E101C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846" w:type="pct"/>
                  <w:tcBorders>
                    <w:tl2br w:val="nil"/>
                    <w:tr2bl w:val="nil"/>
                  </w:tcBorders>
                  <w:vAlign w:val="center"/>
                </w:tcPr>
                <w:p w14:paraId="521F4F24">
                  <w:pPr>
                    <w:pStyle w:val="56"/>
                    <w:jc w:val="center"/>
                    <w:rPr>
                      <w:color w:val="auto"/>
                    </w:rPr>
                  </w:pPr>
                  <w:r>
                    <w:rPr>
                      <w:color w:val="auto"/>
                    </w:rPr>
                    <w:t>环境影响途径及危害后果</w:t>
                  </w:r>
                </w:p>
              </w:tc>
              <w:tc>
                <w:tcPr>
                  <w:tcW w:w="4153" w:type="pct"/>
                  <w:gridSpan w:val="5"/>
                  <w:tcBorders>
                    <w:tl2br w:val="nil"/>
                    <w:tr2bl w:val="nil"/>
                  </w:tcBorders>
                  <w:vAlign w:val="center"/>
                </w:tcPr>
                <w:p w14:paraId="372EBF69">
                  <w:pPr>
                    <w:pStyle w:val="56"/>
                    <w:jc w:val="left"/>
                    <w:rPr>
                      <w:color w:val="auto"/>
                    </w:rPr>
                  </w:pPr>
                  <w:r>
                    <w:rPr>
                      <w:rFonts w:hint="eastAsia"/>
                      <w:color w:val="auto"/>
                    </w:rPr>
                    <w:t>油类</w:t>
                  </w:r>
                  <w:r>
                    <w:rPr>
                      <w:color w:val="auto"/>
                    </w:rPr>
                    <w:t>物质容易引发火</w:t>
                  </w:r>
                  <w:r>
                    <w:rPr>
                      <w:rFonts w:hint="eastAsia"/>
                      <w:color w:val="auto"/>
                    </w:rPr>
                    <w:t>灾，由火灾引起的高浓度CO扩散以及因火灾产生的消防废水将对本项目所在地的大气环境、地表水环境、地下水环境造成</w:t>
                  </w:r>
                  <w:r>
                    <w:rPr>
                      <w:rFonts w:hint="eastAsia"/>
                      <w:color w:val="auto"/>
                      <w:lang w:eastAsia="zh-CN"/>
                    </w:rPr>
                    <w:t>较大</w:t>
                  </w:r>
                  <w:r>
                    <w:rPr>
                      <w:rFonts w:hint="eastAsia"/>
                      <w:color w:val="auto"/>
                    </w:rPr>
                    <w:t>的影响。本项目产生的废气主要为粉尘和有机废气等，若废气集气装置、袋式除尘器出现故障，会使粉尘废气发生外泄，从而对周围空气环境造成影响。</w:t>
                  </w:r>
                </w:p>
              </w:tc>
            </w:tr>
            <w:tr w14:paraId="5B3DA10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846" w:type="pct"/>
                  <w:tcBorders>
                    <w:tl2br w:val="nil"/>
                    <w:tr2bl w:val="nil"/>
                  </w:tcBorders>
                  <w:vAlign w:val="center"/>
                </w:tcPr>
                <w:p w14:paraId="1C7EDD89">
                  <w:pPr>
                    <w:pStyle w:val="56"/>
                    <w:jc w:val="center"/>
                    <w:rPr>
                      <w:color w:val="auto"/>
                    </w:rPr>
                  </w:pPr>
                  <w:r>
                    <w:rPr>
                      <w:color w:val="auto"/>
                    </w:rPr>
                    <w:t>风险防范措施要求</w:t>
                  </w:r>
                </w:p>
              </w:tc>
              <w:tc>
                <w:tcPr>
                  <w:tcW w:w="4153" w:type="pct"/>
                  <w:gridSpan w:val="5"/>
                  <w:tcBorders>
                    <w:tl2br w:val="nil"/>
                    <w:tr2bl w:val="nil"/>
                  </w:tcBorders>
                  <w:vAlign w:val="top"/>
                </w:tcPr>
                <w:p w14:paraId="731BDF8A">
                  <w:pPr>
                    <w:pStyle w:val="56"/>
                    <w:jc w:val="both"/>
                    <w:rPr>
                      <w:color w:val="auto"/>
                    </w:rPr>
                  </w:pPr>
                  <w:r>
                    <w:rPr>
                      <w:rFonts w:hint="eastAsia"/>
                      <w:color w:val="auto"/>
                    </w:rPr>
                    <w:t>①制定严格的生产操作规程，加强作业工人的安全教育，杜绝工作失误造成的事故。</w:t>
                  </w:r>
                </w:p>
                <w:p w14:paraId="22C72537">
                  <w:pPr>
                    <w:pStyle w:val="56"/>
                    <w:jc w:val="both"/>
                    <w:rPr>
                      <w:color w:val="auto"/>
                    </w:rPr>
                  </w:pPr>
                  <w:r>
                    <w:rPr>
                      <w:rFonts w:hint="eastAsia"/>
                      <w:color w:val="auto"/>
                    </w:rPr>
                    <w:t>②在厂房及项目进入口的明显位置张贴禁用明火的告示，车间内合理配置移动式泡沫灭火器。</w:t>
                  </w:r>
                </w:p>
                <w:p w14:paraId="5A216B3F">
                  <w:pPr>
                    <w:pStyle w:val="56"/>
                    <w:jc w:val="both"/>
                    <w:rPr>
                      <w:color w:val="auto"/>
                    </w:rPr>
                  </w:pPr>
                  <w:r>
                    <w:rPr>
                      <w:rFonts w:hint="eastAsia"/>
                      <w:color w:val="auto"/>
                    </w:rPr>
                    <w:t>③对电路定期检查，严格控制用电负荷，并严格监督执行，以杜绝火灾隐患。</w:t>
                  </w:r>
                </w:p>
                <w:p w14:paraId="3FB790BC">
                  <w:pPr>
                    <w:pStyle w:val="56"/>
                    <w:jc w:val="both"/>
                    <w:rPr>
                      <w:color w:val="auto"/>
                    </w:rPr>
                  </w:pPr>
                  <w:r>
                    <w:rPr>
                      <w:rFonts w:hint="eastAsia"/>
                      <w:color w:val="auto"/>
                    </w:rPr>
                    <w:t>④参考《建筑设计防火规范》（GB50016-2014）相关规定，在厂区四周角落处加强防渗处理和在厂房出入口设置5cm高的阻挡慢坡，发生火灾事故时，防止消防废水溢出。</w:t>
                  </w:r>
                </w:p>
                <w:p w14:paraId="01C714DF">
                  <w:pPr>
                    <w:pStyle w:val="56"/>
                    <w:jc w:val="both"/>
                    <w:rPr>
                      <w:color w:val="auto"/>
                    </w:rPr>
                  </w:pPr>
                  <w:r>
                    <w:rPr>
                      <w:rFonts w:hint="eastAsia"/>
                      <w:color w:val="auto"/>
                    </w:rPr>
                    <w:t>⑤发生火灾事故，事故处理完毕后的</w:t>
                  </w:r>
                  <w:r>
                    <w:rPr>
                      <w:color w:val="auto"/>
                    </w:rPr>
                    <w:t>消防废水</w:t>
                  </w:r>
                  <w:r>
                    <w:rPr>
                      <w:rFonts w:hint="eastAsia"/>
                      <w:color w:val="auto"/>
                    </w:rPr>
                    <w:t>应设计流入</w:t>
                  </w:r>
                  <w:r>
                    <w:rPr>
                      <w:color w:val="auto"/>
                    </w:rPr>
                    <w:t>事故应急池</w:t>
                  </w:r>
                  <w:r>
                    <w:rPr>
                      <w:rFonts w:hint="eastAsia"/>
                      <w:color w:val="auto"/>
                    </w:rPr>
                    <w:t>内，再做进一步处置。</w:t>
                  </w:r>
                </w:p>
                <w:p w14:paraId="6348699B">
                  <w:pPr>
                    <w:pStyle w:val="56"/>
                    <w:jc w:val="both"/>
                    <w:rPr>
                      <w:color w:val="auto"/>
                    </w:rPr>
                  </w:pPr>
                  <w:r>
                    <w:rPr>
                      <w:rFonts w:hint="eastAsia"/>
                      <w:color w:val="auto"/>
                    </w:rPr>
                    <w:t>⑥加强废气治理设备及管路阀门等维护，发现问题及时解决。</w:t>
                  </w:r>
                </w:p>
                <w:p w14:paraId="4A210F80">
                  <w:pPr>
                    <w:pStyle w:val="56"/>
                    <w:jc w:val="both"/>
                    <w:rPr>
                      <w:color w:val="auto"/>
                    </w:rPr>
                  </w:pPr>
                  <w:r>
                    <w:rPr>
                      <w:rFonts w:hint="eastAsia"/>
                      <w:color w:val="auto"/>
                    </w:rPr>
                    <w:t>⑦定期评估工业集聚区环境风险和健康风险，落实防控措施。</w:t>
                  </w:r>
                </w:p>
              </w:tc>
            </w:tr>
          </w:tbl>
          <w:p w14:paraId="7FD21B86">
            <w:pPr>
              <w:ind w:firstLine="482"/>
              <w:rPr>
                <w:b/>
                <w:bCs/>
              </w:rPr>
            </w:pPr>
            <w:r>
              <w:rPr>
                <w:rFonts w:hint="eastAsia"/>
                <w:b/>
                <w:bCs/>
              </w:rPr>
              <w:t>8、电磁辐射</w:t>
            </w:r>
          </w:p>
          <w:p w14:paraId="6183F266">
            <w:pPr>
              <w:ind w:firstLine="480"/>
            </w:pPr>
            <w:r>
              <w:rPr>
                <w:rFonts w:hint="eastAsia"/>
              </w:rPr>
              <w:t>无。</w:t>
            </w:r>
          </w:p>
        </w:tc>
      </w:tr>
    </w:tbl>
    <w:p w14:paraId="57EAA880">
      <w:pPr>
        <w:pStyle w:val="25"/>
        <w:ind w:left="480" w:firstLine="480"/>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4B8474AB">
      <w:pPr>
        <w:pStyle w:val="38"/>
        <w:ind w:firstLine="600"/>
        <w:jc w:val="center"/>
        <w:outlineLvl w:val="0"/>
        <w:rPr>
          <w:rFonts w:ascii="黑体" w:hAnsi="黑体" w:eastAsia="黑体"/>
          <w:snapToGrid w:val="0"/>
          <w:sz w:val="30"/>
          <w:szCs w:val="30"/>
        </w:rPr>
      </w:pPr>
      <w:bookmarkStart w:id="20" w:name="_Toc10411"/>
      <w:r>
        <w:rPr>
          <w:rFonts w:hint="eastAsia" w:ascii="黑体" w:hAnsi="黑体" w:eastAsia="黑体"/>
          <w:snapToGrid w:val="0"/>
          <w:sz w:val="30"/>
          <w:szCs w:val="30"/>
        </w:rPr>
        <w:t>五、</w:t>
      </w:r>
      <w:bookmarkStart w:id="21" w:name="_Hlk54167917"/>
      <w:r>
        <w:rPr>
          <w:rFonts w:hint="eastAsia" w:ascii="黑体" w:hAnsi="黑体" w:eastAsia="黑体"/>
          <w:snapToGrid w:val="0"/>
          <w:sz w:val="30"/>
          <w:szCs w:val="30"/>
        </w:rPr>
        <w:t>环境保护措施监督检查清单</w:t>
      </w:r>
      <w:bookmarkEnd w:id="20"/>
      <w:bookmarkEnd w:id="21"/>
    </w:p>
    <w:tbl>
      <w:tblPr>
        <w:tblStyle w:val="41"/>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1454"/>
        <w:gridCol w:w="1661"/>
        <w:gridCol w:w="1642"/>
        <w:gridCol w:w="3206"/>
      </w:tblGrid>
      <w:tr w14:paraId="187D87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9" w:type="dxa"/>
            <w:tcBorders>
              <w:tl2br w:val="single" w:color="auto" w:sz="4" w:space="0"/>
            </w:tcBorders>
          </w:tcPr>
          <w:p w14:paraId="654DE580">
            <w:pPr>
              <w:pStyle w:val="56"/>
              <w:jc w:val="right"/>
              <w:rPr>
                <w:color w:val="auto"/>
              </w:rPr>
            </w:pPr>
            <w:r>
              <w:rPr>
                <w:rFonts w:hint="eastAsia"/>
                <w:color w:val="auto"/>
              </w:rPr>
              <w:t>内容</w:t>
            </w:r>
          </w:p>
          <w:p w14:paraId="0444EDF4">
            <w:pPr>
              <w:pStyle w:val="56"/>
              <w:rPr>
                <w:color w:val="auto"/>
              </w:rPr>
            </w:pPr>
          </w:p>
          <w:p w14:paraId="5480883A">
            <w:pPr>
              <w:pStyle w:val="56"/>
              <w:rPr>
                <w:color w:val="auto"/>
              </w:rPr>
            </w:pPr>
            <w:r>
              <w:rPr>
                <w:rFonts w:hint="eastAsia"/>
                <w:color w:val="auto"/>
              </w:rPr>
              <w:t>要素</w:t>
            </w:r>
          </w:p>
        </w:tc>
        <w:tc>
          <w:tcPr>
            <w:tcW w:w="1454" w:type="dxa"/>
            <w:vAlign w:val="center"/>
          </w:tcPr>
          <w:p w14:paraId="70C1372D">
            <w:pPr>
              <w:pStyle w:val="56"/>
              <w:jc w:val="center"/>
              <w:rPr>
                <w:color w:val="auto"/>
              </w:rPr>
            </w:pPr>
            <w:r>
              <w:rPr>
                <w:rFonts w:hint="eastAsia"/>
                <w:color w:val="auto"/>
              </w:rPr>
              <w:t>排放口</w:t>
            </w:r>
            <w:r>
              <w:rPr>
                <w:rFonts w:hint="eastAsia"/>
                <w:color w:val="auto"/>
                <w:lang w:eastAsia="zh-CN"/>
              </w:rPr>
              <w:t>（</w:t>
            </w:r>
            <w:r>
              <w:rPr>
                <w:rFonts w:hint="eastAsia"/>
                <w:color w:val="auto"/>
              </w:rPr>
              <w:t>编号、名称</w:t>
            </w:r>
            <w:r>
              <w:rPr>
                <w:rFonts w:hint="eastAsia"/>
                <w:color w:val="auto"/>
                <w:lang w:eastAsia="zh-CN"/>
              </w:rPr>
              <w:t>）</w:t>
            </w:r>
            <w:r>
              <w:rPr>
                <w:rFonts w:hint="eastAsia"/>
                <w:color w:val="auto"/>
              </w:rPr>
              <w:t>/污染源</w:t>
            </w:r>
          </w:p>
        </w:tc>
        <w:tc>
          <w:tcPr>
            <w:tcW w:w="1661" w:type="dxa"/>
            <w:vAlign w:val="center"/>
          </w:tcPr>
          <w:p w14:paraId="1E9F2EC7">
            <w:pPr>
              <w:pStyle w:val="56"/>
              <w:jc w:val="center"/>
              <w:rPr>
                <w:color w:val="auto"/>
              </w:rPr>
            </w:pPr>
            <w:r>
              <w:rPr>
                <w:rFonts w:hint="eastAsia"/>
                <w:color w:val="auto"/>
              </w:rPr>
              <w:t>污染物项目</w:t>
            </w:r>
          </w:p>
        </w:tc>
        <w:tc>
          <w:tcPr>
            <w:tcW w:w="1642" w:type="dxa"/>
            <w:vAlign w:val="center"/>
          </w:tcPr>
          <w:p w14:paraId="61C6F252">
            <w:pPr>
              <w:pStyle w:val="56"/>
              <w:jc w:val="center"/>
              <w:rPr>
                <w:color w:val="auto"/>
              </w:rPr>
            </w:pPr>
            <w:r>
              <w:rPr>
                <w:rFonts w:hint="eastAsia"/>
                <w:color w:val="auto"/>
              </w:rPr>
              <w:t>环境保护措施</w:t>
            </w:r>
          </w:p>
        </w:tc>
        <w:tc>
          <w:tcPr>
            <w:tcW w:w="3206" w:type="dxa"/>
            <w:vAlign w:val="center"/>
          </w:tcPr>
          <w:p w14:paraId="208B519A">
            <w:pPr>
              <w:pStyle w:val="56"/>
              <w:jc w:val="center"/>
              <w:rPr>
                <w:color w:val="auto"/>
              </w:rPr>
            </w:pPr>
            <w:r>
              <w:rPr>
                <w:rFonts w:hint="eastAsia"/>
                <w:color w:val="auto"/>
              </w:rPr>
              <w:t>执行标准</w:t>
            </w:r>
          </w:p>
        </w:tc>
      </w:tr>
      <w:tr w14:paraId="4D364C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19" w:type="dxa"/>
            <w:vMerge w:val="restart"/>
            <w:vAlign w:val="center"/>
          </w:tcPr>
          <w:p w14:paraId="71B699E2">
            <w:pPr>
              <w:pStyle w:val="56"/>
              <w:rPr>
                <w:color w:val="auto"/>
              </w:rPr>
            </w:pPr>
            <w:r>
              <w:rPr>
                <w:rFonts w:hint="eastAsia"/>
                <w:color w:val="auto"/>
              </w:rPr>
              <w:t>大气环境</w:t>
            </w:r>
          </w:p>
        </w:tc>
        <w:tc>
          <w:tcPr>
            <w:tcW w:w="1454" w:type="dxa"/>
            <w:vAlign w:val="center"/>
          </w:tcPr>
          <w:p w14:paraId="6F830545">
            <w:pPr>
              <w:pStyle w:val="56"/>
              <w:jc w:val="center"/>
              <w:rPr>
                <w:rFonts w:hint="default" w:eastAsia="宋体"/>
                <w:color w:val="auto"/>
                <w:lang w:val="en-US" w:eastAsia="zh-CN"/>
              </w:rPr>
            </w:pPr>
            <w:r>
              <w:rPr>
                <w:rFonts w:hint="eastAsia"/>
                <w:color w:val="auto"/>
                <w:lang w:val="en-US" w:eastAsia="zh-CN"/>
              </w:rPr>
              <w:t>搅拌废气排放口DA001</w:t>
            </w:r>
          </w:p>
        </w:tc>
        <w:tc>
          <w:tcPr>
            <w:tcW w:w="1661" w:type="dxa"/>
            <w:vAlign w:val="center"/>
          </w:tcPr>
          <w:p w14:paraId="7D08F0CA">
            <w:pPr>
              <w:pStyle w:val="56"/>
              <w:jc w:val="center"/>
              <w:rPr>
                <w:rFonts w:hint="eastAsia" w:eastAsia="宋体"/>
                <w:color w:val="auto"/>
                <w:lang w:val="en-US" w:eastAsia="zh-CN"/>
              </w:rPr>
            </w:pPr>
            <w:r>
              <w:rPr>
                <w:rFonts w:hint="eastAsia"/>
                <w:color w:val="auto"/>
                <w:lang w:val="en-US" w:eastAsia="zh-CN"/>
              </w:rPr>
              <w:t>颗粒物</w:t>
            </w:r>
          </w:p>
        </w:tc>
        <w:tc>
          <w:tcPr>
            <w:tcW w:w="1642" w:type="dxa"/>
            <w:vAlign w:val="center"/>
          </w:tcPr>
          <w:p w14:paraId="5A0A14D4">
            <w:pPr>
              <w:pStyle w:val="56"/>
              <w:jc w:val="left"/>
              <w:rPr>
                <w:rFonts w:hint="eastAsia"/>
                <w:color w:val="auto"/>
                <w:lang w:val="en-US" w:eastAsia="zh-CN"/>
              </w:rPr>
            </w:pPr>
            <w:r>
              <w:rPr>
                <w:rFonts w:hint="eastAsia"/>
                <w:color w:val="auto"/>
                <w:lang w:val="en-US" w:eastAsia="zh-CN"/>
              </w:rPr>
              <w:t>管道+高效布袋除尘器+15m高排气筒</w:t>
            </w:r>
          </w:p>
        </w:tc>
        <w:tc>
          <w:tcPr>
            <w:tcW w:w="3206" w:type="dxa"/>
            <w:vAlign w:val="center"/>
          </w:tcPr>
          <w:p w14:paraId="4EF925B7">
            <w:pPr>
              <w:pStyle w:val="56"/>
              <w:jc w:val="center"/>
              <w:rPr>
                <w:rFonts w:hint="eastAsia"/>
                <w:color w:val="auto"/>
                <w:lang w:val="en-US" w:eastAsia="zh-CN"/>
              </w:rPr>
            </w:pPr>
            <w:r>
              <w:rPr>
                <w:rFonts w:hint="default"/>
                <w:color w:val="auto"/>
                <w:lang w:val="en-US" w:eastAsia="zh-CN"/>
              </w:rPr>
              <w:t>《水泥工业大气污染物排放标准》（GB4915-2013）</w:t>
            </w:r>
            <w:r>
              <w:rPr>
                <w:rFonts w:hint="eastAsia"/>
                <w:color w:val="auto"/>
                <w:lang w:val="en-US" w:eastAsia="zh-CN"/>
              </w:rPr>
              <w:t>表1标准</w:t>
            </w:r>
          </w:p>
        </w:tc>
      </w:tr>
      <w:tr w14:paraId="69CAC5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9" w:type="dxa"/>
            <w:vMerge w:val="continue"/>
            <w:vAlign w:val="center"/>
          </w:tcPr>
          <w:p w14:paraId="00F3819B">
            <w:pPr>
              <w:pStyle w:val="56"/>
              <w:rPr>
                <w:color w:val="auto"/>
              </w:rPr>
            </w:pPr>
          </w:p>
        </w:tc>
        <w:tc>
          <w:tcPr>
            <w:tcW w:w="1454" w:type="dxa"/>
            <w:vAlign w:val="center"/>
          </w:tcPr>
          <w:p w14:paraId="17E402DD">
            <w:pPr>
              <w:pStyle w:val="56"/>
              <w:jc w:val="center"/>
              <w:rPr>
                <w:rFonts w:hint="eastAsia" w:eastAsia="宋体"/>
                <w:color w:val="auto"/>
                <w:lang w:val="en-US" w:eastAsia="zh-CN"/>
              </w:rPr>
            </w:pPr>
            <w:r>
              <w:rPr>
                <w:rFonts w:hint="eastAsia"/>
                <w:color w:val="auto"/>
              </w:rPr>
              <w:t>厂</w:t>
            </w:r>
            <w:r>
              <w:rPr>
                <w:rFonts w:hint="eastAsia"/>
                <w:color w:val="auto"/>
                <w:lang w:val="en-US" w:eastAsia="zh-CN"/>
              </w:rPr>
              <w:t>界</w:t>
            </w:r>
          </w:p>
        </w:tc>
        <w:tc>
          <w:tcPr>
            <w:tcW w:w="1661" w:type="dxa"/>
            <w:vAlign w:val="center"/>
          </w:tcPr>
          <w:p w14:paraId="19E06524">
            <w:pPr>
              <w:pStyle w:val="56"/>
              <w:jc w:val="center"/>
              <w:rPr>
                <w:color w:val="auto"/>
              </w:rPr>
            </w:pPr>
            <w:r>
              <w:rPr>
                <w:rFonts w:hint="eastAsia"/>
                <w:color w:val="auto"/>
                <w:lang w:val="en-US" w:eastAsia="zh-CN"/>
              </w:rPr>
              <w:t>颗粒物</w:t>
            </w:r>
          </w:p>
        </w:tc>
        <w:tc>
          <w:tcPr>
            <w:tcW w:w="1642" w:type="dxa"/>
            <w:vAlign w:val="center"/>
          </w:tcPr>
          <w:p w14:paraId="0F8ACB44">
            <w:pPr>
              <w:pStyle w:val="56"/>
              <w:jc w:val="left"/>
              <w:rPr>
                <w:rFonts w:hint="default" w:eastAsia="宋体"/>
                <w:color w:val="auto"/>
                <w:lang w:val="en-US" w:eastAsia="zh-CN"/>
              </w:rPr>
            </w:pPr>
            <w:r>
              <w:rPr>
                <w:rFonts w:hint="eastAsia"/>
                <w:color w:val="auto"/>
                <w:lang w:val="en-US" w:eastAsia="zh-CN"/>
              </w:rPr>
              <w:t>厂区绿化，车间通风</w:t>
            </w:r>
          </w:p>
        </w:tc>
        <w:tc>
          <w:tcPr>
            <w:tcW w:w="3206" w:type="dxa"/>
            <w:vAlign w:val="center"/>
          </w:tcPr>
          <w:p w14:paraId="18D7F9C7">
            <w:pPr>
              <w:pStyle w:val="56"/>
              <w:rPr>
                <w:color w:val="auto"/>
              </w:rPr>
            </w:pPr>
            <w:r>
              <w:rPr>
                <w:rFonts w:hint="eastAsia"/>
                <w:color w:val="auto"/>
              </w:rPr>
              <w:t>《水泥工业大气污染物排放标准》（GB4915-2013）表3标准</w:t>
            </w:r>
          </w:p>
        </w:tc>
      </w:tr>
      <w:tr w14:paraId="5CF935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9" w:type="dxa"/>
            <w:vMerge w:val="restart"/>
            <w:vAlign w:val="center"/>
          </w:tcPr>
          <w:p w14:paraId="42ECEE84">
            <w:pPr>
              <w:pStyle w:val="56"/>
              <w:rPr>
                <w:color w:val="auto"/>
              </w:rPr>
            </w:pPr>
            <w:r>
              <w:rPr>
                <w:rFonts w:hint="eastAsia"/>
                <w:color w:val="auto"/>
              </w:rPr>
              <w:t>地表水环境</w:t>
            </w:r>
          </w:p>
        </w:tc>
        <w:tc>
          <w:tcPr>
            <w:tcW w:w="1454" w:type="dxa"/>
            <w:vAlign w:val="center"/>
          </w:tcPr>
          <w:p w14:paraId="530559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val="0"/>
                <w:bCs/>
                <w:color w:val="auto"/>
                <w:kern w:val="0"/>
                <w:sz w:val="21"/>
                <w:szCs w:val="24"/>
                <w:lang w:val="en-US" w:eastAsia="zh-CN" w:bidi="ar-SA"/>
              </w:rPr>
            </w:pPr>
            <w:r>
              <w:rPr>
                <w:rFonts w:ascii="Times New Roman" w:hAnsi="Times New Roman" w:eastAsia="宋体" w:cs="Times New Roman"/>
                <w:b w:val="0"/>
                <w:bCs/>
                <w:color w:val="auto"/>
                <w:kern w:val="0"/>
                <w:sz w:val="21"/>
                <w:szCs w:val="24"/>
                <w:lang w:val="en-US" w:eastAsia="zh-CN" w:bidi="ar-SA"/>
              </w:rPr>
              <w:t>生活污水</w:t>
            </w:r>
          </w:p>
        </w:tc>
        <w:tc>
          <w:tcPr>
            <w:tcW w:w="1661" w:type="dxa"/>
            <w:vAlign w:val="center"/>
          </w:tcPr>
          <w:p w14:paraId="1CA5D2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val="0"/>
                <w:bCs/>
                <w:color w:val="auto"/>
                <w:kern w:val="0"/>
                <w:sz w:val="21"/>
                <w:szCs w:val="24"/>
                <w:lang w:val="en-US" w:eastAsia="zh-CN" w:bidi="ar-SA"/>
              </w:rPr>
            </w:pPr>
            <w:r>
              <w:rPr>
                <w:rFonts w:ascii="Times New Roman" w:hAnsi="Times New Roman" w:eastAsia="宋体" w:cs="Times New Roman"/>
                <w:b w:val="0"/>
                <w:bCs/>
                <w:color w:val="auto"/>
                <w:kern w:val="0"/>
                <w:sz w:val="21"/>
                <w:szCs w:val="24"/>
                <w:lang w:val="en-US" w:eastAsia="zh-CN" w:bidi="ar-SA"/>
              </w:rPr>
              <w:t>COD</w:t>
            </w:r>
            <w:r>
              <w:rPr>
                <w:rFonts w:hint="eastAsia" w:ascii="Times New Roman" w:hAnsi="Times New Roman" w:eastAsia="宋体" w:cs="Times New Roman"/>
                <w:b w:val="0"/>
                <w:bCs/>
                <w:color w:val="auto"/>
                <w:kern w:val="0"/>
                <w:sz w:val="21"/>
                <w:szCs w:val="24"/>
                <w:vertAlign w:val="subscript"/>
                <w:lang w:val="en-US" w:eastAsia="zh-CN" w:bidi="ar-SA"/>
              </w:rPr>
              <w:t>Cr</w:t>
            </w:r>
            <w:r>
              <w:rPr>
                <w:rFonts w:ascii="Times New Roman" w:hAnsi="Times New Roman" w:eastAsia="宋体" w:cs="Times New Roman"/>
                <w:b w:val="0"/>
                <w:bCs/>
                <w:color w:val="auto"/>
                <w:kern w:val="0"/>
                <w:sz w:val="21"/>
                <w:szCs w:val="24"/>
                <w:lang w:val="en-US" w:eastAsia="zh-CN" w:bidi="ar-SA"/>
              </w:rPr>
              <w:t>、BOD</w:t>
            </w:r>
            <w:r>
              <w:rPr>
                <w:rFonts w:ascii="Times New Roman" w:hAnsi="Times New Roman" w:eastAsia="宋体" w:cs="Times New Roman"/>
                <w:b w:val="0"/>
                <w:bCs/>
                <w:color w:val="auto"/>
                <w:kern w:val="0"/>
                <w:sz w:val="21"/>
                <w:szCs w:val="24"/>
                <w:vertAlign w:val="subscript"/>
                <w:lang w:val="en-US" w:eastAsia="zh-CN" w:bidi="ar-SA"/>
              </w:rPr>
              <w:t>5</w:t>
            </w:r>
            <w:r>
              <w:rPr>
                <w:rFonts w:ascii="Times New Roman" w:hAnsi="Times New Roman" w:eastAsia="宋体" w:cs="Times New Roman"/>
                <w:b w:val="0"/>
                <w:bCs/>
                <w:color w:val="auto"/>
                <w:kern w:val="0"/>
                <w:sz w:val="21"/>
                <w:szCs w:val="24"/>
                <w:lang w:val="en-US" w:eastAsia="zh-CN" w:bidi="ar-SA"/>
              </w:rPr>
              <w:t>、氨氮、SS</w:t>
            </w:r>
            <w:r>
              <w:rPr>
                <w:rFonts w:hint="eastAsia" w:ascii="Times New Roman" w:hAnsi="Times New Roman" w:eastAsia="宋体" w:cs="Times New Roman"/>
                <w:b w:val="0"/>
                <w:bCs/>
                <w:color w:val="auto"/>
                <w:kern w:val="0"/>
                <w:sz w:val="21"/>
                <w:szCs w:val="24"/>
                <w:lang w:val="en-US" w:eastAsia="zh-CN" w:bidi="ar-SA"/>
              </w:rPr>
              <w:t>、TP</w:t>
            </w:r>
            <w:r>
              <w:rPr>
                <w:rFonts w:hint="eastAsia" w:cs="Times New Roman"/>
                <w:b w:val="0"/>
                <w:bCs/>
                <w:color w:val="auto"/>
                <w:kern w:val="0"/>
                <w:sz w:val="21"/>
                <w:szCs w:val="24"/>
                <w:lang w:val="en-US" w:eastAsia="zh-CN" w:bidi="ar-SA"/>
              </w:rPr>
              <w:t>动植物油</w:t>
            </w:r>
            <w:r>
              <w:rPr>
                <w:rFonts w:hint="eastAsia" w:ascii="Times New Roman" w:hAnsi="Times New Roman" w:eastAsia="宋体" w:cs="Times New Roman"/>
                <w:b w:val="0"/>
                <w:bCs/>
                <w:color w:val="auto"/>
                <w:kern w:val="0"/>
                <w:sz w:val="21"/>
                <w:szCs w:val="24"/>
                <w:lang w:val="en-US" w:eastAsia="zh-CN" w:bidi="ar-SA"/>
              </w:rPr>
              <w:t>等</w:t>
            </w:r>
          </w:p>
        </w:tc>
        <w:tc>
          <w:tcPr>
            <w:tcW w:w="1642" w:type="dxa"/>
            <w:vAlign w:val="center"/>
          </w:tcPr>
          <w:p w14:paraId="42ABF16C">
            <w:pPr>
              <w:pStyle w:val="56"/>
              <w:rPr>
                <w:rFonts w:hint="default" w:eastAsia="宋体"/>
                <w:color w:val="auto"/>
                <w:lang w:val="en-US" w:eastAsia="zh-CN"/>
              </w:rPr>
            </w:pPr>
            <w:r>
              <w:rPr>
                <w:rFonts w:hint="eastAsia"/>
                <w:color w:val="auto"/>
                <w:lang w:val="en-US" w:eastAsia="zh-CN"/>
              </w:rPr>
              <w:t>隔油池+化粪池</w:t>
            </w:r>
          </w:p>
        </w:tc>
        <w:tc>
          <w:tcPr>
            <w:tcW w:w="3206" w:type="dxa"/>
            <w:vAlign w:val="center"/>
          </w:tcPr>
          <w:p w14:paraId="5DFD57AC">
            <w:pPr>
              <w:pStyle w:val="56"/>
              <w:jc w:val="left"/>
              <w:rPr>
                <w:color w:val="auto"/>
              </w:rPr>
            </w:pPr>
            <w:r>
              <w:rPr>
                <w:rFonts w:hint="eastAsia"/>
                <w:color w:val="auto"/>
                <w:lang w:eastAsia="zh-CN"/>
              </w:rPr>
              <w:t>《</w:t>
            </w:r>
            <w:r>
              <w:rPr>
                <w:rFonts w:hint="eastAsia"/>
                <w:color w:val="auto"/>
              </w:rPr>
              <w:t>污水综合排放标准》（GB8978-1996）表4中三级标准以及高安市工业园污水处理厂接管标准后排入高安市工业园污水处理厂，处理达《城镇污水处理厂污染物排放标准》（GB18918-2002）一级A标准后排放</w:t>
            </w:r>
          </w:p>
        </w:tc>
      </w:tr>
      <w:tr w14:paraId="72A8E4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9" w:type="dxa"/>
            <w:vMerge w:val="continue"/>
            <w:vAlign w:val="center"/>
          </w:tcPr>
          <w:p w14:paraId="442CF128">
            <w:pPr>
              <w:pStyle w:val="56"/>
              <w:rPr>
                <w:color w:val="auto"/>
              </w:rPr>
            </w:pPr>
          </w:p>
        </w:tc>
        <w:tc>
          <w:tcPr>
            <w:tcW w:w="1454" w:type="dxa"/>
            <w:vAlign w:val="center"/>
          </w:tcPr>
          <w:p w14:paraId="7D1230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val="0"/>
                <w:bCs/>
                <w:color w:val="auto"/>
                <w:kern w:val="0"/>
                <w:sz w:val="21"/>
                <w:szCs w:val="24"/>
                <w:lang w:val="en-US" w:eastAsia="zh-CN" w:bidi="ar-SA"/>
              </w:rPr>
            </w:pPr>
            <w:r>
              <w:rPr>
                <w:rFonts w:hint="eastAsia" w:ascii="Times New Roman" w:hAnsi="Times New Roman" w:eastAsia="宋体" w:cs="Times New Roman"/>
                <w:b w:val="0"/>
                <w:bCs/>
                <w:color w:val="auto"/>
                <w:kern w:val="0"/>
                <w:sz w:val="21"/>
                <w:szCs w:val="24"/>
                <w:lang w:val="en-US" w:eastAsia="zh-CN" w:bidi="ar-SA"/>
              </w:rPr>
              <w:t>初期雨水</w:t>
            </w:r>
          </w:p>
        </w:tc>
        <w:tc>
          <w:tcPr>
            <w:tcW w:w="1661" w:type="dxa"/>
            <w:vAlign w:val="center"/>
          </w:tcPr>
          <w:p w14:paraId="65DAF2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val="0"/>
                <w:bCs/>
                <w:color w:val="auto"/>
                <w:kern w:val="0"/>
                <w:sz w:val="21"/>
                <w:szCs w:val="24"/>
                <w:lang w:val="en-US" w:eastAsia="zh-CN" w:bidi="ar-SA"/>
              </w:rPr>
            </w:pPr>
            <w:r>
              <w:rPr>
                <w:rFonts w:hint="eastAsia" w:ascii="Times New Roman" w:hAnsi="Times New Roman" w:eastAsia="宋体" w:cs="Times New Roman"/>
                <w:b w:val="0"/>
                <w:bCs/>
                <w:color w:val="auto"/>
                <w:kern w:val="0"/>
                <w:sz w:val="21"/>
                <w:szCs w:val="24"/>
                <w:lang w:val="en-US" w:eastAsia="zh-CN" w:bidi="ar-SA"/>
              </w:rPr>
              <w:t>SS</w:t>
            </w:r>
          </w:p>
        </w:tc>
        <w:tc>
          <w:tcPr>
            <w:tcW w:w="1642" w:type="dxa"/>
            <w:vAlign w:val="center"/>
          </w:tcPr>
          <w:p w14:paraId="5E905F88">
            <w:pPr>
              <w:pStyle w:val="56"/>
              <w:jc w:val="left"/>
              <w:rPr>
                <w:rFonts w:hint="default" w:eastAsia="宋体"/>
                <w:color w:val="auto"/>
                <w:lang w:val="en-US" w:eastAsia="zh-CN"/>
              </w:rPr>
            </w:pPr>
            <w:r>
              <w:rPr>
                <w:rFonts w:hint="eastAsia"/>
                <w:color w:val="auto"/>
                <w:lang w:val="en-US" w:eastAsia="zh-CN"/>
              </w:rPr>
              <w:t>600m</w:t>
            </w:r>
            <w:r>
              <w:rPr>
                <w:rFonts w:hint="eastAsia"/>
                <w:color w:val="auto"/>
                <w:vertAlign w:val="superscript"/>
                <w:lang w:val="en-US" w:eastAsia="zh-CN"/>
              </w:rPr>
              <w:t>3</w:t>
            </w:r>
            <w:r>
              <w:rPr>
                <w:rFonts w:hint="eastAsia"/>
                <w:color w:val="auto"/>
                <w:lang w:val="en-US" w:eastAsia="zh-CN"/>
              </w:rPr>
              <w:t>初期雨水池，沉淀后用于厂区喷淋降尘不外排</w:t>
            </w:r>
          </w:p>
        </w:tc>
        <w:tc>
          <w:tcPr>
            <w:tcW w:w="3206" w:type="dxa"/>
            <w:vMerge w:val="restart"/>
            <w:vAlign w:val="center"/>
          </w:tcPr>
          <w:p w14:paraId="31FF0A92">
            <w:pPr>
              <w:pStyle w:val="56"/>
              <w:rPr>
                <w:rFonts w:hint="default" w:eastAsia="宋体"/>
                <w:color w:val="auto"/>
                <w:lang w:val="en-US" w:eastAsia="zh-CN"/>
              </w:rPr>
            </w:pPr>
            <w:r>
              <w:rPr>
                <w:rFonts w:hint="eastAsia"/>
                <w:color w:val="auto"/>
                <w:lang w:val="en-US" w:eastAsia="zh-CN"/>
              </w:rPr>
              <w:t>/</w:t>
            </w:r>
          </w:p>
        </w:tc>
      </w:tr>
      <w:tr w14:paraId="26CABC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9" w:type="dxa"/>
            <w:vMerge w:val="continue"/>
            <w:vAlign w:val="center"/>
          </w:tcPr>
          <w:p w14:paraId="4A095920">
            <w:pPr>
              <w:pStyle w:val="56"/>
              <w:rPr>
                <w:color w:val="auto"/>
              </w:rPr>
            </w:pPr>
          </w:p>
        </w:tc>
        <w:tc>
          <w:tcPr>
            <w:tcW w:w="1454" w:type="dxa"/>
            <w:vAlign w:val="center"/>
          </w:tcPr>
          <w:p w14:paraId="194596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val="0"/>
                <w:bCs/>
                <w:color w:val="auto"/>
                <w:kern w:val="0"/>
                <w:sz w:val="21"/>
                <w:szCs w:val="24"/>
                <w:lang w:val="en-US" w:eastAsia="zh-CN" w:bidi="ar-SA"/>
              </w:rPr>
            </w:pPr>
            <w:r>
              <w:rPr>
                <w:rFonts w:hint="eastAsia" w:ascii="Times New Roman" w:hAnsi="Times New Roman" w:eastAsia="宋体" w:cs="Times New Roman"/>
                <w:b w:val="0"/>
                <w:bCs/>
                <w:color w:val="auto"/>
                <w:kern w:val="0"/>
                <w:sz w:val="21"/>
                <w:szCs w:val="24"/>
                <w:lang w:val="en-US" w:eastAsia="zh-CN" w:bidi="ar-SA"/>
              </w:rPr>
              <w:t>车辆冲洗废水</w:t>
            </w:r>
          </w:p>
        </w:tc>
        <w:tc>
          <w:tcPr>
            <w:tcW w:w="1661" w:type="dxa"/>
            <w:vAlign w:val="center"/>
          </w:tcPr>
          <w:p w14:paraId="2BA483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val="0"/>
                <w:bCs/>
                <w:color w:val="auto"/>
                <w:kern w:val="0"/>
                <w:sz w:val="21"/>
                <w:szCs w:val="24"/>
                <w:lang w:val="en-US" w:eastAsia="zh-CN" w:bidi="ar-SA"/>
              </w:rPr>
            </w:pPr>
            <w:r>
              <w:rPr>
                <w:rFonts w:hint="eastAsia" w:ascii="Times New Roman" w:hAnsi="Times New Roman" w:eastAsia="宋体" w:cs="Times New Roman"/>
                <w:b w:val="0"/>
                <w:bCs/>
                <w:color w:val="auto"/>
                <w:kern w:val="0"/>
                <w:sz w:val="21"/>
                <w:szCs w:val="24"/>
                <w:lang w:val="en-US" w:eastAsia="zh-CN" w:bidi="ar-SA"/>
              </w:rPr>
              <w:t>COD</w:t>
            </w:r>
            <w:r>
              <w:rPr>
                <w:rFonts w:hint="eastAsia" w:ascii="Times New Roman" w:hAnsi="Times New Roman" w:eastAsia="宋体" w:cs="Times New Roman"/>
                <w:b w:val="0"/>
                <w:bCs/>
                <w:color w:val="auto"/>
                <w:kern w:val="0"/>
                <w:sz w:val="21"/>
                <w:szCs w:val="24"/>
                <w:vertAlign w:val="subscript"/>
                <w:lang w:val="en-US" w:eastAsia="zh-CN" w:bidi="ar-SA"/>
              </w:rPr>
              <w:t>Cr</w:t>
            </w:r>
            <w:r>
              <w:rPr>
                <w:rFonts w:hint="eastAsia" w:ascii="Times New Roman" w:hAnsi="Times New Roman" w:eastAsia="宋体" w:cs="Times New Roman"/>
                <w:b w:val="0"/>
                <w:bCs/>
                <w:color w:val="auto"/>
                <w:kern w:val="0"/>
                <w:sz w:val="21"/>
                <w:szCs w:val="24"/>
                <w:lang w:val="en-US" w:eastAsia="zh-CN" w:bidi="ar-SA"/>
              </w:rPr>
              <w:t>、SS、NH</w:t>
            </w:r>
            <w:r>
              <w:rPr>
                <w:rFonts w:hint="eastAsia" w:ascii="Times New Roman" w:hAnsi="Times New Roman" w:eastAsia="宋体" w:cs="Times New Roman"/>
                <w:b w:val="0"/>
                <w:bCs/>
                <w:color w:val="auto"/>
                <w:kern w:val="0"/>
                <w:sz w:val="21"/>
                <w:szCs w:val="24"/>
                <w:vertAlign w:val="subscript"/>
                <w:lang w:val="en-US" w:eastAsia="zh-CN" w:bidi="ar-SA"/>
              </w:rPr>
              <w:t>3</w:t>
            </w:r>
            <w:r>
              <w:rPr>
                <w:rFonts w:hint="eastAsia" w:ascii="Times New Roman" w:hAnsi="Times New Roman" w:eastAsia="宋体" w:cs="Times New Roman"/>
                <w:b w:val="0"/>
                <w:bCs/>
                <w:color w:val="auto"/>
                <w:kern w:val="0"/>
                <w:sz w:val="21"/>
                <w:szCs w:val="24"/>
                <w:lang w:val="en-US" w:eastAsia="zh-CN" w:bidi="ar-SA"/>
              </w:rPr>
              <w:t>-N</w:t>
            </w:r>
          </w:p>
        </w:tc>
        <w:tc>
          <w:tcPr>
            <w:tcW w:w="1642" w:type="dxa"/>
            <w:vAlign w:val="center"/>
          </w:tcPr>
          <w:p w14:paraId="6ADA5B7C">
            <w:pPr>
              <w:pStyle w:val="56"/>
              <w:jc w:val="left"/>
              <w:rPr>
                <w:rFonts w:hint="default"/>
                <w:color w:val="auto"/>
                <w:lang w:val="en-US"/>
              </w:rPr>
            </w:pPr>
            <w:r>
              <w:rPr>
                <w:rFonts w:hint="eastAsia"/>
                <w:color w:val="auto"/>
                <w:lang w:val="en-US" w:eastAsia="zh-CN"/>
              </w:rPr>
              <w:t>20m</w:t>
            </w:r>
            <w:r>
              <w:rPr>
                <w:rFonts w:hint="eastAsia"/>
                <w:color w:val="auto"/>
                <w:vertAlign w:val="superscript"/>
                <w:lang w:val="en-US" w:eastAsia="zh-CN"/>
              </w:rPr>
              <w:t>3</w:t>
            </w:r>
            <w:r>
              <w:rPr>
                <w:rFonts w:hint="eastAsia"/>
                <w:color w:val="auto"/>
                <w:vertAlign w:val="baseline"/>
                <w:lang w:val="en-US" w:eastAsia="zh-CN"/>
              </w:rPr>
              <w:t>车辆冲洗沉淀池，循环使用不外排</w:t>
            </w:r>
          </w:p>
        </w:tc>
        <w:tc>
          <w:tcPr>
            <w:tcW w:w="3206" w:type="dxa"/>
            <w:vMerge w:val="continue"/>
            <w:vAlign w:val="center"/>
          </w:tcPr>
          <w:p w14:paraId="04785971">
            <w:pPr>
              <w:pStyle w:val="56"/>
              <w:rPr>
                <w:color w:val="auto"/>
              </w:rPr>
            </w:pPr>
          </w:p>
        </w:tc>
      </w:tr>
      <w:tr w14:paraId="2C1522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9" w:type="dxa"/>
            <w:vMerge w:val="continue"/>
            <w:vAlign w:val="center"/>
          </w:tcPr>
          <w:p w14:paraId="73ADEE05">
            <w:pPr>
              <w:pStyle w:val="56"/>
              <w:rPr>
                <w:color w:val="auto"/>
              </w:rPr>
            </w:pPr>
          </w:p>
        </w:tc>
        <w:tc>
          <w:tcPr>
            <w:tcW w:w="1454" w:type="dxa"/>
            <w:vAlign w:val="center"/>
          </w:tcPr>
          <w:p w14:paraId="075C74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4"/>
                <w:lang w:val="en-US" w:eastAsia="zh-CN" w:bidi="ar-SA"/>
              </w:rPr>
            </w:pPr>
            <w:r>
              <w:rPr>
                <w:rFonts w:hint="eastAsia" w:cs="Times New Roman"/>
                <w:b w:val="0"/>
                <w:bCs/>
                <w:color w:val="auto"/>
                <w:kern w:val="0"/>
                <w:sz w:val="21"/>
                <w:szCs w:val="24"/>
                <w:lang w:val="en-US" w:eastAsia="zh-CN" w:bidi="ar-SA"/>
              </w:rPr>
              <w:t>设备清洗废水</w:t>
            </w:r>
          </w:p>
        </w:tc>
        <w:tc>
          <w:tcPr>
            <w:tcW w:w="1661" w:type="dxa"/>
            <w:vAlign w:val="center"/>
          </w:tcPr>
          <w:p w14:paraId="6CEAEE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color w:val="auto"/>
                <w:kern w:val="0"/>
                <w:sz w:val="21"/>
                <w:szCs w:val="24"/>
                <w:lang w:val="en-US" w:eastAsia="zh-CN" w:bidi="ar-SA"/>
              </w:rPr>
            </w:pPr>
            <w:r>
              <w:rPr>
                <w:rFonts w:hint="eastAsia" w:ascii="Times New Roman" w:hAnsi="Times New Roman" w:eastAsia="宋体" w:cs="Times New Roman"/>
                <w:b w:val="0"/>
                <w:bCs/>
                <w:color w:val="auto"/>
                <w:kern w:val="0"/>
                <w:sz w:val="21"/>
                <w:szCs w:val="24"/>
                <w:lang w:val="en-US" w:eastAsia="zh-CN" w:bidi="ar-SA"/>
              </w:rPr>
              <w:t>COD</w:t>
            </w:r>
            <w:r>
              <w:rPr>
                <w:rFonts w:hint="eastAsia" w:ascii="Times New Roman" w:hAnsi="Times New Roman" w:eastAsia="宋体" w:cs="Times New Roman"/>
                <w:b w:val="0"/>
                <w:bCs/>
                <w:color w:val="auto"/>
                <w:kern w:val="0"/>
                <w:sz w:val="21"/>
                <w:szCs w:val="24"/>
                <w:vertAlign w:val="subscript"/>
                <w:lang w:val="en-US" w:eastAsia="zh-CN" w:bidi="ar-SA"/>
              </w:rPr>
              <w:t>Cr</w:t>
            </w:r>
            <w:r>
              <w:rPr>
                <w:rFonts w:hint="eastAsia" w:ascii="Times New Roman" w:hAnsi="Times New Roman" w:eastAsia="宋体" w:cs="Times New Roman"/>
                <w:b w:val="0"/>
                <w:bCs/>
                <w:color w:val="auto"/>
                <w:kern w:val="0"/>
                <w:sz w:val="21"/>
                <w:szCs w:val="24"/>
                <w:lang w:val="en-US" w:eastAsia="zh-CN" w:bidi="ar-SA"/>
              </w:rPr>
              <w:t>、SS、NH</w:t>
            </w:r>
            <w:r>
              <w:rPr>
                <w:rFonts w:hint="eastAsia" w:ascii="Times New Roman" w:hAnsi="Times New Roman" w:eastAsia="宋体" w:cs="Times New Roman"/>
                <w:b w:val="0"/>
                <w:bCs/>
                <w:color w:val="auto"/>
                <w:kern w:val="0"/>
                <w:sz w:val="21"/>
                <w:szCs w:val="24"/>
                <w:vertAlign w:val="subscript"/>
                <w:lang w:val="en-US" w:eastAsia="zh-CN" w:bidi="ar-SA"/>
              </w:rPr>
              <w:t>3</w:t>
            </w:r>
            <w:r>
              <w:rPr>
                <w:rFonts w:hint="eastAsia" w:ascii="Times New Roman" w:hAnsi="Times New Roman" w:eastAsia="宋体" w:cs="Times New Roman"/>
                <w:b w:val="0"/>
                <w:bCs/>
                <w:color w:val="auto"/>
                <w:kern w:val="0"/>
                <w:sz w:val="21"/>
                <w:szCs w:val="24"/>
                <w:lang w:val="en-US" w:eastAsia="zh-CN" w:bidi="ar-SA"/>
              </w:rPr>
              <w:t>-N</w:t>
            </w:r>
          </w:p>
        </w:tc>
        <w:tc>
          <w:tcPr>
            <w:tcW w:w="1642" w:type="dxa"/>
            <w:vAlign w:val="center"/>
          </w:tcPr>
          <w:p w14:paraId="03D49DC0">
            <w:pPr>
              <w:pStyle w:val="56"/>
              <w:jc w:val="left"/>
              <w:rPr>
                <w:rFonts w:hint="default" w:eastAsia="宋体"/>
                <w:color w:val="auto"/>
                <w:lang w:val="en-US" w:eastAsia="zh-CN"/>
              </w:rPr>
            </w:pPr>
            <w:r>
              <w:rPr>
                <w:rFonts w:hint="eastAsia"/>
                <w:color w:val="auto"/>
                <w:lang w:val="en-US" w:eastAsia="zh-CN"/>
              </w:rPr>
              <w:t>5m</w:t>
            </w:r>
            <w:r>
              <w:rPr>
                <w:rFonts w:hint="eastAsia"/>
                <w:color w:val="auto"/>
                <w:vertAlign w:val="superscript"/>
                <w:lang w:val="en-US" w:eastAsia="zh-CN"/>
              </w:rPr>
              <w:t>3</w:t>
            </w:r>
            <w:r>
              <w:rPr>
                <w:rFonts w:hint="eastAsia" w:cs="Times New Roman"/>
                <w:b w:val="0"/>
                <w:bCs/>
                <w:color w:val="auto"/>
                <w:kern w:val="0"/>
                <w:sz w:val="21"/>
                <w:szCs w:val="24"/>
                <w:lang w:val="en-US" w:eastAsia="zh-CN" w:bidi="ar-SA"/>
              </w:rPr>
              <w:t>设备</w:t>
            </w:r>
            <w:r>
              <w:rPr>
                <w:rFonts w:hint="eastAsia"/>
                <w:color w:val="auto"/>
                <w:vertAlign w:val="baseline"/>
                <w:lang w:val="en-US" w:eastAsia="zh-CN"/>
              </w:rPr>
              <w:t>沉淀池，用于浇筑不外排</w:t>
            </w:r>
          </w:p>
        </w:tc>
        <w:tc>
          <w:tcPr>
            <w:tcW w:w="3206" w:type="dxa"/>
            <w:vMerge w:val="continue"/>
            <w:vAlign w:val="center"/>
          </w:tcPr>
          <w:p w14:paraId="51F9548C">
            <w:pPr>
              <w:pStyle w:val="56"/>
              <w:rPr>
                <w:color w:val="auto"/>
              </w:rPr>
            </w:pPr>
          </w:p>
        </w:tc>
      </w:tr>
      <w:tr w14:paraId="3B3845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9" w:type="dxa"/>
            <w:vAlign w:val="center"/>
          </w:tcPr>
          <w:p w14:paraId="1F97DFDA">
            <w:pPr>
              <w:pStyle w:val="56"/>
              <w:rPr>
                <w:color w:val="auto"/>
              </w:rPr>
            </w:pPr>
            <w:r>
              <w:rPr>
                <w:rFonts w:hint="eastAsia"/>
                <w:color w:val="auto"/>
              </w:rPr>
              <w:t>声环境</w:t>
            </w:r>
          </w:p>
        </w:tc>
        <w:tc>
          <w:tcPr>
            <w:tcW w:w="1454" w:type="dxa"/>
            <w:vAlign w:val="center"/>
          </w:tcPr>
          <w:p w14:paraId="266784E6">
            <w:pPr>
              <w:pStyle w:val="56"/>
              <w:jc w:val="center"/>
              <w:rPr>
                <w:color w:val="auto"/>
              </w:rPr>
            </w:pPr>
            <w:r>
              <w:rPr>
                <w:rFonts w:hint="eastAsia"/>
                <w:color w:val="auto"/>
              </w:rPr>
              <w:t>设备噪声</w:t>
            </w:r>
          </w:p>
        </w:tc>
        <w:tc>
          <w:tcPr>
            <w:tcW w:w="1661" w:type="dxa"/>
            <w:vAlign w:val="center"/>
          </w:tcPr>
          <w:p w14:paraId="175EF418">
            <w:pPr>
              <w:pStyle w:val="56"/>
              <w:jc w:val="center"/>
              <w:rPr>
                <w:color w:val="auto"/>
              </w:rPr>
            </w:pPr>
            <w:r>
              <w:rPr>
                <w:rFonts w:hint="eastAsia"/>
                <w:color w:val="auto"/>
              </w:rPr>
              <w:t>等效</w:t>
            </w:r>
          </w:p>
          <w:p w14:paraId="036A03EB">
            <w:pPr>
              <w:pStyle w:val="56"/>
              <w:jc w:val="center"/>
              <w:rPr>
                <w:color w:val="auto"/>
              </w:rPr>
            </w:pPr>
            <w:r>
              <w:rPr>
                <w:rFonts w:hint="eastAsia"/>
                <w:color w:val="auto"/>
              </w:rPr>
              <w:t>声级</w:t>
            </w:r>
          </w:p>
        </w:tc>
        <w:tc>
          <w:tcPr>
            <w:tcW w:w="1642" w:type="dxa"/>
            <w:vAlign w:val="center"/>
          </w:tcPr>
          <w:p w14:paraId="580EAC72">
            <w:pPr>
              <w:pStyle w:val="56"/>
              <w:jc w:val="left"/>
              <w:rPr>
                <w:color w:val="auto"/>
              </w:rPr>
            </w:pPr>
            <w:r>
              <w:rPr>
                <w:color w:val="auto"/>
              </w:rPr>
              <w:t>基础减振、消音、厂房密闭等措施</w:t>
            </w:r>
          </w:p>
        </w:tc>
        <w:tc>
          <w:tcPr>
            <w:tcW w:w="3206" w:type="dxa"/>
            <w:vAlign w:val="center"/>
          </w:tcPr>
          <w:p w14:paraId="6DB3F363">
            <w:pPr>
              <w:pStyle w:val="56"/>
              <w:jc w:val="left"/>
              <w:rPr>
                <w:color w:val="auto"/>
              </w:rPr>
            </w:pPr>
            <w:r>
              <w:rPr>
                <w:color w:val="auto"/>
              </w:rPr>
              <w:t>《工业企业厂界环境噪声排放标准》（GB12348-2008）中</w:t>
            </w:r>
            <w:r>
              <w:rPr>
                <w:rFonts w:hint="eastAsia"/>
                <w:color w:val="auto"/>
              </w:rPr>
              <w:t>3</w:t>
            </w:r>
            <w:r>
              <w:rPr>
                <w:color w:val="auto"/>
              </w:rPr>
              <w:t>类排放标准</w:t>
            </w:r>
          </w:p>
        </w:tc>
      </w:tr>
      <w:tr w14:paraId="104FE6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9" w:type="dxa"/>
            <w:vAlign w:val="center"/>
          </w:tcPr>
          <w:p w14:paraId="1F53222A">
            <w:pPr>
              <w:pStyle w:val="56"/>
              <w:jc w:val="center"/>
              <w:rPr>
                <w:color w:val="auto"/>
              </w:rPr>
            </w:pPr>
            <w:r>
              <w:rPr>
                <w:rFonts w:hint="eastAsia"/>
                <w:color w:val="auto"/>
              </w:rPr>
              <w:t>电磁辐射</w:t>
            </w:r>
          </w:p>
        </w:tc>
        <w:tc>
          <w:tcPr>
            <w:tcW w:w="7963" w:type="dxa"/>
            <w:gridSpan w:val="4"/>
            <w:vAlign w:val="center"/>
          </w:tcPr>
          <w:p w14:paraId="3DEFEF4A">
            <w:pPr>
              <w:pStyle w:val="56"/>
              <w:jc w:val="center"/>
              <w:rPr>
                <w:color w:val="auto"/>
              </w:rPr>
            </w:pPr>
            <w:r>
              <w:rPr>
                <w:rFonts w:hint="eastAsia"/>
                <w:color w:val="auto"/>
              </w:rPr>
              <w:t>无</w:t>
            </w:r>
          </w:p>
        </w:tc>
      </w:tr>
      <w:tr w14:paraId="2FFD46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vMerge w:val="restart"/>
            <w:vAlign w:val="center"/>
          </w:tcPr>
          <w:p w14:paraId="599572E0">
            <w:pPr>
              <w:pStyle w:val="56"/>
              <w:jc w:val="center"/>
              <w:rPr>
                <w:color w:val="auto"/>
              </w:rPr>
            </w:pPr>
            <w:r>
              <w:rPr>
                <w:rFonts w:hint="eastAsia"/>
                <w:color w:val="auto"/>
              </w:rPr>
              <w:t>固体废物</w:t>
            </w:r>
          </w:p>
        </w:tc>
        <w:tc>
          <w:tcPr>
            <w:tcW w:w="1454" w:type="dxa"/>
            <w:vMerge w:val="restart"/>
            <w:vAlign w:val="center"/>
          </w:tcPr>
          <w:p w14:paraId="5BACE7A9">
            <w:pPr>
              <w:pStyle w:val="56"/>
              <w:jc w:val="center"/>
              <w:rPr>
                <w:color w:val="auto"/>
              </w:rPr>
            </w:pPr>
            <w:r>
              <w:rPr>
                <w:rFonts w:hint="eastAsia"/>
                <w:color w:val="auto"/>
              </w:rPr>
              <w:t>一般固废</w:t>
            </w:r>
          </w:p>
        </w:tc>
        <w:tc>
          <w:tcPr>
            <w:tcW w:w="1661" w:type="dxa"/>
            <w:vAlign w:val="center"/>
          </w:tcPr>
          <w:p w14:paraId="19C0A47E">
            <w:pPr>
              <w:pStyle w:val="56"/>
              <w:bidi w:val="0"/>
              <w:ind w:firstLine="0" w:firstLineChars="0"/>
              <w:rPr>
                <w:color w:val="auto"/>
              </w:rPr>
            </w:pPr>
            <w:r>
              <w:rPr>
                <w:rFonts w:hint="eastAsia"/>
              </w:rPr>
              <w:t>钢筋下脚料</w:t>
            </w:r>
          </w:p>
        </w:tc>
        <w:tc>
          <w:tcPr>
            <w:tcW w:w="1642" w:type="dxa"/>
            <w:vAlign w:val="center"/>
          </w:tcPr>
          <w:p w14:paraId="21D2123C">
            <w:pPr>
              <w:pStyle w:val="56"/>
              <w:rPr>
                <w:color w:val="auto"/>
              </w:rPr>
            </w:pPr>
            <w:r>
              <w:rPr>
                <w:rFonts w:hint="eastAsia"/>
                <w:color w:val="auto"/>
              </w:rPr>
              <w:t>外售资源回收单位</w:t>
            </w:r>
          </w:p>
        </w:tc>
        <w:tc>
          <w:tcPr>
            <w:tcW w:w="3206" w:type="dxa"/>
            <w:vMerge w:val="restart"/>
            <w:vAlign w:val="center"/>
          </w:tcPr>
          <w:p w14:paraId="5CD5EB9D">
            <w:pPr>
              <w:pStyle w:val="56"/>
              <w:jc w:val="left"/>
              <w:rPr>
                <w:color w:val="auto"/>
              </w:rPr>
            </w:pPr>
            <w:r>
              <w:rPr>
                <w:rFonts w:hint="eastAsia"/>
                <w:color w:val="auto"/>
              </w:rPr>
              <w:t>本项目一般工业固废贮存过程应满足相应防渗漏、防雨淋、防扬尘等环境保护要求。危险废物贮存执行《危险废物贮存污染控制标准》（</w:t>
            </w:r>
            <w:r>
              <w:rPr>
                <w:color w:val="auto"/>
              </w:rPr>
              <w:t>GB18597-20</w:t>
            </w:r>
            <w:r>
              <w:rPr>
                <w:rFonts w:hint="eastAsia"/>
                <w:color w:val="auto"/>
              </w:rPr>
              <w:t>23）</w:t>
            </w:r>
          </w:p>
        </w:tc>
      </w:tr>
      <w:tr w14:paraId="3A0236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vMerge w:val="continue"/>
            <w:vAlign w:val="center"/>
          </w:tcPr>
          <w:p w14:paraId="400D9C02">
            <w:pPr>
              <w:pStyle w:val="56"/>
              <w:rPr>
                <w:color w:val="auto"/>
              </w:rPr>
            </w:pPr>
          </w:p>
        </w:tc>
        <w:tc>
          <w:tcPr>
            <w:tcW w:w="1454" w:type="dxa"/>
            <w:vMerge w:val="continue"/>
            <w:vAlign w:val="center"/>
          </w:tcPr>
          <w:p w14:paraId="390A6B28">
            <w:pPr>
              <w:pStyle w:val="56"/>
              <w:jc w:val="center"/>
              <w:rPr>
                <w:color w:val="auto"/>
              </w:rPr>
            </w:pPr>
          </w:p>
        </w:tc>
        <w:tc>
          <w:tcPr>
            <w:tcW w:w="1661" w:type="dxa"/>
            <w:vAlign w:val="center"/>
          </w:tcPr>
          <w:p w14:paraId="18B62642">
            <w:pPr>
              <w:pStyle w:val="56"/>
              <w:bidi w:val="0"/>
              <w:ind w:firstLine="0" w:firstLineChars="0"/>
              <w:rPr>
                <w:color w:val="auto"/>
              </w:rPr>
            </w:pPr>
            <w:r>
              <w:rPr>
                <w:rFonts w:hint="eastAsia"/>
              </w:rPr>
              <w:t>不合格品</w:t>
            </w:r>
          </w:p>
        </w:tc>
        <w:tc>
          <w:tcPr>
            <w:tcW w:w="1642" w:type="dxa"/>
            <w:vAlign w:val="center"/>
          </w:tcPr>
          <w:p w14:paraId="3F7F62D6">
            <w:pPr>
              <w:pStyle w:val="56"/>
              <w:bidi w:val="0"/>
              <w:ind w:firstLine="0" w:firstLineChars="0"/>
              <w:rPr>
                <w:color w:val="auto"/>
              </w:rPr>
            </w:pPr>
            <w:r>
              <w:rPr>
                <w:rFonts w:hint="eastAsia"/>
                <w:lang w:val="en-US" w:eastAsia="zh-CN"/>
              </w:rPr>
              <w:t>集中收集后全部外售给物资回收公司资源再利用</w:t>
            </w:r>
          </w:p>
        </w:tc>
        <w:tc>
          <w:tcPr>
            <w:tcW w:w="3206" w:type="dxa"/>
            <w:vMerge w:val="continue"/>
            <w:vAlign w:val="center"/>
          </w:tcPr>
          <w:p w14:paraId="250B9320">
            <w:pPr>
              <w:pStyle w:val="56"/>
              <w:rPr>
                <w:color w:val="auto"/>
              </w:rPr>
            </w:pPr>
          </w:p>
        </w:tc>
      </w:tr>
      <w:tr w14:paraId="64A585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0" w:hRule="atLeast"/>
          <w:jc w:val="center"/>
        </w:trPr>
        <w:tc>
          <w:tcPr>
            <w:tcW w:w="1019" w:type="dxa"/>
            <w:vMerge w:val="continue"/>
            <w:vAlign w:val="center"/>
          </w:tcPr>
          <w:p w14:paraId="3470ABE1">
            <w:pPr>
              <w:pStyle w:val="56"/>
              <w:rPr>
                <w:color w:val="auto"/>
              </w:rPr>
            </w:pPr>
          </w:p>
        </w:tc>
        <w:tc>
          <w:tcPr>
            <w:tcW w:w="1454" w:type="dxa"/>
            <w:vMerge w:val="continue"/>
            <w:vAlign w:val="center"/>
          </w:tcPr>
          <w:p w14:paraId="16B54A9A">
            <w:pPr>
              <w:pStyle w:val="56"/>
              <w:jc w:val="center"/>
              <w:rPr>
                <w:color w:val="auto"/>
              </w:rPr>
            </w:pPr>
          </w:p>
        </w:tc>
        <w:tc>
          <w:tcPr>
            <w:tcW w:w="1661" w:type="dxa"/>
            <w:vAlign w:val="center"/>
          </w:tcPr>
          <w:p w14:paraId="53940791">
            <w:pPr>
              <w:pStyle w:val="56"/>
              <w:bidi w:val="0"/>
              <w:ind w:firstLine="0" w:firstLineChars="0"/>
              <w:rPr>
                <w:color w:val="auto"/>
              </w:rPr>
            </w:pPr>
            <w:r>
              <w:rPr>
                <w:rFonts w:hint="eastAsia"/>
                <w:lang w:val="en-US" w:eastAsia="zh-CN"/>
              </w:rPr>
              <w:t>废包装材料</w:t>
            </w:r>
          </w:p>
        </w:tc>
        <w:tc>
          <w:tcPr>
            <w:tcW w:w="1642" w:type="dxa"/>
            <w:vAlign w:val="center"/>
          </w:tcPr>
          <w:p w14:paraId="1940284E">
            <w:pPr>
              <w:pStyle w:val="56"/>
              <w:bidi w:val="0"/>
              <w:ind w:firstLine="0" w:firstLineChars="0"/>
              <w:rPr>
                <w:color w:val="auto"/>
              </w:rPr>
            </w:pPr>
            <w:r>
              <w:rPr>
                <w:rFonts w:hint="eastAsia"/>
                <w:lang w:val="en-US" w:eastAsia="zh-CN"/>
              </w:rPr>
              <w:t>回用于浇筑</w:t>
            </w:r>
          </w:p>
        </w:tc>
        <w:tc>
          <w:tcPr>
            <w:tcW w:w="3206" w:type="dxa"/>
            <w:vMerge w:val="continue"/>
            <w:vAlign w:val="center"/>
          </w:tcPr>
          <w:p w14:paraId="10C28D1C">
            <w:pPr>
              <w:pStyle w:val="56"/>
              <w:rPr>
                <w:color w:val="auto"/>
              </w:rPr>
            </w:pPr>
          </w:p>
        </w:tc>
      </w:tr>
      <w:tr w14:paraId="4A74E1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9" w:type="dxa"/>
            <w:vMerge w:val="continue"/>
            <w:vAlign w:val="center"/>
          </w:tcPr>
          <w:p w14:paraId="43FC9F46">
            <w:pPr>
              <w:pStyle w:val="56"/>
              <w:rPr>
                <w:color w:val="auto"/>
              </w:rPr>
            </w:pPr>
          </w:p>
        </w:tc>
        <w:tc>
          <w:tcPr>
            <w:tcW w:w="1454" w:type="dxa"/>
            <w:vMerge w:val="continue"/>
            <w:vAlign w:val="center"/>
          </w:tcPr>
          <w:p w14:paraId="46EC993C">
            <w:pPr>
              <w:pStyle w:val="56"/>
              <w:jc w:val="center"/>
              <w:rPr>
                <w:color w:val="auto"/>
              </w:rPr>
            </w:pPr>
          </w:p>
        </w:tc>
        <w:tc>
          <w:tcPr>
            <w:tcW w:w="1661" w:type="dxa"/>
            <w:vAlign w:val="center"/>
          </w:tcPr>
          <w:p w14:paraId="668E2D7E">
            <w:pPr>
              <w:pStyle w:val="56"/>
              <w:bidi w:val="0"/>
              <w:ind w:firstLine="0" w:firstLineChars="0"/>
              <w:rPr>
                <w:color w:val="auto"/>
              </w:rPr>
            </w:pPr>
            <w:r>
              <w:rPr>
                <w:rFonts w:hint="eastAsia"/>
              </w:rPr>
              <w:t>沉淀池及初期雨水池污泥</w:t>
            </w:r>
          </w:p>
        </w:tc>
        <w:tc>
          <w:tcPr>
            <w:tcW w:w="1642" w:type="dxa"/>
            <w:vAlign w:val="center"/>
          </w:tcPr>
          <w:p w14:paraId="39981CAD">
            <w:pPr>
              <w:pStyle w:val="56"/>
              <w:bidi w:val="0"/>
              <w:ind w:firstLine="0" w:firstLineChars="0"/>
              <w:rPr>
                <w:color w:val="auto"/>
              </w:rPr>
            </w:pPr>
            <w:r>
              <w:rPr>
                <w:rFonts w:hint="eastAsia"/>
                <w:lang w:val="en-US" w:eastAsia="zh-CN"/>
              </w:rPr>
              <w:t>外售综合利用</w:t>
            </w:r>
          </w:p>
        </w:tc>
        <w:tc>
          <w:tcPr>
            <w:tcW w:w="3206" w:type="dxa"/>
            <w:vMerge w:val="continue"/>
            <w:vAlign w:val="center"/>
          </w:tcPr>
          <w:p w14:paraId="117B3C92">
            <w:pPr>
              <w:pStyle w:val="56"/>
              <w:rPr>
                <w:color w:val="auto"/>
              </w:rPr>
            </w:pPr>
          </w:p>
        </w:tc>
      </w:tr>
      <w:tr w14:paraId="67D3A3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vMerge w:val="continue"/>
            <w:vAlign w:val="center"/>
          </w:tcPr>
          <w:p w14:paraId="67EDF150">
            <w:pPr>
              <w:pStyle w:val="56"/>
              <w:rPr>
                <w:color w:val="auto"/>
              </w:rPr>
            </w:pPr>
          </w:p>
        </w:tc>
        <w:tc>
          <w:tcPr>
            <w:tcW w:w="1454" w:type="dxa"/>
            <w:vMerge w:val="continue"/>
            <w:vAlign w:val="center"/>
          </w:tcPr>
          <w:p w14:paraId="34F08C48">
            <w:pPr>
              <w:pStyle w:val="56"/>
              <w:jc w:val="center"/>
              <w:rPr>
                <w:color w:val="auto"/>
              </w:rPr>
            </w:pPr>
          </w:p>
        </w:tc>
        <w:tc>
          <w:tcPr>
            <w:tcW w:w="1661" w:type="dxa"/>
            <w:vAlign w:val="center"/>
          </w:tcPr>
          <w:p w14:paraId="6A1A1AF5">
            <w:pPr>
              <w:pStyle w:val="56"/>
              <w:bidi w:val="0"/>
              <w:ind w:firstLine="0" w:firstLineChars="0"/>
              <w:jc w:val="left"/>
              <w:rPr>
                <w:color w:val="auto"/>
              </w:rPr>
            </w:pPr>
            <w:r>
              <w:rPr>
                <w:rFonts w:hint="eastAsia"/>
                <w:lang w:eastAsia="zh-CN"/>
              </w:rPr>
              <w:t>除尘装置收集粉尘</w:t>
            </w:r>
          </w:p>
        </w:tc>
        <w:tc>
          <w:tcPr>
            <w:tcW w:w="1642" w:type="dxa"/>
            <w:vAlign w:val="center"/>
          </w:tcPr>
          <w:p w14:paraId="07EA3B1D">
            <w:pPr>
              <w:pStyle w:val="56"/>
              <w:bidi w:val="0"/>
              <w:ind w:firstLine="0" w:firstLineChars="0"/>
              <w:rPr>
                <w:color w:val="auto"/>
              </w:rPr>
            </w:pPr>
            <w:r>
              <w:rPr>
                <w:rFonts w:hint="eastAsia"/>
                <w:lang w:val="en-US" w:eastAsia="zh-CN"/>
              </w:rPr>
              <w:t>交由资质单位处置</w:t>
            </w:r>
          </w:p>
        </w:tc>
        <w:tc>
          <w:tcPr>
            <w:tcW w:w="3206" w:type="dxa"/>
            <w:vMerge w:val="continue"/>
            <w:vAlign w:val="center"/>
          </w:tcPr>
          <w:p w14:paraId="2B4D320D">
            <w:pPr>
              <w:pStyle w:val="56"/>
              <w:rPr>
                <w:color w:val="auto"/>
              </w:rPr>
            </w:pPr>
          </w:p>
        </w:tc>
      </w:tr>
      <w:tr w14:paraId="6D3C3B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vMerge w:val="continue"/>
            <w:vAlign w:val="center"/>
          </w:tcPr>
          <w:p w14:paraId="3919A346">
            <w:pPr>
              <w:pStyle w:val="56"/>
              <w:rPr>
                <w:color w:val="auto"/>
              </w:rPr>
            </w:pPr>
          </w:p>
        </w:tc>
        <w:tc>
          <w:tcPr>
            <w:tcW w:w="1454" w:type="dxa"/>
            <w:vMerge w:val="continue"/>
            <w:vAlign w:val="center"/>
          </w:tcPr>
          <w:p w14:paraId="113685BA">
            <w:pPr>
              <w:pStyle w:val="56"/>
              <w:jc w:val="center"/>
              <w:rPr>
                <w:color w:val="auto"/>
              </w:rPr>
            </w:pPr>
          </w:p>
        </w:tc>
        <w:tc>
          <w:tcPr>
            <w:tcW w:w="1661" w:type="dxa"/>
            <w:vAlign w:val="center"/>
          </w:tcPr>
          <w:p w14:paraId="13EB65A1">
            <w:pPr>
              <w:pStyle w:val="56"/>
              <w:bidi w:val="0"/>
              <w:ind w:firstLine="0" w:firstLineChars="0"/>
              <w:rPr>
                <w:color w:val="auto"/>
              </w:rPr>
            </w:pPr>
            <w:r>
              <w:rPr>
                <w:rFonts w:hint="eastAsia"/>
                <w:lang w:eastAsia="zh-CN"/>
              </w:rPr>
              <w:t>废布袋</w:t>
            </w:r>
          </w:p>
        </w:tc>
        <w:tc>
          <w:tcPr>
            <w:tcW w:w="1642" w:type="dxa"/>
            <w:vAlign w:val="center"/>
          </w:tcPr>
          <w:p w14:paraId="0FA9EEEF">
            <w:pPr>
              <w:pStyle w:val="56"/>
              <w:bidi w:val="0"/>
              <w:ind w:firstLine="0" w:firstLineChars="0"/>
              <w:jc w:val="left"/>
              <w:rPr>
                <w:color w:val="auto"/>
              </w:rPr>
            </w:pPr>
            <w:r>
              <w:rPr>
                <w:rFonts w:hint="eastAsia"/>
                <w:lang w:val="en-US" w:eastAsia="zh-CN"/>
              </w:rPr>
              <w:t>全部回用于原产生工序生产</w:t>
            </w:r>
          </w:p>
        </w:tc>
        <w:tc>
          <w:tcPr>
            <w:tcW w:w="3206" w:type="dxa"/>
            <w:vMerge w:val="continue"/>
            <w:vAlign w:val="center"/>
          </w:tcPr>
          <w:p w14:paraId="4106EE06">
            <w:pPr>
              <w:pStyle w:val="56"/>
              <w:rPr>
                <w:color w:val="auto"/>
              </w:rPr>
            </w:pPr>
          </w:p>
        </w:tc>
      </w:tr>
      <w:tr w14:paraId="4B9ADF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vMerge w:val="continue"/>
            <w:vAlign w:val="center"/>
          </w:tcPr>
          <w:p w14:paraId="3798A452">
            <w:pPr>
              <w:pStyle w:val="56"/>
              <w:rPr>
                <w:color w:val="auto"/>
              </w:rPr>
            </w:pPr>
          </w:p>
        </w:tc>
        <w:tc>
          <w:tcPr>
            <w:tcW w:w="1454" w:type="dxa"/>
            <w:vMerge w:val="continue"/>
            <w:vAlign w:val="center"/>
          </w:tcPr>
          <w:p w14:paraId="3F37D874">
            <w:pPr>
              <w:pStyle w:val="56"/>
              <w:jc w:val="center"/>
              <w:rPr>
                <w:color w:val="auto"/>
              </w:rPr>
            </w:pPr>
          </w:p>
        </w:tc>
        <w:tc>
          <w:tcPr>
            <w:tcW w:w="1661" w:type="dxa"/>
            <w:vAlign w:val="center"/>
          </w:tcPr>
          <w:p w14:paraId="68C25E63">
            <w:pPr>
              <w:pStyle w:val="56"/>
              <w:bidi w:val="0"/>
              <w:ind w:firstLine="0" w:firstLineChars="0"/>
              <w:rPr>
                <w:color w:val="auto"/>
              </w:rPr>
            </w:pPr>
            <w:r>
              <w:rPr>
                <w:rFonts w:hint="eastAsia"/>
                <w:lang w:val="en-US" w:eastAsia="zh-CN"/>
              </w:rPr>
              <w:t>焊接烟尘</w:t>
            </w:r>
          </w:p>
        </w:tc>
        <w:tc>
          <w:tcPr>
            <w:tcW w:w="1642" w:type="dxa"/>
            <w:vAlign w:val="center"/>
          </w:tcPr>
          <w:p w14:paraId="00A4146A">
            <w:pPr>
              <w:pStyle w:val="56"/>
              <w:bidi w:val="0"/>
              <w:ind w:firstLine="0" w:firstLineChars="0"/>
              <w:rPr>
                <w:color w:val="auto"/>
              </w:rPr>
            </w:pPr>
            <w:r>
              <w:rPr>
                <w:rFonts w:hint="eastAsia"/>
                <w:lang w:eastAsia="zh-CN"/>
              </w:rPr>
              <w:t>厂家回收处置</w:t>
            </w:r>
          </w:p>
        </w:tc>
        <w:tc>
          <w:tcPr>
            <w:tcW w:w="3206" w:type="dxa"/>
            <w:vMerge w:val="continue"/>
            <w:vAlign w:val="center"/>
          </w:tcPr>
          <w:p w14:paraId="66F698E4">
            <w:pPr>
              <w:pStyle w:val="56"/>
              <w:rPr>
                <w:color w:val="auto"/>
              </w:rPr>
            </w:pPr>
          </w:p>
        </w:tc>
      </w:tr>
      <w:tr w14:paraId="637045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vMerge w:val="continue"/>
            <w:vAlign w:val="center"/>
          </w:tcPr>
          <w:p w14:paraId="722ECC74">
            <w:pPr>
              <w:pStyle w:val="56"/>
              <w:rPr>
                <w:color w:val="auto"/>
              </w:rPr>
            </w:pPr>
          </w:p>
        </w:tc>
        <w:tc>
          <w:tcPr>
            <w:tcW w:w="1454" w:type="dxa"/>
            <w:vMerge w:val="continue"/>
            <w:vAlign w:val="center"/>
          </w:tcPr>
          <w:p w14:paraId="37585D04">
            <w:pPr>
              <w:pStyle w:val="56"/>
              <w:jc w:val="center"/>
              <w:rPr>
                <w:color w:val="auto"/>
              </w:rPr>
            </w:pPr>
          </w:p>
        </w:tc>
        <w:tc>
          <w:tcPr>
            <w:tcW w:w="1661" w:type="dxa"/>
            <w:vAlign w:val="center"/>
          </w:tcPr>
          <w:p w14:paraId="0A71C9E1">
            <w:pPr>
              <w:pStyle w:val="56"/>
              <w:bidi w:val="0"/>
              <w:ind w:firstLine="0" w:firstLineChars="0"/>
              <w:rPr>
                <w:rFonts w:hint="default"/>
                <w:lang w:val="en-US" w:eastAsia="zh-CN"/>
              </w:rPr>
            </w:pPr>
            <w:r>
              <w:rPr>
                <w:rFonts w:hint="eastAsia"/>
                <w:lang w:val="en-US" w:eastAsia="zh-CN"/>
              </w:rPr>
              <w:t>报废零部件</w:t>
            </w:r>
          </w:p>
        </w:tc>
        <w:tc>
          <w:tcPr>
            <w:tcW w:w="1642" w:type="dxa"/>
            <w:vAlign w:val="center"/>
          </w:tcPr>
          <w:p w14:paraId="5ED95F96">
            <w:pPr>
              <w:pStyle w:val="56"/>
              <w:bidi w:val="0"/>
              <w:ind w:firstLine="0" w:firstLineChars="0"/>
              <w:rPr>
                <w:color w:val="auto"/>
              </w:rPr>
            </w:pPr>
            <w:r>
              <w:rPr>
                <w:rFonts w:hint="eastAsia"/>
                <w:lang w:val="en-US" w:eastAsia="zh-CN"/>
              </w:rPr>
              <w:t>外售综合利用</w:t>
            </w:r>
          </w:p>
        </w:tc>
        <w:tc>
          <w:tcPr>
            <w:tcW w:w="3206" w:type="dxa"/>
            <w:vMerge w:val="continue"/>
            <w:vAlign w:val="center"/>
          </w:tcPr>
          <w:p w14:paraId="5E8C530C">
            <w:pPr>
              <w:pStyle w:val="56"/>
              <w:rPr>
                <w:color w:val="auto"/>
              </w:rPr>
            </w:pPr>
          </w:p>
        </w:tc>
      </w:tr>
      <w:tr w14:paraId="3BA796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vMerge w:val="continue"/>
            <w:vAlign w:val="center"/>
          </w:tcPr>
          <w:p w14:paraId="6588095B">
            <w:pPr>
              <w:pStyle w:val="56"/>
              <w:rPr>
                <w:color w:val="auto"/>
              </w:rPr>
            </w:pPr>
          </w:p>
        </w:tc>
        <w:tc>
          <w:tcPr>
            <w:tcW w:w="1454" w:type="dxa"/>
            <w:vMerge w:val="continue"/>
            <w:vAlign w:val="center"/>
          </w:tcPr>
          <w:p w14:paraId="578CB1C3">
            <w:pPr>
              <w:pStyle w:val="56"/>
              <w:jc w:val="center"/>
              <w:rPr>
                <w:color w:val="auto"/>
              </w:rPr>
            </w:pPr>
          </w:p>
        </w:tc>
        <w:tc>
          <w:tcPr>
            <w:tcW w:w="1661" w:type="dxa"/>
            <w:vAlign w:val="center"/>
          </w:tcPr>
          <w:p w14:paraId="4E83155B">
            <w:pPr>
              <w:pStyle w:val="56"/>
              <w:bidi w:val="0"/>
              <w:ind w:firstLine="0" w:firstLineChars="0"/>
              <w:rPr>
                <w:color w:val="auto"/>
              </w:rPr>
            </w:pPr>
            <w:r>
              <w:t>生活垃圾</w:t>
            </w:r>
          </w:p>
        </w:tc>
        <w:tc>
          <w:tcPr>
            <w:tcW w:w="1642" w:type="dxa"/>
            <w:vAlign w:val="center"/>
          </w:tcPr>
          <w:p w14:paraId="7ABA5314">
            <w:pPr>
              <w:pStyle w:val="56"/>
              <w:bidi w:val="0"/>
              <w:ind w:firstLine="0" w:firstLineChars="0"/>
              <w:rPr>
                <w:color w:val="auto"/>
              </w:rPr>
            </w:pPr>
            <w:r>
              <w:rPr>
                <w:rFonts w:hint="eastAsia"/>
                <w:color w:val="FF0000"/>
                <w:lang w:val="en-US" w:eastAsia="zh-CN"/>
              </w:rPr>
              <w:t>外售综合利用</w:t>
            </w:r>
          </w:p>
        </w:tc>
        <w:tc>
          <w:tcPr>
            <w:tcW w:w="3206" w:type="dxa"/>
            <w:vMerge w:val="continue"/>
            <w:vAlign w:val="center"/>
          </w:tcPr>
          <w:p w14:paraId="57D721A0">
            <w:pPr>
              <w:pStyle w:val="56"/>
              <w:rPr>
                <w:color w:val="auto"/>
              </w:rPr>
            </w:pPr>
          </w:p>
        </w:tc>
      </w:tr>
      <w:tr w14:paraId="271729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9" w:type="dxa"/>
            <w:vMerge w:val="continue"/>
            <w:vAlign w:val="center"/>
          </w:tcPr>
          <w:p w14:paraId="34C820D6">
            <w:pPr>
              <w:pStyle w:val="56"/>
              <w:rPr>
                <w:color w:val="auto"/>
              </w:rPr>
            </w:pPr>
          </w:p>
        </w:tc>
        <w:tc>
          <w:tcPr>
            <w:tcW w:w="1454" w:type="dxa"/>
            <w:vMerge w:val="restart"/>
            <w:vAlign w:val="center"/>
          </w:tcPr>
          <w:p w14:paraId="7724893E">
            <w:pPr>
              <w:pStyle w:val="56"/>
              <w:jc w:val="center"/>
              <w:rPr>
                <w:color w:val="auto"/>
              </w:rPr>
            </w:pPr>
            <w:r>
              <w:rPr>
                <w:rFonts w:hint="eastAsia"/>
                <w:color w:val="auto"/>
              </w:rPr>
              <w:t>危险废物</w:t>
            </w:r>
          </w:p>
        </w:tc>
        <w:tc>
          <w:tcPr>
            <w:tcW w:w="1661" w:type="dxa"/>
            <w:vAlign w:val="center"/>
          </w:tcPr>
          <w:p w14:paraId="122F71DC">
            <w:pPr>
              <w:pStyle w:val="56"/>
              <w:bidi w:val="0"/>
              <w:ind w:firstLine="0" w:firstLineChars="0"/>
              <w:rPr>
                <w:color w:val="auto"/>
              </w:rPr>
            </w:pPr>
            <w:r>
              <w:t>沾染矿物油包装桶</w:t>
            </w:r>
          </w:p>
        </w:tc>
        <w:tc>
          <w:tcPr>
            <w:tcW w:w="1642" w:type="dxa"/>
            <w:vMerge w:val="restart"/>
            <w:vAlign w:val="center"/>
          </w:tcPr>
          <w:p w14:paraId="32324FA2">
            <w:pPr>
              <w:pStyle w:val="56"/>
              <w:rPr>
                <w:color w:val="auto"/>
              </w:rPr>
            </w:pPr>
            <w:r>
              <w:rPr>
                <w:rFonts w:hint="eastAsia"/>
                <w:color w:val="auto"/>
              </w:rPr>
              <w:t>委托有资质单位处理</w:t>
            </w:r>
          </w:p>
        </w:tc>
        <w:tc>
          <w:tcPr>
            <w:tcW w:w="3206" w:type="dxa"/>
            <w:vMerge w:val="continue"/>
            <w:vAlign w:val="center"/>
          </w:tcPr>
          <w:p w14:paraId="6DFF549F">
            <w:pPr>
              <w:pStyle w:val="56"/>
              <w:rPr>
                <w:color w:val="auto"/>
              </w:rPr>
            </w:pPr>
          </w:p>
        </w:tc>
      </w:tr>
      <w:tr w14:paraId="38A589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9" w:type="dxa"/>
            <w:vMerge w:val="continue"/>
            <w:vAlign w:val="center"/>
          </w:tcPr>
          <w:p w14:paraId="2319A5FB">
            <w:pPr>
              <w:pStyle w:val="56"/>
              <w:rPr>
                <w:color w:val="auto"/>
              </w:rPr>
            </w:pPr>
          </w:p>
        </w:tc>
        <w:tc>
          <w:tcPr>
            <w:tcW w:w="1454" w:type="dxa"/>
            <w:vMerge w:val="continue"/>
            <w:vAlign w:val="center"/>
          </w:tcPr>
          <w:p w14:paraId="39E968A0">
            <w:pPr>
              <w:pStyle w:val="56"/>
              <w:jc w:val="center"/>
              <w:rPr>
                <w:color w:val="auto"/>
              </w:rPr>
            </w:pPr>
          </w:p>
        </w:tc>
        <w:tc>
          <w:tcPr>
            <w:tcW w:w="1661" w:type="dxa"/>
            <w:vAlign w:val="center"/>
          </w:tcPr>
          <w:p w14:paraId="7E5102F1">
            <w:pPr>
              <w:pStyle w:val="56"/>
              <w:bidi w:val="0"/>
              <w:ind w:firstLine="0" w:firstLineChars="0"/>
              <w:rPr>
                <w:color w:val="auto"/>
              </w:rPr>
            </w:pPr>
            <w:r>
              <w:rPr>
                <w:rFonts w:hint="eastAsia"/>
                <w:lang w:eastAsia="zh-CN"/>
              </w:rPr>
              <w:t>废弃含油抹布、劳保用品</w:t>
            </w:r>
          </w:p>
        </w:tc>
        <w:tc>
          <w:tcPr>
            <w:tcW w:w="1642" w:type="dxa"/>
            <w:vMerge w:val="continue"/>
            <w:vAlign w:val="center"/>
          </w:tcPr>
          <w:p w14:paraId="320D184F">
            <w:pPr>
              <w:pStyle w:val="56"/>
              <w:rPr>
                <w:color w:val="auto"/>
              </w:rPr>
            </w:pPr>
          </w:p>
        </w:tc>
        <w:tc>
          <w:tcPr>
            <w:tcW w:w="3206" w:type="dxa"/>
            <w:vMerge w:val="continue"/>
            <w:vAlign w:val="center"/>
          </w:tcPr>
          <w:p w14:paraId="4775D8DF">
            <w:pPr>
              <w:pStyle w:val="56"/>
              <w:rPr>
                <w:color w:val="auto"/>
              </w:rPr>
            </w:pPr>
          </w:p>
        </w:tc>
      </w:tr>
      <w:tr w14:paraId="0BC63A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9" w:type="dxa"/>
            <w:vMerge w:val="continue"/>
            <w:vAlign w:val="center"/>
          </w:tcPr>
          <w:p w14:paraId="64BE68A3">
            <w:pPr>
              <w:pStyle w:val="56"/>
              <w:rPr>
                <w:color w:val="auto"/>
              </w:rPr>
            </w:pPr>
          </w:p>
        </w:tc>
        <w:tc>
          <w:tcPr>
            <w:tcW w:w="1454" w:type="dxa"/>
            <w:vMerge w:val="continue"/>
            <w:vAlign w:val="center"/>
          </w:tcPr>
          <w:p w14:paraId="7D7C2F0F">
            <w:pPr>
              <w:pStyle w:val="56"/>
              <w:jc w:val="center"/>
              <w:rPr>
                <w:color w:val="auto"/>
              </w:rPr>
            </w:pPr>
          </w:p>
        </w:tc>
        <w:tc>
          <w:tcPr>
            <w:tcW w:w="1661" w:type="dxa"/>
            <w:vAlign w:val="center"/>
          </w:tcPr>
          <w:p w14:paraId="5738D96E">
            <w:pPr>
              <w:pStyle w:val="56"/>
              <w:bidi w:val="0"/>
              <w:ind w:firstLine="0" w:firstLineChars="0"/>
              <w:rPr>
                <w:rFonts w:hint="eastAsia" w:eastAsia="宋体"/>
                <w:color w:val="auto"/>
                <w:lang w:eastAsia="zh-CN"/>
              </w:rPr>
            </w:pPr>
            <w:r>
              <w:rPr>
                <w:rFonts w:hint="eastAsia"/>
                <w:lang w:val="en-US" w:eastAsia="zh-CN"/>
              </w:rPr>
              <w:t>废机油</w:t>
            </w:r>
          </w:p>
        </w:tc>
        <w:tc>
          <w:tcPr>
            <w:tcW w:w="1642" w:type="dxa"/>
            <w:vMerge w:val="continue"/>
            <w:vAlign w:val="center"/>
          </w:tcPr>
          <w:p w14:paraId="5FE225DD">
            <w:pPr>
              <w:pStyle w:val="56"/>
              <w:rPr>
                <w:color w:val="auto"/>
              </w:rPr>
            </w:pPr>
          </w:p>
        </w:tc>
        <w:tc>
          <w:tcPr>
            <w:tcW w:w="3206" w:type="dxa"/>
            <w:vMerge w:val="continue"/>
            <w:vAlign w:val="center"/>
          </w:tcPr>
          <w:p w14:paraId="2F7DDBFD">
            <w:pPr>
              <w:pStyle w:val="56"/>
              <w:rPr>
                <w:color w:val="auto"/>
              </w:rPr>
            </w:pPr>
          </w:p>
        </w:tc>
      </w:tr>
      <w:tr w14:paraId="123724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9" w:type="dxa"/>
            <w:vAlign w:val="center"/>
          </w:tcPr>
          <w:p w14:paraId="1F20D245">
            <w:pPr>
              <w:pStyle w:val="56"/>
              <w:rPr>
                <w:color w:val="auto"/>
              </w:rPr>
            </w:pPr>
            <w:r>
              <w:rPr>
                <w:rFonts w:hint="eastAsia"/>
                <w:color w:val="auto"/>
              </w:rPr>
              <w:t>土壤及地下水</w:t>
            </w:r>
          </w:p>
          <w:p w14:paraId="2CE962B7">
            <w:pPr>
              <w:pStyle w:val="56"/>
              <w:rPr>
                <w:color w:val="auto"/>
              </w:rPr>
            </w:pPr>
            <w:r>
              <w:rPr>
                <w:rFonts w:hint="eastAsia"/>
                <w:color w:val="auto"/>
              </w:rPr>
              <w:t>污染防治措施</w:t>
            </w:r>
          </w:p>
        </w:tc>
        <w:tc>
          <w:tcPr>
            <w:tcW w:w="7963" w:type="dxa"/>
            <w:gridSpan w:val="4"/>
            <w:vAlign w:val="center"/>
          </w:tcPr>
          <w:p w14:paraId="09C931D3">
            <w:pPr>
              <w:ind w:firstLine="480"/>
              <w:rPr>
                <w:color w:val="auto"/>
                <w:lang w:val="zh-CN"/>
              </w:rPr>
            </w:pPr>
            <w:r>
              <w:rPr>
                <w:color w:val="auto"/>
                <w:lang w:val="zh-CN"/>
              </w:rPr>
              <w:t>重点防渗区：重点防渗区的防渗性能应与6m厚粘土层</w:t>
            </w:r>
            <w:r>
              <w:rPr>
                <w:rFonts w:hint="eastAsia"/>
                <w:color w:val="auto"/>
                <w:lang w:val="zh-CN"/>
              </w:rPr>
              <w:t>（</w:t>
            </w:r>
            <w:r>
              <w:rPr>
                <w:color w:val="auto"/>
                <w:lang w:val="zh-CN"/>
              </w:rPr>
              <w:t>渗透系数1.0×10</w:t>
            </w:r>
            <w:r>
              <w:rPr>
                <w:color w:val="auto"/>
                <w:vertAlign w:val="superscript"/>
                <w:lang w:val="zh-CN"/>
              </w:rPr>
              <w:t>-7</w:t>
            </w:r>
            <w:r>
              <w:rPr>
                <w:color w:val="auto"/>
                <w:lang w:val="zh-CN"/>
              </w:rPr>
              <w:t>cm/s</w:t>
            </w:r>
            <w:r>
              <w:rPr>
                <w:rFonts w:hint="eastAsia"/>
                <w:color w:val="auto"/>
                <w:lang w:val="zh-CN"/>
              </w:rPr>
              <w:t>）</w:t>
            </w:r>
            <w:r>
              <w:rPr>
                <w:color w:val="auto"/>
                <w:lang w:val="zh-CN"/>
              </w:rPr>
              <w:t>等效，或参照GB18598执行。</w:t>
            </w:r>
          </w:p>
          <w:p w14:paraId="5EFE418E">
            <w:pPr>
              <w:ind w:firstLine="480"/>
              <w:rPr>
                <w:color w:val="auto"/>
                <w:lang w:val="zh-CN"/>
              </w:rPr>
            </w:pPr>
            <w:r>
              <w:rPr>
                <w:color w:val="auto"/>
                <w:lang w:val="zh-CN"/>
              </w:rPr>
              <w:t>一般防渗区：生产区。一般防渗区的防渗性能应与1.5m厚粘土层（渗透系数1.0×10</w:t>
            </w:r>
            <w:r>
              <w:rPr>
                <w:color w:val="auto"/>
                <w:vertAlign w:val="superscript"/>
                <w:lang w:val="zh-CN"/>
              </w:rPr>
              <w:t>-7</w:t>
            </w:r>
            <w:r>
              <w:rPr>
                <w:color w:val="auto"/>
                <w:lang w:val="zh-CN"/>
              </w:rPr>
              <w:t>cm/s）等效，或参照GB16889执行。</w:t>
            </w:r>
          </w:p>
          <w:p w14:paraId="7DA7AD66">
            <w:pPr>
              <w:ind w:firstLine="480"/>
              <w:rPr>
                <w:color w:val="auto"/>
              </w:rPr>
            </w:pPr>
            <w:r>
              <w:rPr>
                <w:color w:val="auto"/>
                <w:lang w:val="zh-CN"/>
              </w:rPr>
              <w:t>简单防渗区：</w:t>
            </w:r>
            <w:r>
              <w:rPr>
                <w:rFonts w:hint="eastAsia"/>
                <w:color w:val="auto"/>
                <w:lang w:val="zh-CN"/>
              </w:rPr>
              <w:t>通道</w:t>
            </w:r>
            <w:r>
              <w:rPr>
                <w:color w:val="auto"/>
                <w:lang w:val="zh-CN"/>
              </w:rPr>
              <w:t>进行一般地面硬化。</w:t>
            </w:r>
          </w:p>
        </w:tc>
      </w:tr>
      <w:tr w14:paraId="176D9D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9" w:type="dxa"/>
            <w:vAlign w:val="center"/>
          </w:tcPr>
          <w:p w14:paraId="2CED540D">
            <w:pPr>
              <w:pStyle w:val="56"/>
              <w:rPr>
                <w:color w:val="auto"/>
              </w:rPr>
            </w:pPr>
            <w:r>
              <w:rPr>
                <w:rFonts w:hint="eastAsia"/>
                <w:color w:val="auto"/>
              </w:rPr>
              <w:t>生态保护措施</w:t>
            </w:r>
          </w:p>
        </w:tc>
        <w:tc>
          <w:tcPr>
            <w:tcW w:w="7963" w:type="dxa"/>
            <w:gridSpan w:val="4"/>
            <w:vAlign w:val="center"/>
          </w:tcPr>
          <w:p w14:paraId="267B1835">
            <w:pPr>
              <w:widowControl/>
              <w:ind w:firstLine="480"/>
              <w:jc w:val="left"/>
              <w:rPr>
                <w:color w:val="auto"/>
              </w:rPr>
            </w:pPr>
            <w:r>
              <w:rPr>
                <w:rFonts w:hint="eastAsia"/>
                <w:color w:val="auto"/>
              </w:rPr>
              <w:t>本项目选址位于工业园区内，</w:t>
            </w:r>
            <w:r>
              <w:rPr>
                <w:rFonts w:hint="eastAsia" w:ascii="宋体" w:hAnsi="宋体" w:cs="宋体"/>
                <w:color w:val="auto"/>
                <w:kern w:val="0"/>
                <w:lang w:bidi="ar"/>
              </w:rPr>
              <w:t>本项目地块处于人类活动频繁区，无原始植被生长和珍贵野生动物活动，区域生态系统敏感程度较低，无需重点保护的生态环境。</w:t>
            </w:r>
          </w:p>
        </w:tc>
      </w:tr>
      <w:tr w14:paraId="4BC3AD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9" w:type="dxa"/>
            <w:vAlign w:val="center"/>
          </w:tcPr>
          <w:p w14:paraId="1A55563B">
            <w:pPr>
              <w:pStyle w:val="56"/>
              <w:rPr>
                <w:color w:val="auto"/>
              </w:rPr>
            </w:pPr>
            <w:r>
              <w:rPr>
                <w:rFonts w:hint="eastAsia"/>
                <w:color w:val="auto"/>
              </w:rPr>
              <w:t>环境风险</w:t>
            </w:r>
          </w:p>
          <w:p w14:paraId="3024C6CC">
            <w:pPr>
              <w:pStyle w:val="56"/>
              <w:rPr>
                <w:color w:val="auto"/>
              </w:rPr>
            </w:pPr>
            <w:r>
              <w:rPr>
                <w:rFonts w:hint="eastAsia"/>
                <w:color w:val="auto"/>
              </w:rPr>
              <w:t>防范措施</w:t>
            </w:r>
          </w:p>
        </w:tc>
        <w:tc>
          <w:tcPr>
            <w:tcW w:w="7963" w:type="dxa"/>
            <w:gridSpan w:val="4"/>
            <w:vAlign w:val="center"/>
          </w:tcPr>
          <w:p w14:paraId="212FD68E">
            <w:pPr>
              <w:ind w:firstLine="480"/>
              <w:rPr>
                <w:color w:val="auto"/>
              </w:rPr>
            </w:pPr>
            <w:r>
              <w:rPr>
                <w:rFonts w:hint="eastAsia"/>
                <w:color w:val="auto"/>
              </w:rPr>
              <w:t>加强员工的思想、道德教育，提高员工的责任心和主观能动性：完善并严格遵守相关的操作规程，加强岗位培训，落实岗位责任制；加强设备管理，特别是对易产生有毒物质泄漏的部位加强检查。</w:t>
            </w:r>
          </w:p>
          <w:p w14:paraId="3AED94DF">
            <w:pPr>
              <w:ind w:firstLine="480"/>
              <w:rPr>
                <w:color w:val="auto"/>
              </w:rPr>
            </w:pPr>
            <w:r>
              <w:rPr>
                <w:rFonts w:hint="eastAsia"/>
                <w:color w:val="auto"/>
              </w:rPr>
              <w:t>建立事故预防、监测、检验、报警系统；采取技术、工艺、设备、管理等综合预防措施，避免有毒物质意外泄漏事故发生；生产过程中的风险物质必须加强管理，当发生泄漏事故时能及时处理，使事故能够得到及时</w:t>
            </w:r>
            <w:r>
              <w:rPr>
                <w:rFonts w:hint="eastAsia"/>
                <w:color w:val="auto"/>
                <w:lang w:eastAsia="zh-CN"/>
              </w:rPr>
              <w:t>遏</w:t>
            </w:r>
            <w:r>
              <w:rPr>
                <w:rFonts w:hint="eastAsia"/>
                <w:color w:val="auto"/>
              </w:rPr>
              <w:t>杀；生产场所应设置相应的通风设施，确保工作人员不受有害气体的危害；对输送管道、管件等以及与之相关的设备进行重点安全监督。</w:t>
            </w:r>
          </w:p>
          <w:p w14:paraId="2A9B1777">
            <w:pPr>
              <w:ind w:firstLine="480"/>
              <w:rPr>
                <w:color w:val="auto"/>
              </w:rPr>
            </w:pPr>
            <w:r>
              <w:rPr>
                <w:rFonts w:hint="eastAsia"/>
                <w:color w:val="auto"/>
              </w:rPr>
              <w:t>提高项目生产的自动化控制水平，减少生产系统的操作偏差，确保拟建项目的生产安全。</w:t>
            </w:r>
          </w:p>
          <w:p w14:paraId="3286FAF6">
            <w:pPr>
              <w:ind w:firstLine="480"/>
              <w:rPr>
                <w:color w:val="auto"/>
              </w:rPr>
            </w:pPr>
            <w:r>
              <w:rPr>
                <w:rFonts w:hint="eastAsia"/>
                <w:color w:val="auto"/>
              </w:rPr>
              <w:t>加强事故管理，在生产过程中注意对其它单位相关事故的研究，充分吸取经验和教训。</w:t>
            </w:r>
          </w:p>
        </w:tc>
      </w:tr>
      <w:tr w14:paraId="330CE8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81" w:hRule="atLeast"/>
          <w:jc w:val="center"/>
        </w:trPr>
        <w:tc>
          <w:tcPr>
            <w:tcW w:w="1019" w:type="dxa"/>
            <w:vAlign w:val="center"/>
          </w:tcPr>
          <w:p w14:paraId="5C200B6C">
            <w:pPr>
              <w:pStyle w:val="56"/>
              <w:rPr>
                <w:color w:val="auto"/>
              </w:rPr>
            </w:pPr>
            <w:r>
              <w:rPr>
                <w:rFonts w:hint="eastAsia"/>
                <w:color w:val="auto"/>
              </w:rPr>
              <w:t>其他环境</w:t>
            </w:r>
          </w:p>
          <w:p w14:paraId="390000FB">
            <w:pPr>
              <w:pStyle w:val="56"/>
              <w:rPr>
                <w:color w:val="auto"/>
              </w:rPr>
            </w:pPr>
            <w:r>
              <w:rPr>
                <w:rFonts w:hint="eastAsia"/>
                <w:color w:val="auto"/>
              </w:rPr>
              <w:t>管理要求</w:t>
            </w:r>
          </w:p>
        </w:tc>
        <w:tc>
          <w:tcPr>
            <w:tcW w:w="7963" w:type="dxa"/>
            <w:gridSpan w:val="4"/>
            <w:vAlign w:val="center"/>
          </w:tcPr>
          <w:p w14:paraId="4D184FC1">
            <w:pPr>
              <w:ind w:firstLine="480"/>
              <w:rPr>
                <w:color w:val="auto"/>
              </w:rPr>
            </w:pPr>
            <w:r>
              <w:rPr>
                <w:color w:val="auto"/>
              </w:rPr>
              <w:t>（1）环境管理</w:t>
            </w:r>
          </w:p>
          <w:p w14:paraId="3CCBD213">
            <w:pPr>
              <w:ind w:firstLine="480"/>
              <w:rPr>
                <w:color w:val="auto"/>
              </w:rPr>
            </w:pPr>
            <w:r>
              <w:rPr>
                <w:color w:val="auto"/>
              </w:rPr>
              <w:t>①负责贯彻和监督执行国家环境保护法规以及上级环保主管部门制定的环境法规和环境政策。</w:t>
            </w:r>
          </w:p>
          <w:p w14:paraId="6972258C">
            <w:pPr>
              <w:ind w:firstLine="480"/>
              <w:rPr>
                <w:color w:val="auto"/>
              </w:rPr>
            </w:pPr>
            <w:r>
              <w:rPr>
                <w:color w:val="auto"/>
              </w:rPr>
              <w:t>②根据有关法规，结合公司的实际情况，制定全公司的环保规章制度，并负责监督检查。</w:t>
            </w:r>
          </w:p>
          <w:p w14:paraId="32528FE5">
            <w:pPr>
              <w:ind w:firstLine="480"/>
              <w:rPr>
                <w:color w:val="auto"/>
              </w:rPr>
            </w:pPr>
            <w:r>
              <w:rPr>
                <w:color w:val="auto"/>
              </w:rPr>
              <w:t>③编制公司所有环保设施的操作规程，监督环保设施的运转。对于违反操作规程而造成对环境污染事故及时进行处理，消除污染，并对有关车间领导人员及操作人员进行处罚。</w:t>
            </w:r>
          </w:p>
          <w:p w14:paraId="6A3714C3">
            <w:pPr>
              <w:ind w:firstLine="480"/>
              <w:rPr>
                <w:color w:val="auto"/>
              </w:rPr>
            </w:pPr>
            <w:r>
              <w:rPr>
                <w:color w:val="auto"/>
              </w:rPr>
              <w:t>④负责协调由于生产调度等原因</w:t>
            </w:r>
            <w:r>
              <w:rPr>
                <w:rFonts w:hint="eastAsia"/>
                <w:color w:val="auto"/>
                <w:lang w:eastAsia="zh-CN"/>
              </w:rPr>
              <w:t>造成</w:t>
            </w:r>
            <w:r>
              <w:rPr>
                <w:color w:val="auto"/>
              </w:rPr>
              <w:t>环境污染的事故，在环保设施运行不正常时，应及时向生产调度要求安排合理的生产计划，保证环境不受污染。</w:t>
            </w:r>
          </w:p>
          <w:p w14:paraId="42FD56E2">
            <w:pPr>
              <w:ind w:firstLine="480"/>
              <w:rPr>
                <w:color w:val="auto"/>
              </w:rPr>
            </w:pPr>
            <w:r>
              <w:rPr>
                <w:color w:val="auto"/>
              </w:rPr>
              <w:t>⑤负责项目“三同时”的监督执行。</w:t>
            </w:r>
          </w:p>
          <w:p w14:paraId="51D2925B">
            <w:pPr>
              <w:ind w:firstLine="480"/>
              <w:rPr>
                <w:color w:val="auto"/>
              </w:rPr>
            </w:pPr>
            <w:r>
              <w:rPr>
                <w:color w:val="auto"/>
              </w:rPr>
              <w:t>⑥负责污染事故的及时处理</w:t>
            </w:r>
            <w:r>
              <w:rPr>
                <w:rFonts w:hint="eastAsia"/>
                <w:color w:val="auto"/>
                <w:lang w:eastAsia="zh-CN"/>
              </w:rPr>
              <w:t>，对</w:t>
            </w:r>
            <w:r>
              <w:rPr>
                <w:color w:val="auto"/>
              </w:rPr>
              <w:t>事故原因调查分析，及时上报，并提出整治措施，杜绝事故发生。</w:t>
            </w:r>
          </w:p>
          <w:p w14:paraId="0D520A02">
            <w:pPr>
              <w:ind w:firstLine="480"/>
              <w:rPr>
                <w:color w:val="auto"/>
              </w:rPr>
            </w:pPr>
            <w:r>
              <w:rPr>
                <w:color w:val="auto"/>
              </w:rPr>
              <w:t>⑦建立全公司的污染源档案，进行环境统计和上报工作。</w:t>
            </w:r>
          </w:p>
          <w:p w14:paraId="24D7B9C1">
            <w:pPr>
              <w:ind w:firstLine="480"/>
              <w:rPr>
                <w:color w:val="auto"/>
              </w:rPr>
            </w:pPr>
            <w:r>
              <w:rPr>
                <w:color w:val="auto"/>
              </w:rPr>
              <w:t>⑧建立日常环境管理制度、组织机构和环境管理台账，明确各项环境保护设施</w:t>
            </w:r>
            <w:r>
              <w:rPr>
                <w:rFonts w:hint="eastAsia"/>
                <w:color w:val="auto"/>
              </w:rPr>
              <w:t>和措施的建设、运行及维护费用保障计划。</w:t>
            </w:r>
          </w:p>
          <w:p w14:paraId="02942549">
            <w:pPr>
              <w:ind w:firstLine="480"/>
              <w:rPr>
                <w:color w:val="auto"/>
              </w:rPr>
            </w:pPr>
            <w:r>
              <w:rPr>
                <w:rFonts w:hint="eastAsia"/>
                <w:color w:val="auto"/>
              </w:rPr>
              <w:t>（</w:t>
            </w:r>
            <w:r>
              <w:rPr>
                <w:rFonts w:hint="eastAsia"/>
                <w:color w:val="auto"/>
                <w:lang w:val="en-US" w:eastAsia="zh-CN"/>
              </w:rPr>
              <w:t>2</w:t>
            </w:r>
            <w:r>
              <w:rPr>
                <w:rFonts w:hint="eastAsia"/>
                <w:color w:val="auto"/>
              </w:rPr>
              <w:t>）</w:t>
            </w:r>
            <w:r>
              <w:rPr>
                <w:color w:val="auto"/>
              </w:rPr>
              <w:t>排污口规范化</w:t>
            </w:r>
          </w:p>
          <w:p w14:paraId="1BF1224D">
            <w:pPr>
              <w:ind w:firstLine="480"/>
              <w:rPr>
                <w:color w:val="auto"/>
              </w:rPr>
            </w:pPr>
            <w:r>
              <w:rPr>
                <w:color w:val="auto"/>
              </w:rPr>
              <w:t>废水排放口、固定噪声源、固体废物贮存和排气筒必须按照国家和江西省的有关规定进行建设，</w:t>
            </w:r>
            <w:r>
              <w:rPr>
                <w:rFonts w:hint="eastAsia"/>
                <w:color w:val="auto"/>
              </w:rPr>
              <w:t>应符合“一明显、二合理、三便于”</w:t>
            </w:r>
            <w:r>
              <w:rPr>
                <w:color w:val="auto"/>
              </w:rPr>
              <w:t>的要求，即环保标志明显，排污口设置合理，便于采集样品、便于监测计量、便于公众参与和监督管理。同时要求按照国家环保总局制定的《环境保护图形标志实施细则（试行）》的规定，设置与排污口相应的图形标志牌。</w:t>
            </w:r>
          </w:p>
          <w:p w14:paraId="7028CD33">
            <w:pPr>
              <w:ind w:firstLine="480"/>
              <w:rPr>
                <w:color w:val="auto"/>
              </w:rPr>
            </w:pPr>
            <w:r>
              <w:rPr>
                <w:rFonts w:hint="eastAsia"/>
                <w:color w:val="auto"/>
              </w:rPr>
              <w:t>①</w:t>
            </w:r>
            <w:r>
              <w:rPr>
                <w:color w:val="auto"/>
              </w:rPr>
              <w:t>排污口管理。建设单位应在各个排污口处</w:t>
            </w:r>
            <w:r>
              <w:rPr>
                <w:rFonts w:hint="eastAsia"/>
                <w:color w:val="auto"/>
                <w:lang w:eastAsia="zh-CN"/>
              </w:rPr>
              <w:t>竖立标志牌</w:t>
            </w:r>
            <w:r>
              <w:rPr>
                <w:color w:val="auto"/>
              </w:rPr>
              <w:t>，并如实填写《中华人民共和国规范化排污口标记登记证》，由环保部门签发。环保主管部门和建设单位可分别按以下内容建立排污口管理的专门档案：排污口性质和编号；位置；排放主要污染物种类、数量、浓度；排放去向；达标情况；治理设施运行情况及整改意见。</w:t>
            </w:r>
          </w:p>
          <w:p w14:paraId="3C8049B6">
            <w:pPr>
              <w:ind w:firstLine="480"/>
              <w:rPr>
                <w:color w:val="auto"/>
              </w:rPr>
            </w:pPr>
            <w:r>
              <w:rPr>
                <w:rFonts w:hint="eastAsia"/>
                <w:color w:val="auto"/>
              </w:rPr>
              <w:t>②</w:t>
            </w:r>
            <w:r>
              <w:rPr>
                <w:color w:val="auto"/>
              </w:rPr>
              <w:t>环境保护图形标志</w:t>
            </w:r>
          </w:p>
          <w:p w14:paraId="0A104228">
            <w:pPr>
              <w:ind w:firstLine="480"/>
              <w:rPr>
                <w:color w:val="auto"/>
              </w:rPr>
            </w:pPr>
            <w:r>
              <w:rPr>
                <w:color w:val="auto"/>
              </w:rPr>
              <w:t>在厂区的废气排放源、固体废物贮存处置场应设置环境保护图形标志，图形符号分为提示图形和警告图形符号两种，分别按GB15562.1-1995、GB15562.2-1995执行。环境保护图形标志的形状及颜色见表</w:t>
            </w:r>
            <w:r>
              <w:rPr>
                <w:rFonts w:hint="eastAsia"/>
                <w:color w:val="auto"/>
              </w:rPr>
              <w:t>5-2</w:t>
            </w:r>
            <w:r>
              <w:rPr>
                <w:color w:val="auto"/>
              </w:rPr>
              <w:t>，环境保护图形符号见</w:t>
            </w:r>
            <w:r>
              <w:rPr>
                <w:rFonts w:hint="eastAsia"/>
                <w:color w:val="auto"/>
              </w:rPr>
              <w:t>下表</w:t>
            </w:r>
            <w:r>
              <w:rPr>
                <w:color w:val="auto"/>
              </w:rPr>
              <w:t>。</w:t>
            </w:r>
          </w:p>
          <w:p w14:paraId="6D04C2F1">
            <w:pPr>
              <w:pStyle w:val="59"/>
              <w:numPr>
                <w:ilvl w:val="0"/>
                <w:numId w:val="0"/>
              </w:numPr>
              <w:tabs>
                <w:tab w:val="left" w:pos="0"/>
              </w:tabs>
              <w:ind w:left="0" w:leftChars="0" w:firstLine="0" w:firstLineChars="0"/>
              <w:rPr>
                <w:b/>
                <w:bCs/>
                <w:color w:val="auto"/>
              </w:rPr>
            </w:pPr>
            <w:r>
              <w:rPr>
                <w:rFonts w:hint="default" w:ascii="Times New Roman" w:hAnsi="Times New Roman" w:eastAsia="宋体" w:cs="Times New Roman"/>
                <w:b/>
                <w:bCs/>
                <w:color w:val="auto"/>
                <w:kern w:val="2"/>
                <w:sz w:val="21"/>
                <w:szCs w:val="21"/>
                <w:lang w:val="en-US" w:eastAsia="zh-CN" w:bidi="ar-SA"/>
              </w:rPr>
              <w:t>表5-1</w:t>
            </w:r>
            <w:r>
              <w:rPr>
                <w:rFonts w:hint="default" w:ascii="Times New Roman" w:hAnsi="Times New Roman" w:eastAsia="宋体" w:cs="Times New Roman"/>
                <w:b/>
                <w:bCs/>
                <w:color w:val="auto"/>
                <w:kern w:val="2"/>
                <w:sz w:val="24"/>
                <w:szCs w:val="24"/>
                <w:lang w:val="en-US" w:eastAsia="zh-CN" w:bidi="ar-SA"/>
              </w:rPr>
              <w:t xml:space="preserve"> </w:t>
            </w:r>
            <w:r>
              <w:rPr>
                <w:b/>
                <w:bCs/>
                <w:color w:val="auto"/>
              </w:rPr>
              <w:t>环境保护图形标志的形状及颜色表</w:t>
            </w:r>
          </w:p>
          <w:tbl>
            <w:tblPr>
              <w:tblStyle w:val="41"/>
              <w:tblW w:w="4997"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932"/>
              <w:gridCol w:w="1933"/>
              <w:gridCol w:w="1936"/>
              <w:gridCol w:w="1936"/>
            </w:tblGrid>
            <w:tr w14:paraId="24B1418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6" w:hRule="atLeast"/>
                <w:jc w:val="center"/>
              </w:trPr>
              <w:tc>
                <w:tcPr>
                  <w:tcW w:w="1249" w:type="pct"/>
                  <w:tcBorders>
                    <w:tl2br w:val="nil"/>
                    <w:tr2bl w:val="nil"/>
                  </w:tcBorders>
                  <w:vAlign w:val="center"/>
                </w:tcPr>
                <w:p w14:paraId="2066D3E0">
                  <w:pPr>
                    <w:pStyle w:val="56"/>
                    <w:rPr>
                      <w:color w:val="auto"/>
                    </w:rPr>
                  </w:pPr>
                  <w:r>
                    <w:rPr>
                      <w:color w:val="auto"/>
                    </w:rPr>
                    <w:t>标志名称</w:t>
                  </w:r>
                </w:p>
              </w:tc>
              <w:tc>
                <w:tcPr>
                  <w:tcW w:w="1249" w:type="pct"/>
                  <w:tcBorders>
                    <w:tl2br w:val="nil"/>
                    <w:tr2bl w:val="nil"/>
                  </w:tcBorders>
                  <w:vAlign w:val="center"/>
                </w:tcPr>
                <w:p w14:paraId="7A3521BD">
                  <w:pPr>
                    <w:pStyle w:val="56"/>
                    <w:rPr>
                      <w:color w:val="auto"/>
                    </w:rPr>
                  </w:pPr>
                  <w:r>
                    <w:rPr>
                      <w:color w:val="auto"/>
                    </w:rPr>
                    <w:t>形状</w:t>
                  </w:r>
                </w:p>
              </w:tc>
              <w:tc>
                <w:tcPr>
                  <w:tcW w:w="1250" w:type="pct"/>
                  <w:tcBorders>
                    <w:tl2br w:val="nil"/>
                    <w:tr2bl w:val="nil"/>
                  </w:tcBorders>
                  <w:vAlign w:val="center"/>
                </w:tcPr>
                <w:p w14:paraId="49E0F055">
                  <w:pPr>
                    <w:pStyle w:val="56"/>
                    <w:rPr>
                      <w:color w:val="auto"/>
                    </w:rPr>
                  </w:pPr>
                  <w:r>
                    <w:rPr>
                      <w:color w:val="auto"/>
                    </w:rPr>
                    <w:t>背景颜色</w:t>
                  </w:r>
                </w:p>
              </w:tc>
              <w:tc>
                <w:tcPr>
                  <w:tcW w:w="1250" w:type="pct"/>
                  <w:tcBorders>
                    <w:tl2br w:val="nil"/>
                    <w:tr2bl w:val="nil"/>
                  </w:tcBorders>
                  <w:vAlign w:val="center"/>
                </w:tcPr>
                <w:p w14:paraId="164785AA">
                  <w:pPr>
                    <w:pStyle w:val="56"/>
                    <w:rPr>
                      <w:color w:val="auto"/>
                    </w:rPr>
                  </w:pPr>
                  <w:r>
                    <w:rPr>
                      <w:color w:val="auto"/>
                    </w:rPr>
                    <w:t>图形颜色</w:t>
                  </w:r>
                </w:p>
              </w:tc>
            </w:tr>
            <w:tr w14:paraId="67265D1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7" w:hRule="atLeast"/>
                <w:jc w:val="center"/>
              </w:trPr>
              <w:tc>
                <w:tcPr>
                  <w:tcW w:w="1249" w:type="pct"/>
                  <w:tcBorders>
                    <w:tl2br w:val="nil"/>
                    <w:tr2bl w:val="nil"/>
                  </w:tcBorders>
                  <w:vAlign w:val="center"/>
                </w:tcPr>
                <w:p w14:paraId="4BBFF02B">
                  <w:pPr>
                    <w:pStyle w:val="56"/>
                    <w:rPr>
                      <w:color w:val="auto"/>
                    </w:rPr>
                  </w:pPr>
                  <w:r>
                    <w:rPr>
                      <w:color w:val="auto"/>
                    </w:rPr>
                    <w:t>警告标志</w:t>
                  </w:r>
                </w:p>
              </w:tc>
              <w:tc>
                <w:tcPr>
                  <w:tcW w:w="1249" w:type="pct"/>
                  <w:tcBorders>
                    <w:tl2br w:val="nil"/>
                    <w:tr2bl w:val="nil"/>
                  </w:tcBorders>
                  <w:vAlign w:val="center"/>
                </w:tcPr>
                <w:p w14:paraId="64953F8E">
                  <w:pPr>
                    <w:pStyle w:val="56"/>
                    <w:rPr>
                      <w:color w:val="auto"/>
                    </w:rPr>
                  </w:pPr>
                  <w:r>
                    <w:rPr>
                      <w:color w:val="auto"/>
                    </w:rPr>
                    <w:t>三角形边框</w:t>
                  </w:r>
                </w:p>
              </w:tc>
              <w:tc>
                <w:tcPr>
                  <w:tcW w:w="1250" w:type="pct"/>
                  <w:tcBorders>
                    <w:tl2br w:val="nil"/>
                    <w:tr2bl w:val="nil"/>
                  </w:tcBorders>
                  <w:vAlign w:val="center"/>
                </w:tcPr>
                <w:p w14:paraId="7D8189EA">
                  <w:pPr>
                    <w:pStyle w:val="56"/>
                    <w:rPr>
                      <w:color w:val="auto"/>
                    </w:rPr>
                  </w:pPr>
                  <w:r>
                    <w:rPr>
                      <w:color w:val="auto"/>
                    </w:rPr>
                    <w:t>黄色</w:t>
                  </w:r>
                </w:p>
              </w:tc>
              <w:tc>
                <w:tcPr>
                  <w:tcW w:w="1250" w:type="pct"/>
                  <w:tcBorders>
                    <w:tl2br w:val="nil"/>
                    <w:tr2bl w:val="nil"/>
                  </w:tcBorders>
                  <w:vAlign w:val="center"/>
                </w:tcPr>
                <w:p w14:paraId="448F3754">
                  <w:pPr>
                    <w:pStyle w:val="56"/>
                    <w:rPr>
                      <w:color w:val="auto"/>
                    </w:rPr>
                  </w:pPr>
                  <w:r>
                    <w:rPr>
                      <w:color w:val="auto"/>
                    </w:rPr>
                    <w:t>黑色</w:t>
                  </w:r>
                </w:p>
              </w:tc>
            </w:tr>
            <w:tr w14:paraId="7781A0C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1249" w:type="pct"/>
                  <w:tcBorders>
                    <w:tl2br w:val="nil"/>
                    <w:tr2bl w:val="nil"/>
                  </w:tcBorders>
                  <w:vAlign w:val="center"/>
                </w:tcPr>
                <w:p w14:paraId="01DE25F1">
                  <w:pPr>
                    <w:pStyle w:val="56"/>
                    <w:rPr>
                      <w:color w:val="auto"/>
                    </w:rPr>
                  </w:pPr>
                  <w:r>
                    <w:rPr>
                      <w:color w:val="auto"/>
                    </w:rPr>
                    <w:t>提示标志</w:t>
                  </w:r>
                </w:p>
              </w:tc>
              <w:tc>
                <w:tcPr>
                  <w:tcW w:w="1249" w:type="pct"/>
                  <w:tcBorders>
                    <w:tl2br w:val="nil"/>
                    <w:tr2bl w:val="nil"/>
                  </w:tcBorders>
                  <w:vAlign w:val="center"/>
                </w:tcPr>
                <w:p w14:paraId="38610A76">
                  <w:pPr>
                    <w:pStyle w:val="56"/>
                    <w:rPr>
                      <w:color w:val="auto"/>
                    </w:rPr>
                  </w:pPr>
                  <w:r>
                    <w:rPr>
                      <w:color w:val="auto"/>
                    </w:rPr>
                    <w:t>正方形边框</w:t>
                  </w:r>
                </w:p>
              </w:tc>
              <w:tc>
                <w:tcPr>
                  <w:tcW w:w="1250" w:type="pct"/>
                  <w:tcBorders>
                    <w:tl2br w:val="nil"/>
                    <w:tr2bl w:val="nil"/>
                  </w:tcBorders>
                  <w:vAlign w:val="center"/>
                </w:tcPr>
                <w:p w14:paraId="2BB22C09">
                  <w:pPr>
                    <w:pStyle w:val="56"/>
                    <w:rPr>
                      <w:color w:val="auto"/>
                    </w:rPr>
                  </w:pPr>
                  <w:r>
                    <w:rPr>
                      <w:color w:val="auto"/>
                    </w:rPr>
                    <w:t>绿色</w:t>
                  </w:r>
                </w:p>
              </w:tc>
              <w:tc>
                <w:tcPr>
                  <w:tcW w:w="1250" w:type="pct"/>
                  <w:tcBorders>
                    <w:tl2br w:val="nil"/>
                    <w:tr2bl w:val="nil"/>
                  </w:tcBorders>
                  <w:vAlign w:val="center"/>
                </w:tcPr>
                <w:p w14:paraId="6C388DB5">
                  <w:pPr>
                    <w:pStyle w:val="56"/>
                    <w:rPr>
                      <w:color w:val="auto"/>
                    </w:rPr>
                  </w:pPr>
                  <w:r>
                    <w:rPr>
                      <w:color w:val="auto"/>
                    </w:rPr>
                    <w:t>白色</w:t>
                  </w:r>
                </w:p>
              </w:tc>
            </w:tr>
          </w:tbl>
          <w:p w14:paraId="7864DA04">
            <w:pPr>
              <w:pStyle w:val="59"/>
              <w:numPr>
                <w:ilvl w:val="0"/>
                <w:numId w:val="0"/>
              </w:numPr>
              <w:tabs>
                <w:tab w:val="left" w:pos="0"/>
              </w:tabs>
              <w:ind w:left="0" w:leftChars="0" w:firstLine="0" w:firstLineChars="0"/>
              <w:rPr>
                <w:b/>
                <w:bCs/>
                <w:color w:val="auto"/>
              </w:rPr>
            </w:pPr>
            <w:r>
              <w:rPr>
                <w:rFonts w:hint="default" w:ascii="Times New Roman" w:hAnsi="Times New Roman" w:eastAsia="宋体" w:cs="Times New Roman"/>
                <w:b/>
                <w:bCs/>
                <w:color w:val="auto"/>
                <w:kern w:val="2"/>
                <w:sz w:val="21"/>
                <w:szCs w:val="21"/>
                <w:lang w:val="en-US" w:eastAsia="zh-CN" w:bidi="ar-SA"/>
              </w:rPr>
              <w:t>表5-2</w:t>
            </w:r>
            <w:r>
              <w:rPr>
                <w:rFonts w:hint="default" w:ascii="Times New Roman" w:hAnsi="Times New Roman" w:eastAsia="宋体" w:cs="Times New Roman"/>
                <w:b/>
                <w:bCs/>
                <w:color w:val="auto"/>
                <w:kern w:val="2"/>
                <w:sz w:val="24"/>
                <w:szCs w:val="24"/>
                <w:lang w:val="en-US" w:eastAsia="zh-CN" w:bidi="ar-SA"/>
              </w:rPr>
              <w:t xml:space="preserve"> </w:t>
            </w:r>
            <w:r>
              <w:rPr>
                <w:b/>
                <w:bCs/>
                <w:color w:val="auto"/>
              </w:rPr>
              <w:t>环境保护图形符号一览表</w:t>
            </w:r>
          </w:p>
          <w:tbl>
            <w:tblPr>
              <w:tblStyle w:val="41"/>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26"/>
              <w:gridCol w:w="1486"/>
              <w:gridCol w:w="1500"/>
              <w:gridCol w:w="1312"/>
              <w:gridCol w:w="2212"/>
            </w:tblGrid>
            <w:tr w14:paraId="7A6EC66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tblHeader/>
                <w:jc w:val="center"/>
              </w:trPr>
              <w:tc>
                <w:tcPr>
                  <w:tcW w:w="526" w:type="dxa"/>
                  <w:tcBorders>
                    <w:tl2br w:val="nil"/>
                    <w:tr2bl w:val="nil"/>
                  </w:tcBorders>
                  <w:vAlign w:val="center"/>
                </w:tcPr>
                <w:p w14:paraId="3AE175C0">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序号</w:t>
                  </w:r>
                </w:p>
              </w:tc>
              <w:tc>
                <w:tcPr>
                  <w:tcW w:w="1486" w:type="dxa"/>
                  <w:tcBorders>
                    <w:tl2br w:val="nil"/>
                    <w:tr2bl w:val="nil"/>
                  </w:tcBorders>
                  <w:vAlign w:val="center"/>
                </w:tcPr>
                <w:p w14:paraId="21BC6018">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提示图形符号</w:t>
                  </w:r>
                </w:p>
              </w:tc>
              <w:tc>
                <w:tcPr>
                  <w:tcW w:w="1500" w:type="dxa"/>
                  <w:tcBorders>
                    <w:tl2br w:val="nil"/>
                    <w:tr2bl w:val="nil"/>
                  </w:tcBorders>
                  <w:vAlign w:val="center"/>
                </w:tcPr>
                <w:p w14:paraId="0E4176B2">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警告图形符号</w:t>
                  </w:r>
                </w:p>
              </w:tc>
              <w:tc>
                <w:tcPr>
                  <w:tcW w:w="1312" w:type="dxa"/>
                  <w:tcBorders>
                    <w:tl2br w:val="nil"/>
                    <w:tr2bl w:val="nil"/>
                  </w:tcBorders>
                  <w:vAlign w:val="center"/>
                </w:tcPr>
                <w:p w14:paraId="09148AB5">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名称</w:t>
                  </w:r>
                </w:p>
              </w:tc>
              <w:tc>
                <w:tcPr>
                  <w:tcW w:w="2212" w:type="dxa"/>
                  <w:tcBorders>
                    <w:tl2br w:val="nil"/>
                    <w:tr2bl w:val="nil"/>
                  </w:tcBorders>
                  <w:vAlign w:val="center"/>
                </w:tcPr>
                <w:p w14:paraId="693E287C">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功能</w:t>
                  </w:r>
                </w:p>
              </w:tc>
            </w:tr>
            <w:tr w14:paraId="312C70F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526" w:type="dxa"/>
                  <w:tcBorders>
                    <w:tl2br w:val="nil"/>
                    <w:tr2bl w:val="nil"/>
                  </w:tcBorders>
                  <w:vAlign w:val="center"/>
                </w:tcPr>
                <w:p w14:paraId="73AEB1AE">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1</w:t>
                  </w:r>
                </w:p>
              </w:tc>
              <w:tc>
                <w:tcPr>
                  <w:tcW w:w="1486" w:type="dxa"/>
                  <w:tcBorders>
                    <w:tl2br w:val="nil"/>
                    <w:tr2bl w:val="nil"/>
                  </w:tcBorders>
                  <w:vAlign w:val="center"/>
                </w:tcPr>
                <w:p w14:paraId="13AED2DC">
                  <w:pPr>
                    <w:pStyle w:val="56"/>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rPr>
                  </w:pPr>
                  <w:r>
                    <w:rPr>
                      <w:color w:val="auto"/>
                    </w:rPr>
                    <w:drawing>
                      <wp:inline distT="0" distB="0" distL="114300" distR="114300">
                        <wp:extent cx="677545" cy="684530"/>
                        <wp:effectExtent l="0" t="0" r="8255" b="1270"/>
                        <wp:docPr id="10" name="图片 112" descr="说明: 说明: 说明: 13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12" descr="说明: 说明: 说明: 13001"/>
                                <pic:cNvPicPr>
                                  <a:picLocks noChangeAspect="1"/>
                                </pic:cNvPicPr>
                              </pic:nvPicPr>
                              <pic:blipFill>
                                <a:blip r:embed="rId36"/>
                                <a:stretch>
                                  <a:fillRect/>
                                </a:stretch>
                              </pic:blipFill>
                              <pic:spPr>
                                <a:xfrm>
                                  <a:off x="0" y="0"/>
                                  <a:ext cx="677545" cy="684530"/>
                                </a:xfrm>
                                <a:prstGeom prst="rect">
                                  <a:avLst/>
                                </a:prstGeom>
                                <a:noFill/>
                                <a:ln>
                                  <a:noFill/>
                                </a:ln>
                              </pic:spPr>
                            </pic:pic>
                          </a:graphicData>
                        </a:graphic>
                      </wp:inline>
                    </w:drawing>
                  </w:r>
                </w:p>
              </w:tc>
              <w:tc>
                <w:tcPr>
                  <w:tcW w:w="1500" w:type="dxa"/>
                  <w:tcBorders>
                    <w:tl2br w:val="nil"/>
                    <w:tr2bl w:val="nil"/>
                  </w:tcBorders>
                  <w:vAlign w:val="center"/>
                </w:tcPr>
                <w:p w14:paraId="3E670CF8">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drawing>
                      <wp:inline distT="0" distB="0" distL="114300" distR="114300">
                        <wp:extent cx="675640" cy="683895"/>
                        <wp:effectExtent l="0" t="0" r="10160" b="1905"/>
                        <wp:docPr id="11" name="图片 113" descr="说明: 说明: 说明: 13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3" descr="说明: 说明: 说明: 13002"/>
                                <pic:cNvPicPr>
                                  <a:picLocks noChangeAspect="1"/>
                                </pic:cNvPicPr>
                              </pic:nvPicPr>
                              <pic:blipFill>
                                <a:blip r:embed="rId37"/>
                                <a:stretch>
                                  <a:fillRect/>
                                </a:stretch>
                              </pic:blipFill>
                              <pic:spPr>
                                <a:xfrm>
                                  <a:off x="0" y="0"/>
                                  <a:ext cx="675640" cy="683895"/>
                                </a:xfrm>
                                <a:prstGeom prst="rect">
                                  <a:avLst/>
                                </a:prstGeom>
                                <a:noFill/>
                                <a:ln>
                                  <a:noFill/>
                                </a:ln>
                              </pic:spPr>
                            </pic:pic>
                          </a:graphicData>
                        </a:graphic>
                      </wp:inline>
                    </w:drawing>
                  </w:r>
                </w:p>
              </w:tc>
              <w:tc>
                <w:tcPr>
                  <w:tcW w:w="1312" w:type="dxa"/>
                  <w:tcBorders>
                    <w:tl2br w:val="nil"/>
                    <w:tr2bl w:val="nil"/>
                  </w:tcBorders>
                  <w:vAlign w:val="center"/>
                </w:tcPr>
                <w:p w14:paraId="50DA0E48">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废水排放口</w:t>
                  </w:r>
                </w:p>
              </w:tc>
              <w:tc>
                <w:tcPr>
                  <w:tcW w:w="2212" w:type="dxa"/>
                  <w:tcBorders>
                    <w:tl2br w:val="nil"/>
                    <w:tr2bl w:val="nil"/>
                  </w:tcBorders>
                  <w:vAlign w:val="center"/>
                </w:tcPr>
                <w:p w14:paraId="4DEF0974">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表示废水向水体排放</w:t>
                  </w:r>
                </w:p>
              </w:tc>
            </w:tr>
            <w:tr w14:paraId="455D3D7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526" w:type="dxa"/>
                  <w:tcBorders>
                    <w:tl2br w:val="nil"/>
                    <w:tr2bl w:val="nil"/>
                  </w:tcBorders>
                  <w:vAlign w:val="center"/>
                </w:tcPr>
                <w:p w14:paraId="4690434F">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2</w:t>
                  </w:r>
                </w:p>
              </w:tc>
              <w:tc>
                <w:tcPr>
                  <w:tcW w:w="1486" w:type="dxa"/>
                  <w:tcBorders>
                    <w:tl2br w:val="nil"/>
                    <w:tr2bl w:val="nil"/>
                  </w:tcBorders>
                  <w:vAlign w:val="center"/>
                </w:tcPr>
                <w:p w14:paraId="3C9F7D58">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drawing>
                      <wp:inline distT="0" distB="0" distL="114300" distR="114300">
                        <wp:extent cx="648970" cy="655955"/>
                        <wp:effectExtent l="0" t="0" r="6350" b="14605"/>
                        <wp:docPr id="12" name="图片 114" descr="说明: 说明: 说明: 13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4" descr="说明: 说明: 说明: 13003"/>
                                <pic:cNvPicPr>
                                  <a:picLocks noChangeAspect="1"/>
                                </pic:cNvPicPr>
                              </pic:nvPicPr>
                              <pic:blipFill>
                                <a:blip r:embed="rId38"/>
                                <a:stretch>
                                  <a:fillRect/>
                                </a:stretch>
                              </pic:blipFill>
                              <pic:spPr>
                                <a:xfrm>
                                  <a:off x="0" y="0"/>
                                  <a:ext cx="648970" cy="655955"/>
                                </a:xfrm>
                                <a:prstGeom prst="rect">
                                  <a:avLst/>
                                </a:prstGeom>
                                <a:noFill/>
                                <a:ln>
                                  <a:noFill/>
                                </a:ln>
                              </pic:spPr>
                            </pic:pic>
                          </a:graphicData>
                        </a:graphic>
                      </wp:inline>
                    </w:drawing>
                  </w:r>
                </w:p>
              </w:tc>
              <w:tc>
                <w:tcPr>
                  <w:tcW w:w="1500" w:type="dxa"/>
                  <w:tcBorders>
                    <w:tl2br w:val="nil"/>
                    <w:tr2bl w:val="nil"/>
                  </w:tcBorders>
                  <w:vAlign w:val="center"/>
                </w:tcPr>
                <w:p w14:paraId="56355E7A">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drawing>
                      <wp:inline distT="0" distB="0" distL="114300" distR="114300">
                        <wp:extent cx="676910" cy="677545"/>
                        <wp:effectExtent l="0" t="0" r="8890" b="8255"/>
                        <wp:docPr id="13" name="图片 115" descr="说明: 说明: 说明: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5" descr="说明: 说明: 说明: 4"/>
                                <pic:cNvPicPr>
                                  <a:picLocks noChangeAspect="1"/>
                                </pic:cNvPicPr>
                              </pic:nvPicPr>
                              <pic:blipFill>
                                <a:blip r:embed="rId39"/>
                                <a:stretch>
                                  <a:fillRect/>
                                </a:stretch>
                              </pic:blipFill>
                              <pic:spPr>
                                <a:xfrm>
                                  <a:off x="0" y="0"/>
                                  <a:ext cx="676910" cy="677545"/>
                                </a:xfrm>
                                <a:prstGeom prst="rect">
                                  <a:avLst/>
                                </a:prstGeom>
                                <a:noFill/>
                                <a:ln>
                                  <a:noFill/>
                                </a:ln>
                              </pic:spPr>
                            </pic:pic>
                          </a:graphicData>
                        </a:graphic>
                      </wp:inline>
                    </w:drawing>
                  </w:r>
                </w:p>
              </w:tc>
              <w:tc>
                <w:tcPr>
                  <w:tcW w:w="1312" w:type="dxa"/>
                  <w:tcBorders>
                    <w:tl2br w:val="nil"/>
                    <w:tr2bl w:val="nil"/>
                  </w:tcBorders>
                  <w:vAlign w:val="center"/>
                </w:tcPr>
                <w:p w14:paraId="443772CD">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废气排放口</w:t>
                  </w:r>
                </w:p>
              </w:tc>
              <w:tc>
                <w:tcPr>
                  <w:tcW w:w="2212" w:type="dxa"/>
                  <w:tcBorders>
                    <w:tl2br w:val="nil"/>
                    <w:tr2bl w:val="nil"/>
                  </w:tcBorders>
                  <w:vAlign w:val="center"/>
                </w:tcPr>
                <w:p w14:paraId="498F0F5E">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表示废气向大气环境排放</w:t>
                  </w:r>
                </w:p>
              </w:tc>
            </w:tr>
            <w:tr w14:paraId="4B11301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526" w:type="dxa"/>
                  <w:tcBorders>
                    <w:tl2br w:val="nil"/>
                    <w:tr2bl w:val="nil"/>
                  </w:tcBorders>
                  <w:vAlign w:val="center"/>
                </w:tcPr>
                <w:p w14:paraId="1F724715">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3</w:t>
                  </w:r>
                </w:p>
              </w:tc>
              <w:tc>
                <w:tcPr>
                  <w:tcW w:w="1486" w:type="dxa"/>
                  <w:tcBorders>
                    <w:tl2br w:val="nil"/>
                    <w:tr2bl w:val="nil"/>
                  </w:tcBorders>
                  <w:vAlign w:val="center"/>
                </w:tcPr>
                <w:p w14:paraId="22A77A47">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drawing>
                      <wp:inline distT="0" distB="0" distL="114300" distR="114300">
                        <wp:extent cx="677545" cy="684530"/>
                        <wp:effectExtent l="0" t="0" r="8255" b="1270"/>
                        <wp:docPr id="14" name="图片 116" descr="说明: 说明: 说明: 14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6" descr="说明: 说明: 说明: 14001"/>
                                <pic:cNvPicPr>
                                  <a:picLocks noChangeAspect="1"/>
                                </pic:cNvPicPr>
                              </pic:nvPicPr>
                              <pic:blipFill>
                                <a:blip r:embed="rId40"/>
                                <a:stretch>
                                  <a:fillRect/>
                                </a:stretch>
                              </pic:blipFill>
                              <pic:spPr>
                                <a:xfrm>
                                  <a:off x="0" y="0"/>
                                  <a:ext cx="677545" cy="684530"/>
                                </a:xfrm>
                                <a:prstGeom prst="rect">
                                  <a:avLst/>
                                </a:prstGeom>
                                <a:noFill/>
                                <a:ln>
                                  <a:noFill/>
                                </a:ln>
                              </pic:spPr>
                            </pic:pic>
                          </a:graphicData>
                        </a:graphic>
                      </wp:inline>
                    </w:drawing>
                  </w:r>
                </w:p>
              </w:tc>
              <w:tc>
                <w:tcPr>
                  <w:tcW w:w="1500" w:type="dxa"/>
                  <w:tcBorders>
                    <w:tl2br w:val="nil"/>
                    <w:tr2bl w:val="nil"/>
                  </w:tcBorders>
                  <w:vAlign w:val="center"/>
                </w:tcPr>
                <w:p w14:paraId="577DFEDA">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drawing>
                      <wp:inline distT="0" distB="0" distL="114300" distR="114300">
                        <wp:extent cx="685800" cy="643255"/>
                        <wp:effectExtent l="0" t="0" r="0" b="12065"/>
                        <wp:docPr id="15" name="图片 117" descr="说明: 说明: 说明: 14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7" descr="说明: 说明: 说明: 14002"/>
                                <pic:cNvPicPr>
                                  <a:picLocks noChangeAspect="1"/>
                                </pic:cNvPicPr>
                              </pic:nvPicPr>
                              <pic:blipFill>
                                <a:blip r:embed="rId41"/>
                                <a:stretch>
                                  <a:fillRect/>
                                </a:stretch>
                              </pic:blipFill>
                              <pic:spPr>
                                <a:xfrm>
                                  <a:off x="0" y="0"/>
                                  <a:ext cx="685800" cy="643255"/>
                                </a:xfrm>
                                <a:prstGeom prst="rect">
                                  <a:avLst/>
                                </a:prstGeom>
                                <a:noFill/>
                                <a:ln>
                                  <a:noFill/>
                                </a:ln>
                              </pic:spPr>
                            </pic:pic>
                          </a:graphicData>
                        </a:graphic>
                      </wp:inline>
                    </w:drawing>
                  </w:r>
                </w:p>
              </w:tc>
              <w:tc>
                <w:tcPr>
                  <w:tcW w:w="1312" w:type="dxa"/>
                  <w:tcBorders>
                    <w:tl2br w:val="nil"/>
                    <w:tr2bl w:val="nil"/>
                  </w:tcBorders>
                  <w:vAlign w:val="center"/>
                </w:tcPr>
                <w:p w14:paraId="7DFF3BC9">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一般固体废物</w:t>
                  </w:r>
                </w:p>
              </w:tc>
              <w:tc>
                <w:tcPr>
                  <w:tcW w:w="2212" w:type="dxa"/>
                  <w:tcBorders>
                    <w:tl2br w:val="nil"/>
                    <w:tr2bl w:val="nil"/>
                  </w:tcBorders>
                  <w:vAlign w:val="center"/>
                </w:tcPr>
                <w:p w14:paraId="0B97F37D">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表示一般固体废物贮存、处置场</w:t>
                  </w:r>
                </w:p>
              </w:tc>
            </w:tr>
            <w:tr w14:paraId="7FCB18B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526" w:type="dxa"/>
                  <w:tcBorders>
                    <w:tl2br w:val="nil"/>
                    <w:tr2bl w:val="nil"/>
                  </w:tcBorders>
                  <w:vAlign w:val="center"/>
                </w:tcPr>
                <w:p w14:paraId="711AF962">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4</w:t>
                  </w:r>
                </w:p>
              </w:tc>
              <w:tc>
                <w:tcPr>
                  <w:tcW w:w="1486" w:type="dxa"/>
                  <w:tcBorders>
                    <w:tl2br w:val="nil"/>
                    <w:tr2bl w:val="nil"/>
                  </w:tcBorders>
                  <w:vAlign w:val="center"/>
                </w:tcPr>
                <w:p w14:paraId="1197DB70">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drawing>
                      <wp:inline distT="0" distB="0" distL="114300" distR="114300">
                        <wp:extent cx="657225" cy="657225"/>
                        <wp:effectExtent l="0" t="0" r="13335" b="13335"/>
                        <wp:docPr id="16" name="图片 118" descr="说明: 说明: 说明: 200602201518049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18" descr="说明: 说明: 说明: 200602201518049853"/>
                                <pic:cNvPicPr>
                                  <a:picLocks noChangeAspect="1"/>
                                </pic:cNvPicPr>
                              </pic:nvPicPr>
                              <pic:blipFill>
                                <a:blip r:embed="rId42"/>
                                <a:stretch>
                                  <a:fillRect/>
                                </a:stretch>
                              </pic:blipFill>
                              <pic:spPr>
                                <a:xfrm>
                                  <a:off x="0" y="0"/>
                                  <a:ext cx="657225" cy="657225"/>
                                </a:xfrm>
                                <a:prstGeom prst="rect">
                                  <a:avLst/>
                                </a:prstGeom>
                                <a:noFill/>
                                <a:ln>
                                  <a:noFill/>
                                </a:ln>
                              </pic:spPr>
                            </pic:pic>
                          </a:graphicData>
                        </a:graphic>
                      </wp:inline>
                    </w:drawing>
                  </w:r>
                </w:p>
              </w:tc>
              <w:tc>
                <w:tcPr>
                  <w:tcW w:w="1500" w:type="dxa"/>
                  <w:tcBorders>
                    <w:tl2br w:val="nil"/>
                    <w:tr2bl w:val="nil"/>
                  </w:tcBorders>
                  <w:vAlign w:val="center"/>
                </w:tcPr>
                <w:p w14:paraId="4BF6FFC5">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drawing>
                      <wp:inline distT="0" distB="0" distL="114300" distR="114300">
                        <wp:extent cx="695325" cy="617855"/>
                        <wp:effectExtent l="0" t="0" r="5715" b="6985"/>
                        <wp:docPr id="17" name="图片 119" descr="说明: 说明: 说明: 200602201519018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9" descr="说明: 说明: 说明: 200602201519018631"/>
                                <pic:cNvPicPr>
                                  <a:picLocks noChangeAspect="1"/>
                                </pic:cNvPicPr>
                              </pic:nvPicPr>
                              <pic:blipFill>
                                <a:blip r:embed="rId43"/>
                                <a:stretch>
                                  <a:fillRect/>
                                </a:stretch>
                              </pic:blipFill>
                              <pic:spPr>
                                <a:xfrm>
                                  <a:off x="0" y="0"/>
                                  <a:ext cx="695325" cy="617855"/>
                                </a:xfrm>
                                <a:prstGeom prst="rect">
                                  <a:avLst/>
                                </a:prstGeom>
                                <a:noFill/>
                                <a:ln>
                                  <a:noFill/>
                                </a:ln>
                              </pic:spPr>
                            </pic:pic>
                          </a:graphicData>
                        </a:graphic>
                      </wp:inline>
                    </w:drawing>
                  </w:r>
                </w:p>
              </w:tc>
              <w:tc>
                <w:tcPr>
                  <w:tcW w:w="1312" w:type="dxa"/>
                  <w:tcBorders>
                    <w:tl2br w:val="nil"/>
                    <w:tr2bl w:val="nil"/>
                  </w:tcBorders>
                  <w:vAlign w:val="center"/>
                </w:tcPr>
                <w:p w14:paraId="2B38C0D0">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噪声排放源</w:t>
                  </w:r>
                </w:p>
              </w:tc>
              <w:tc>
                <w:tcPr>
                  <w:tcW w:w="2212" w:type="dxa"/>
                  <w:tcBorders>
                    <w:tl2br w:val="nil"/>
                    <w:tr2bl w:val="nil"/>
                  </w:tcBorders>
                  <w:vAlign w:val="center"/>
                </w:tcPr>
                <w:p w14:paraId="0D6E3664">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表示噪声向外环境排放</w:t>
                  </w:r>
                </w:p>
              </w:tc>
            </w:tr>
            <w:tr w14:paraId="575A56F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526" w:type="dxa"/>
                  <w:tcBorders>
                    <w:tl2br w:val="nil"/>
                    <w:tr2bl w:val="nil"/>
                  </w:tcBorders>
                  <w:vAlign w:val="center"/>
                </w:tcPr>
                <w:p w14:paraId="39EA3CDE">
                  <w:pPr>
                    <w:pStyle w:val="5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rFonts w:hint="eastAsia"/>
                      <w:color w:val="auto"/>
                    </w:rPr>
                    <w:t>5</w:t>
                  </w:r>
                </w:p>
              </w:tc>
              <w:tc>
                <w:tcPr>
                  <w:tcW w:w="1486" w:type="dxa"/>
                  <w:tcBorders>
                    <w:tl2br w:val="nil"/>
                    <w:tr2bl w:val="nil"/>
                  </w:tcBorders>
                  <w:vAlign w:val="center"/>
                </w:tcPr>
                <w:p w14:paraId="6215B5AC">
                  <w:pPr>
                    <w:pStyle w:val="6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rFonts w:hint="eastAsia"/>
                      <w:color w:val="auto"/>
                    </w:rPr>
                    <w:t>/</w:t>
                  </w:r>
                </w:p>
              </w:tc>
              <w:tc>
                <w:tcPr>
                  <w:tcW w:w="1500" w:type="dxa"/>
                  <w:tcBorders>
                    <w:tl2br w:val="nil"/>
                    <w:tr2bl w:val="nil"/>
                  </w:tcBorders>
                  <w:vAlign w:val="center"/>
                </w:tcPr>
                <w:p w14:paraId="4404643A">
                  <w:pPr>
                    <w:pStyle w:val="6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drawing>
                      <wp:inline distT="0" distB="0" distL="114300" distR="114300">
                        <wp:extent cx="765810" cy="708025"/>
                        <wp:effectExtent l="0" t="0" r="15240" b="15875"/>
                        <wp:docPr id="6" name="图片 20" descr="2ddcdcf57baf5fa49ff2258fb7e9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0" descr="2ddcdcf57baf5fa49ff2258fb7e9205"/>
                                <pic:cNvPicPr>
                                  <a:picLocks noChangeAspect="1"/>
                                </pic:cNvPicPr>
                              </pic:nvPicPr>
                              <pic:blipFill>
                                <a:blip r:embed="rId44"/>
                                <a:stretch>
                                  <a:fillRect/>
                                </a:stretch>
                              </pic:blipFill>
                              <pic:spPr>
                                <a:xfrm>
                                  <a:off x="0" y="0"/>
                                  <a:ext cx="765810" cy="708025"/>
                                </a:xfrm>
                                <a:prstGeom prst="rect">
                                  <a:avLst/>
                                </a:prstGeom>
                                <a:noFill/>
                                <a:ln>
                                  <a:noFill/>
                                </a:ln>
                              </pic:spPr>
                            </pic:pic>
                          </a:graphicData>
                        </a:graphic>
                      </wp:inline>
                    </w:drawing>
                  </w:r>
                </w:p>
              </w:tc>
              <w:tc>
                <w:tcPr>
                  <w:tcW w:w="1312" w:type="dxa"/>
                  <w:tcBorders>
                    <w:tl2br w:val="nil"/>
                    <w:tr2bl w:val="nil"/>
                  </w:tcBorders>
                  <w:vAlign w:val="center"/>
                </w:tcPr>
                <w:p w14:paraId="73B08721">
                  <w:pPr>
                    <w:pStyle w:val="6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危险废物</w:t>
                  </w:r>
                </w:p>
              </w:tc>
              <w:tc>
                <w:tcPr>
                  <w:tcW w:w="2212" w:type="dxa"/>
                  <w:tcBorders>
                    <w:tl2br w:val="nil"/>
                    <w:tr2bl w:val="nil"/>
                  </w:tcBorders>
                  <w:vAlign w:val="center"/>
                </w:tcPr>
                <w:p w14:paraId="1DBEB553">
                  <w:pPr>
                    <w:pStyle w:val="66"/>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auto"/>
                    </w:rPr>
                  </w:pPr>
                  <w:r>
                    <w:rPr>
                      <w:color w:val="auto"/>
                    </w:rPr>
                    <w:t>表示危险废物贮存、处置场</w:t>
                  </w:r>
                </w:p>
              </w:tc>
            </w:tr>
          </w:tbl>
          <w:p w14:paraId="170CF940">
            <w:pPr>
              <w:ind w:firstLine="480"/>
              <w:rPr>
                <w:color w:val="auto"/>
              </w:rPr>
            </w:pPr>
            <w:r>
              <w:rPr>
                <w:rFonts w:hint="eastAsia"/>
                <w:color w:val="auto"/>
              </w:rPr>
              <w:t>（4）环保投资及“三同时”验收内容</w:t>
            </w:r>
          </w:p>
          <w:p w14:paraId="56A77EC7">
            <w:pPr>
              <w:ind w:firstLine="480"/>
              <w:rPr>
                <w:color w:val="auto"/>
              </w:rPr>
            </w:pPr>
            <w:r>
              <w:rPr>
                <w:color w:val="auto"/>
              </w:rPr>
              <w:t>项目</w:t>
            </w:r>
            <w:r>
              <w:rPr>
                <w:rFonts w:hint="eastAsia"/>
                <w:color w:val="auto"/>
              </w:rPr>
              <w:t>总投资</w:t>
            </w:r>
            <w:r>
              <w:rPr>
                <w:rFonts w:hint="eastAsia"/>
                <w:color w:val="auto"/>
                <w:lang w:val="en-US" w:eastAsia="zh-CN"/>
              </w:rPr>
              <w:t>30000</w:t>
            </w:r>
            <w:r>
              <w:rPr>
                <w:rFonts w:hint="eastAsia"/>
                <w:color w:val="auto"/>
              </w:rPr>
              <w:t>万元，其中</w:t>
            </w:r>
            <w:r>
              <w:rPr>
                <w:color w:val="auto"/>
              </w:rPr>
              <w:t>环保设施投资</w:t>
            </w:r>
            <w:r>
              <w:rPr>
                <w:rFonts w:hint="eastAsia"/>
                <w:color w:val="auto"/>
                <w:lang w:val="en-US" w:eastAsia="zh-CN"/>
              </w:rPr>
              <w:t>188</w:t>
            </w:r>
            <w:r>
              <w:rPr>
                <w:rFonts w:hint="eastAsia"/>
                <w:color w:val="auto"/>
              </w:rPr>
              <w:t>万元，占总投资的</w:t>
            </w:r>
            <w:r>
              <w:rPr>
                <w:rFonts w:hint="eastAsia"/>
                <w:color w:val="auto"/>
                <w:lang w:val="en-US" w:eastAsia="zh-CN"/>
              </w:rPr>
              <w:t>0.63</w:t>
            </w:r>
            <w:r>
              <w:rPr>
                <w:rFonts w:hint="eastAsia"/>
                <w:color w:val="auto"/>
              </w:rPr>
              <w:t>%。</w:t>
            </w:r>
            <w:r>
              <w:rPr>
                <w:color w:val="auto"/>
              </w:rPr>
              <w:t>项目环保设施投资见</w:t>
            </w:r>
            <w:r>
              <w:rPr>
                <w:rFonts w:hint="eastAsia"/>
                <w:color w:val="auto"/>
              </w:rPr>
              <w:t>表5-</w:t>
            </w:r>
            <w:r>
              <w:rPr>
                <w:rFonts w:hint="eastAsia"/>
                <w:color w:val="auto"/>
                <w:lang w:val="en-US" w:eastAsia="zh-CN"/>
              </w:rPr>
              <w:t>3</w:t>
            </w:r>
            <w:r>
              <w:rPr>
                <w:color w:val="auto"/>
              </w:rPr>
              <w:t>。</w:t>
            </w:r>
          </w:p>
          <w:p w14:paraId="27D871E3">
            <w:pPr>
              <w:pStyle w:val="59"/>
              <w:numPr>
                <w:ilvl w:val="0"/>
                <w:numId w:val="0"/>
              </w:numPr>
              <w:tabs>
                <w:tab w:val="left" w:pos="0"/>
              </w:tabs>
              <w:ind w:left="0" w:leftChars="0" w:firstLine="0" w:firstLineChars="0"/>
              <w:rPr>
                <w:b/>
                <w:bCs/>
                <w:color w:val="auto"/>
              </w:rPr>
            </w:pPr>
            <w:r>
              <w:rPr>
                <w:rFonts w:hint="default" w:ascii="Times New Roman" w:hAnsi="Times New Roman" w:eastAsia="宋体" w:cs="Times New Roman"/>
                <w:b/>
                <w:bCs/>
                <w:color w:val="auto"/>
                <w:kern w:val="2"/>
                <w:sz w:val="21"/>
                <w:szCs w:val="21"/>
                <w:lang w:val="en-US" w:eastAsia="zh-CN" w:bidi="ar-SA"/>
              </w:rPr>
              <w:t>表5-3</w:t>
            </w:r>
            <w:r>
              <w:rPr>
                <w:rFonts w:hint="default" w:ascii="Times New Roman" w:hAnsi="Times New Roman" w:eastAsia="宋体" w:cs="Times New Roman"/>
                <w:b/>
                <w:bCs/>
                <w:color w:val="auto"/>
                <w:kern w:val="2"/>
                <w:sz w:val="24"/>
                <w:szCs w:val="24"/>
                <w:lang w:val="en-US" w:eastAsia="zh-CN" w:bidi="ar-SA"/>
              </w:rPr>
              <w:t xml:space="preserve"> </w:t>
            </w:r>
            <w:r>
              <w:rPr>
                <w:b/>
                <w:bCs/>
                <w:color w:val="auto"/>
              </w:rPr>
              <w:t>项目环保投资一览表</w:t>
            </w:r>
          </w:p>
          <w:tbl>
            <w:tblPr>
              <w:tblStyle w:val="41"/>
              <w:tblW w:w="4998" w:type="pct"/>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0" w:type="dxa"/>
                <w:bottom w:w="0" w:type="dxa"/>
                <w:right w:w="0" w:type="dxa"/>
              </w:tblCellMar>
            </w:tblPr>
            <w:tblGrid>
              <w:gridCol w:w="675"/>
              <w:gridCol w:w="596"/>
              <w:gridCol w:w="1906"/>
              <w:gridCol w:w="3654"/>
              <w:gridCol w:w="883"/>
            </w:tblGrid>
            <w:tr w14:paraId="382828D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90" w:hRule="atLeast"/>
                <w:jc w:val="center"/>
              </w:trPr>
              <w:tc>
                <w:tcPr>
                  <w:tcW w:w="437" w:type="pct"/>
                  <w:noWrap w:val="0"/>
                  <w:vAlign w:val="center"/>
                </w:tcPr>
                <w:p w14:paraId="7588CBCC">
                  <w:pPr>
                    <w:pStyle w:val="56"/>
                    <w:bidi w:val="0"/>
                  </w:pPr>
                  <w:r>
                    <w:t>序号</w:t>
                  </w:r>
                </w:p>
              </w:tc>
              <w:tc>
                <w:tcPr>
                  <w:tcW w:w="1621" w:type="pct"/>
                  <w:gridSpan w:val="2"/>
                  <w:noWrap w:val="0"/>
                  <w:vAlign w:val="center"/>
                </w:tcPr>
                <w:p w14:paraId="4464570B">
                  <w:pPr>
                    <w:pStyle w:val="56"/>
                    <w:bidi w:val="0"/>
                  </w:pPr>
                  <w:r>
                    <w:t>污染物</w:t>
                  </w:r>
                </w:p>
              </w:tc>
              <w:tc>
                <w:tcPr>
                  <w:tcW w:w="2368" w:type="pct"/>
                  <w:noWrap w:val="0"/>
                  <w:vAlign w:val="center"/>
                </w:tcPr>
                <w:p w14:paraId="684E8A82">
                  <w:pPr>
                    <w:pStyle w:val="56"/>
                    <w:bidi w:val="0"/>
                  </w:pPr>
                  <w:r>
                    <w:t>污染治理措施</w:t>
                  </w:r>
                </w:p>
              </w:tc>
              <w:tc>
                <w:tcPr>
                  <w:tcW w:w="572" w:type="pct"/>
                  <w:noWrap w:val="0"/>
                  <w:vAlign w:val="center"/>
                </w:tcPr>
                <w:p w14:paraId="031213BA">
                  <w:pPr>
                    <w:pStyle w:val="56"/>
                    <w:bidi w:val="0"/>
                  </w:pPr>
                  <w:r>
                    <w:t>环保投资（万元）</w:t>
                  </w:r>
                </w:p>
              </w:tc>
            </w:tr>
            <w:tr w14:paraId="6B0D7EA7">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37" w:type="pct"/>
                  <w:vMerge w:val="restart"/>
                  <w:noWrap w:val="0"/>
                  <w:vAlign w:val="center"/>
                </w:tcPr>
                <w:p w14:paraId="1D981916">
                  <w:pPr>
                    <w:pStyle w:val="56"/>
                    <w:bidi w:val="0"/>
                  </w:pPr>
                  <w:r>
                    <w:t>1</w:t>
                  </w:r>
                </w:p>
              </w:tc>
              <w:tc>
                <w:tcPr>
                  <w:tcW w:w="386" w:type="pct"/>
                  <w:vMerge w:val="restart"/>
                  <w:noWrap w:val="0"/>
                  <w:vAlign w:val="center"/>
                </w:tcPr>
                <w:p w14:paraId="29245E98">
                  <w:pPr>
                    <w:pStyle w:val="56"/>
                    <w:bidi w:val="0"/>
                  </w:pPr>
                  <w:r>
                    <w:t>废气</w:t>
                  </w:r>
                </w:p>
              </w:tc>
              <w:tc>
                <w:tcPr>
                  <w:tcW w:w="1235" w:type="pct"/>
                  <w:noWrap w:val="0"/>
                  <w:vAlign w:val="center"/>
                </w:tcPr>
                <w:p w14:paraId="155C4881">
                  <w:pPr>
                    <w:pStyle w:val="56"/>
                    <w:bidi w:val="0"/>
                    <w:rPr>
                      <w:rFonts w:hint="default"/>
                      <w:lang w:val="en-US" w:eastAsia="zh-CN"/>
                    </w:rPr>
                  </w:pPr>
                  <w:r>
                    <w:rPr>
                      <w:rFonts w:hint="eastAsia"/>
                      <w:lang w:val="en-US" w:eastAsia="zh-CN"/>
                    </w:rPr>
                    <w:t>搅拌废气</w:t>
                  </w:r>
                </w:p>
              </w:tc>
              <w:tc>
                <w:tcPr>
                  <w:tcW w:w="2368" w:type="pct"/>
                  <w:noWrap w:val="0"/>
                  <w:vAlign w:val="center"/>
                </w:tcPr>
                <w:p w14:paraId="5143C77A">
                  <w:pPr>
                    <w:pStyle w:val="56"/>
                    <w:bidi w:val="0"/>
                    <w:jc w:val="left"/>
                    <w:rPr>
                      <w:rFonts w:hint="default"/>
                      <w:lang w:val="en-US" w:eastAsia="zh-CN"/>
                    </w:rPr>
                  </w:pPr>
                  <w:r>
                    <w:rPr>
                      <w:rFonts w:hint="eastAsia"/>
                      <w:color w:val="FF0000"/>
                      <w:lang w:val="en-US" w:eastAsia="zh-CN"/>
                    </w:rPr>
                    <w:t>集气罩、管道+高效布袋除尘器+15m高排气筒</w:t>
                  </w:r>
                </w:p>
              </w:tc>
              <w:tc>
                <w:tcPr>
                  <w:tcW w:w="572" w:type="pct"/>
                  <w:noWrap w:val="0"/>
                  <w:vAlign w:val="center"/>
                </w:tcPr>
                <w:p w14:paraId="48E52060">
                  <w:pPr>
                    <w:pStyle w:val="56"/>
                    <w:bidi w:val="0"/>
                    <w:rPr>
                      <w:rFonts w:hint="default"/>
                      <w:lang w:val="en-US" w:eastAsia="zh-CN"/>
                    </w:rPr>
                  </w:pPr>
                  <w:r>
                    <w:rPr>
                      <w:rFonts w:hint="eastAsia"/>
                      <w:lang w:val="en-US" w:eastAsia="zh-CN"/>
                    </w:rPr>
                    <w:t>20</w:t>
                  </w:r>
                </w:p>
              </w:tc>
            </w:tr>
            <w:tr w14:paraId="366038DA">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37" w:type="pct"/>
                  <w:vMerge w:val="continue"/>
                  <w:noWrap w:val="0"/>
                  <w:vAlign w:val="center"/>
                </w:tcPr>
                <w:p w14:paraId="5F4B43C8">
                  <w:pPr>
                    <w:pStyle w:val="56"/>
                    <w:bidi w:val="0"/>
                  </w:pPr>
                </w:p>
              </w:tc>
              <w:tc>
                <w:tcPr>
                  <w:tcW w:w="386" w:type="pct"/>
                  <w:vMerge w:val="continue"/>
                  <w:noWrap w:val="0"/>
                  <w:vAlign w:val="center"/>
                </w:tcPr>
                <w:p w14:paraId="57CBB405">
                  <w:pPr>
                    <w:pStyle w:val="56"/>
                    <w:bidi w:val="0"/>
                  </w:pPr>
                </w:p>
              </w:tc>
              <w:tc>
                <w:tcPr>
                  <w:tcW w:w="1235" w:type="pct"/>
                  <w:noWrap w:val="0"/>
                  <w:vAlign w:val="center"/>
                </w:tcPr>
                <w:p w14:paraId="396E9D49">
                  <w:pPr>
                    <w:pStyle w:val="56"/>
                    <w:bidi w:val="0"/>
                    <w:rPr>
                      <w:rFonts w:hint="eastAsia"/>
                      <w:lang w:eastAsia="zh-CN"/>
                    </w:rPr>
                  </w:pPr>
                  <w:r>
                    <w:rPr>
                      <w:rFonts w:hint="eastAsia"/>
                      <w:lang w:eastAsia="zh-CN"/>
                    </w:rPr>
                    <w:t>无组织废气</w:t>
                  </w:r>
                </w:p>
              </w:tc>
              <w:tc>
                <w:tcPr>
                  <w:tcW w:w="2368" w:type="pct"/>
                  <w:noWrap w:val="0"/>
                  <w:vAlign w:val="center"/>
                </w:tcPr>
                <w:p w14:paraId="33A99177">
                  <w:pPr>
                    <w:pStyle w:val="56"/>
                    <w:bidi w:val="0"/>
                    <w:rPr>
                      <w:rFonts w:hint="default"/>
                      <w:lang w:val="en-US" w:eastAsia="zh-CN"/>
                    </w:rPr>
                  </w:pPr>
                  <w:r>
                    <w:rPr>
                      <w:rFonts w:hint="eastAsia"/>
                      <w:lang w:val="en-US" w:eastAsia="zh-CN"/>
                    </w:rPr>
                    <w:t>筒仓仓顶除尘器、车间密闭、降尘系统</w:t>
                  </w:r>
                </w:p>
              </w:tc>
              <w:tc>
                <w:tcPr>
                  <w:tcW w:w="572" w:type="pct"/>
                  <w:noWrap w:val="0"/>
                  <w:vAlign w:val="center"/>
                </w:tcPr>
                <w:p w14:paraId="3DBCBB01">
                  <w:pPr>
                    <w:pStyle w:val="56"/>
                    <w:bidi w:val="0"/>
                    <w:rPr>
                      <w:rFonts w:hint="default"/>
                      <w:lang w:val="en-US" w:eastAsia="zh-CN"/>
                    </w:rPr>
                  </w:pPr>
                  <w:r>
                    <w:rPr>
                      <w:rFonts w:hint="eastAsia"/>
                      <w:lang w:val="en-US" w:eastAsia="zh-CN"/>
                    </w:rPr>
                    <w:t>10</w:t>
                  </w:r>
                </w:p>
              </w:tc>
            </w:tr>
            <w:tr w14:paraId="03C4A9DD">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37" w:type="pct"/>
                  <w:vMerge w:val="restart"/>
                  <w:noWrap w:val="0"/>
                  <w:vAlign w:val="center"/>
                </w:tcPr>
                <w:p w14:paraId="18AC90EC">
                  <w:pPr>
                    <w:pStyle w:val="56"/>
                    <w:bidi w:val="0"/>
                  </w:pPr>
                  <w:r>
                    <w:t>2</w:t>
                  </w:r>
                </w:p>
              </w:tc>
              <w:tc>
                <w:tcPr>
                  <w:tcW w:w="386" w:type="pct"/>
                  <w:vMerge w:val="restart"/>
                  <w:noWrap w:val="0"/>
                  <w:vAlign w:val="center"/>
                </w:tcPr>
                <w:p w14:paraId="36B42B40">
                  <w:pPr>
                    <w:pStyle w:val="56"/>
                    <w:bidi w:val="0"/>
                  </w:pPr>
                  <w:r>
                    <w:t>废水</w:t>
                  </w:r>
                </w:p>
              </w:tc>
              <w:tc>
                <w:tcPr>
                  <w:tcW w:w="1235" w:type="pct"/>
                  <w:noWrap w:val="0"/>
                  <w:vAlign w:val="center"/>
                </w:tcPr>
                <w:p w14:paraId="7A34D016">
                  <w:pPr>
                    <w:pStyle w:val="56"/>
                    <w:bidi w:val="0"/>
                    <w:rPr>
                      <w:rFonts w:hint="eastAsia"/>
                      <w:lang w:eastAsia="zh-CN"/>
                    </w:rPr>
                  </w:pPr>
                  <w:r>
                    <w:t>生活污水</w:t>
                  </w:r>
                </w:p>
              </w:tc>
              <w:tc>
                <w:tcPr>
                  <w:tcW w:w="2368" w:type="pct"/>
                  <w:noWrap w:val="0"/>
                  <w:vAlign w:val="center"/>
                </w:tcPr>
                <w:p w14:paraId="07519DAB">
                  <w:pPr>
                    <w:pStyle w:val="56"/>
                    <w:bidi w:val="0"/>
                    <w:rPr>
                      <w:rFonts w:hint="eastAsia"/>
                      <w:lang w:eastAsia="zh-CN"/>
                    </w:rPr>
                  </w:pPr>
                  <w:r>
                    <w:rPr>
                      <w:rFonts w:hint="eastAsia"/>
                    </w:rPr>
                    <w:t>化粪池</w:t>
                  </w:r>
                </w:p>
              </w:tc>
              <w:tc>
                <w:tcPr>
                  <w:tcW w:w="572" w:type="pct"/>
                  <w:noWrap w:val="0"/>
                  <w:vAlign w:val="center"/>
                </w:tcPr>
                <w:p w14:paraId="32B9B0CC">
                  <w:pPr>
                    <w:pStyle w:val="56"/>
                    <w:bidi w:val="0"/>
                    <w:rPr>
                      <w:rFonts w:hint="eastAsia"/>
                      <w:lang w:eastAsia="zh-CN"/>
                    </w:rPr>
                  </w:pPr>
                  <w:r>
                    <w:rPr>
                      <w:rFonts w:hint="eastAsia"/>
                      <w:lang w:val="en-US" w:eastAsia="zh-CN"/>
                    </w:rPr>
                    <w:t>5</w:t>
                  </w:r>
                </w:p>
              </w:tc>
            </w:tr>
            <w:tr w14:paraId="6AE1C4F9">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37" w:type="pct"/>
                  <w:vMerge w:val="continue"/>
                  <w:noWrap w:val="0"/>
                  <w:vAlign w:val="center"/>
                </w:tcPr>
                <w:p w14:paraId="04AD11B3">
                  <w:pPr>
                    <w:pStyle w:val="56"/>
                    <w:bidi w:val="0"/>
                  </w:pPr>
                </w:p>
              </w:tc>
              <w:tc>
                <w:tcPr>
                  <w:tcW w:w="386" w:type="pct"/>
                  <w:vMerge w:val="continue"/>
                  <w:noWrap w:val="0"/>
                  <w:vAlign w:val="center"/>
                </w:tcPr>
                <w:p w14:paraId="022268C8">
                  <w:pPr>
                    <w:pStyle w:val="56"/>
                    <w:bidi w:val="0"/>
                  </w:pPr>
                </w:p>
              </w:tc>
              <w:tc>
                <w:tcPr>
                  <w:tcW w:w="1235" w:type="pct"/>
                  <w:noWrap w:val="0"/>
                  <w:vAlign w:val="center"/>
                </w:tcPr>
                <w:p w14:paraId="4B92C14C">
                  <w:pPr>
                    <w:pStyle w:val="56"/>
                    <w:bidi w:val="0"/>
                    <w:rPr>
                      <w:rFonts w:hint="eastAsia"/>
                      <w:color w:val="FF0000"/>
                      <w:lang w:val="en-US" w:eastAsia="zh-CN"/>
                    </w:rPr>
                  </w:pPr>
                  <w:r>
                    <w:rPr>
                      <w:rFonts w:hint="eastAsia"/>
                      <w:color w:val="FF0000"/>
                      <w:lang w:val="en-US" w:eastAsia="zh-CN"/>
                    </w:rPr>
                    <w:t>初期雨水</w:t>
                  </w:r>
                </w:p>
              </w:tc>
              <w:tc>
                <w:tcPr>
                  <w:tcW w:w="2368" w:type="pct"/>
                  <w:noWrap w:val="0"/>
                  <w:vAlign w:val="center"/>
                </w:tcPr>
                <w:p w14:paraId="21A30E52">
                  <w:pPr>
                    <w:pStyle w:val="56"/>
                    <w:bidi w:val="0"/>
                    <w:rPr>
                      <w:rFonts w:hint="default"/>
                      <w:color w:val="FF0000"/>
                      <w:lang w:val="en-US" w:eastAsia="zh-CN"/>
                    </w:rPr>
                  </w:pPr>
                  <w:r>
                    <w:rPr>
                      <w:rFonts w:hint="eastAsia"/>
                      <w:color w:val="FF0000"/>
                      <w:lang w:val="en-US" w:eastAsia="zh-CN"/>
                    </w:rPr>
                    <w:t>600m</w:t>
                  </w:r>
                  <w:r>
                    <w:rPr>
                      <w:rFonts w:hint="eastAsia"/>
                      <w:color w:val="FF0000"/>
                      <w:vertAlign w:val="superscript"/>
                      <w:lang w:val="en-US" w:eastAsia="zh-CN"/>
                    </w:rPr>
                    <w:t>3</w:t>
                  </w:r>
                  <w:r>
                    <w:rPr>
                      <w:rFonts w:hint="eastAsia"/>
                      <w:color w:val="FF0000"/>
                      <w:lang w:val="en-US" w:eastAsia="zh-CN"/>
                    </w:rPr>
                    <w:t>初期雨水池</w:t>
                  </w:r>
                </w:p>
              </w:tc>
              <w:tc>
                <w:tcPr>
                  <w:tcW w:w="572" w:type="pct"/>
                  <w:noWrap w:val="0"/>
                  <w:vAlign w:val="center"/>
                </w:tcPr>
                <w:p w14:paraId="5BB22045">
                  <w:pPr>
                    <w:pStyle w:val="56"/>
                    <w:bidi w:val="0"/>
                    <w:rPr>
                      <w:rFonts w:hint="default"/>
                      <w:lang w:val="en-US" w:eastAsia="zh-CN"/>
                    </w:rPr>
                  </w:pPr>
                  <w:r>
                    <w:rPr>
                      <w:rFonts w:hint="eastAsia"/>
                      <w:lang w:val="en-US" w:eastAsia="zh-CN"/>
                    </w:rPr>
                    <w:t>40</w:t>
                  </w:r>
                </w:p>
              </w:tc>
            </w:tr>
            <w:tr w14:paraId="7095742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37" w:type="pct"/>
                  <w:vMerge w:val="continue"/>
                  <w:noWrap w:val="0"/>
                  <w:vAlign w:val="center"/>
                </w:tcPr>
                <w:p w14:paraId="3350CBA6">
                  <w:pPr>
                    <w:pStyle w:val="56"/>
                    <w:bidi w:val="0"/>
                  </w:pPr>
                </w:p>
              </w:tc>
              <w:tc>
                <w:tcPr>
                  <w:tcW w:w="386" w:type="pct"/>
                  <w:vMerge w:val="continue"/>
                  <w:noWrap w:val="0"/>
                  <w:vAlign w:val="center"/>
                </w:tcPr>
                <w:p w14:paraId="14C57306">
                  <w:pPr>
                    <w:pStyle w:val="56"/>
                    <w:bidi w:val="0"/>
                  </w:pPr>
                </w:p>
              </w:tc>
              <w:tc>
                <w:tcPr>
                  <w:tcW w:w="1235" w:type="pct"/>
                  <w:noWrap w:val="0"/>
                  <w:vAlign w:val="center"/>
                </w:tcPr>
                <w:p w14:paraId="1509291D">
                  <w:pPr>
                    <w:pStyle w:val="56"/>
                    <w:bidi w:val="0"/>
                    <w:rPr>
                      <w:rFonts w:hint="default"/>
                      <w:lang w:val="en-US" w:eastAsia="zh-CN"/>
                    </w:rPr>
                  </w:pPr>
                  <w:r>
                    <w:rPr>
                      <w:rFonts w:hint="eastAsia"/>
                      <w:lang w:val="en-US" w:eastAsia="zh-CN"/>
                    </w:rPr>
                    <w:t>车辆冲洗废水</w:t>
                  </w:r>
                </w:p>
              </w:tc>
              <w:tc>
                <w:tcPr>
                  <w:tcW w:w="2368" w:type="pct"/>
                  <w:noWrap w:val="0"/>
                  <w:vAlign w:val="center"/>
                </w:tcPr>
                <w:p w14:paraId="551A5CE0">
                  <w:pPr>
                    <w:pStyle w:val="56"/>
                    <w:bidi w:val="0"/>
                    <w:rPr>
                      <w:rFonts w:hint="default"/>
                      <w:lang w:val="en-US" w:eastAsia="zh-CN"/>
                    </w:rPr>
                  </w:pPr>
                  <w:r>
                    <w:rPr>
                      <w:rFonts w:hint="eastAsia"/>
                      <w:lang w:val="en-US" w:eastAsia="zh-CN"/>
                    </w:rPr>
                    <w:t>30m</w:t>
                  </w:r>
                  <w:r>
                    <w:rPr>
                      <w:rFonts w:hint="eastAsia"/>
                      <w:vertAlign w:val="superscript"/>
                      <w:lang w:val="en-US" w:eastAsia="zh-CN"/>
                    </w:rPr>
                    <w:t>3</w:t>
                  </w:r>
                  <w:r>
                    <w:rPr>
                      <w:rFonts w:hint="eastAsia"/>
                      <w:lang w:val="en-US" w:eastAsia="zh-CN"/>
                    </w:rPr>
                    <w:t>车辆冲洗平台、沉淀池</w:t>
                  </w:r>
                </w:p>
              </w:tc>
              <w:tc>
                <w:tcPr>
                  <w:tcW w:w="572" w:type="pct"/>
                  <w:noWrap w:val="0"/>
                  <w:vAlign w:val="center"/>
                </w:tcPr>
                <w:p w14:paraId="48C05882">
                  <w:pPr>
                    <w:pStyle w:val="56"/>
                    <w:bidi w:val="0"/>
                    <w:rPr>
                      <w:rFonts w:hint="default"/>
                      <w:lang w:val="en-US" w:eastAsia="zh-CN"/>
                    </w:rPr>
                  </w:pPr>
                  <w:r>
                    <w:rPr>
                      <w:rFonts w:hint="eastAsia"/>
                      <w:lang w:val="en-US" w:eastAsia="zh-CN"/>
                    </w:rPr>
                    <w:t>2</w:t>
                  </w:r>
                </w:p>
              </w:tc>
            </w:tr>
            <w:tr w14:paraId="634E452D">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37" w:type="pct"/>
                  <w:vMerge w:val="continue"/>
                  <w:noWrap w:val="0"/>
                  <w:vAlign w:val="center"/>
                </w:tcPr>
                <w:p w14:paraId="6759459E">
                  <w:pPr>
                    <w:pStyle w:val="56"/>
                    <w:bidi w:val="0"/>
                  </w:pPr>
                </w:p>
              </w:tc>
              <w:tc>
                <w:tcPr>
                  <w:tcW w:w="386" w:type="pct"/>
                  <w:vMerge w:val="continue"/>
                  <w:noWrap w:val="0"/>
                  <w:vAlign w:val="center"/>
                </w:tcPr>
                <w:p w14:paraId="384CB58F">
                  <w:pPr>
                    <w:pStyle w:val="56"/>
                    <w:bidi w:val="0"/>
                  </w:pPr>
                </w:p>
              </w:tc>
              <w:tc>
                <w:tcPr>
                  <w:tcW w:w="1235" w:type="pct"/>
                  <w:noWrap w:val="0"/>
                  <w:vAlign w:val="center"/>
                </w:tcPr>
                <w:p w14:paraId="248350D2">
                  <w:pPr>
                    <w:pStyle w:val="56"/>
                    <w:bidi w:val="0"/>
                    <w:rPr>
                      <w:rFonts w:hint="default"/>
                      <w:lang w:val="en-US" w:eastAsia="zh-CN"/>
                    </w:rPr>
                  </w:pPr>
                  <w:r>
                    <w:rPr>
                      <w:rFonts w:hint="eastAsia"/>
                      <w:lang w:val="en-US" w:eastAsia="zh-CN"/>
                    </w:rPr>
                    <w:t>设备冲洗废水</w:t>
                  </w:r>
                </w:p>
              </w:tc>
              <w:tc>
                <w:tcPr>
                  <w:tcW w:w="2368" w:type="pct"/>
                  <w:noWrap w:val="0"/>
                  <w:vAlign w:val="center"/>
                </w:tcPr>
                <w:p w14:paraId="5F0D75CD">
                  <w:pPr>
                    <w:pStyle w:val="56"/>
                    <w:bidi w:val="0"/>
                    <w:rPr>
                      <w:rFonts w:hint="default"/>
                      <w:lang w:val="en-US" w:eastAsia="zh-CN"/>
                    </w:rPr>
                  </w:pPr>
                  <w:r>
                    <w:rPr>
                      <w:rFonts w:hint="eastAsia"/>
                      <w:lang w:val="en-US" w:eastAsia="zh-CN"/>
                    </w:rPr>
                    <w:t>5m</w:t>
                  </w:r>
                  <w:r>
                    <w:rPr>
                      <w:rFonts w:hint="eastAsia"/>
                      <w:vertAlign w:val="superscript"/>
                      <w:lang w:val="en-US" w:eastAsia="zh-CN"/>
                    </w:rPr>
                    <w:t>3</w:t>
                  </w:r>
                  <w:r>
                    <w:rPr>
                      <w:rFonts w:hint="eastAsia"/>
                      <w:lang w:val="en-US" w:eastAsia="zh-CN"/>
                    </w:rPr>
                    <w:t>设备冲洗池</w:t>
                  </w:r>
                </w:p>
              </w:tc>
              <w:tc>
                <w:tcPr>
                  <w:tcW w:w="572" w:type="pct"/>
                  <w:noWrap w:val="0"/>
                  <w:vAlign w:val="center"/>
                </w:tcPr>
                <w:p w14:paraId="5907E4A8">
                  <w:pPr>
                    <w:pStyle w:val="56"/>
                    <w:bidi w:val="0"/>
                    <w:rPr>
                      <w:rFonts w:hint="default"/>
                      <w:lang w:val="en-US" w:eastAsia="zh-CN"/>
                    </w:rPr>
                  </w:pPr>
                  <w:r>
                    <w:rPr>
                      <w:rFonts w:hint="eastAsia"/>
                      <w:lang w:val="en-US" w:eastAsia="zh-CN"/>
                    </w:rPr>
                    <w:t>1</w:t>
                  </w:r>
                </w:p>
              </w:tc>
            </w:tr>
            <w:tr w14:paraId="06E24269">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37" w:type="pct"/>
                  <w:vMerge w:val="continue"/>
                  <w:noWrap w:val="0"/>
                  <w:vAlign w:val="center"/>
                </w:tcPr>
                <w:p w14:paraId="507390AF">
                  <w:pPr>
                    <w:pStyle w:val="56"/>
                    <w:bidi w:val="0"/>
                  </w:pPr>
                </w:p>
              </w:tc>
              <w:tc>
                <w:tcPr>
                  <w:tcW w:w="386" w:type="pct"/>
                  <w:vMerge w:val="continue"/>
                  <w:noWrap w:val="0"/>
                  <w:vAlign w:val="center"/>
                </w:tcPr>
                <w:p w14:paraId="363A6396">
                  <w:pPr>
                    <w:pStyle w:val="56"/>
                    <w:bidi w:val="0"/>
                  </w:pPr>
                </w:p>
              </w:tc>
              <w:tc>
                <w:tcPr>
                  <w:tcW w:w="1235" w:type="pct"/>
                  <w:noWrap w:val="0"/>
                  <w:vAlign w:val="center"/>
                </w:tcPr>
                <w:p w14:paraId="426C5888">
                  <w:pPr>
                    <w:pStyle w:val="56"/>
                    <w:bidi w:val="0"/>
                    <w:rPr>
                      <w:rFonts w:hint="default"/>
                      <w:lang w:val="en-US" w:eastAsia="zh-CN"/>
                    </w:rPr>
                  </w:pPr>
                  <w:r>
                    <w:rPr>
                      <w:rFonts w:hint="eastAsia"/>
                      <w:lang w:val="en-US" w:eastAsia="zh-CN"/>
                    </w:rPr>
                    <w:t>喷淋降尘废水</w:t>
                  </w:r>
                </w:p>
              </w:tc>
              <w:tc>
                <w:tcPr>
                  <w:tcW w:w="2368" w:type="pct"/>
                  <w:noWrap w:val="0"/>
                  <w:vAlign w:val="center"/>
                </w:tcPr>
                <w:p w14:paraId="79748DD0">
                  <w:pPr>
                    <w:pStyle w:val="56"/>
                    <w:bidi w:val="0"/>
                    <w:rPr>
                      <w:rFonts w:hint="default"/>
                      <w:lang w:val="en-US" w:eastAsia="zh-CN"/>
                    </w:rPr>
                  </w:pPr>
                  <w:r>
                    <w:rPr>
                      <w:rFonts w:hint="eastAsia"/>
                      <w:lang w:val="en-US" w:eastAsia="zh-CN"/>
                    </w:rPr>
                    <w:t>厂区喷淋</w:t>
                  </w:r>
                </w:p>
              </w:tc>
              <w:tc>
                <w:tcPr>
                  <w:tcW w:w="572" w:type="pct"/>
                  <w:noWrap w:val="0"/>
                  <w:vAlign w:val="center"/>
                </w:tcPr>
                <w:p w14:paraId="60B73E10">
                  <w:pPr>
                    <w:pStyle w:val="56"/>
                    <w:bidi w:val="0"/>
                    <w:rPr>
                      <w:rFonts w:hint="default"/>
                      <w:lang w:val="en-US" w:eastAsia="zh-CN"/>
                    </w:rPr>
                  </w:pPr>
                  <w:r>
                    <w:rPr>
                      <w:rFonts w:hint="eastAsia"/>
                      <w:lang w:val="en-US" w:eastAsia="zh-CN"/>
                    </w:rPr>
                    <w:t>5</w:t>
                  </w:r>
                </w:p>
              </w:tc>
            </w:tr>
            <w:tr w14:paraId="2EFB512F">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90" w:hRule="atLeast"/>
                <w:jc w:val="center"/>
              </w:trPr>
              <w:tc>
                <w:tcPr>
                  <w:tcW w:w="437" w:type="pct"/>
                  <w:vMerge w:val="restart"/>
                  <w:noWrap w:val="0"/>
                  <w:vAlign w:val="center"/>
                </w:tcPr>
                <w:p w14:paraId="55D8B55A">
                  <w:pPr>
                    <w:pStyle w:val="56"/>
                    <w:bidi w:val="0"/>
                  </w:pPr>
                  <w:r>
                    <w:t>3</w:t>
                  </w:r>
                </w:p>
              </w:tc>
              <w:tc>
                <w:tcPr>
                  <w:tcW w:w="386" w:type="pct"/>
                  <w:vMerge w:val="restart"/>
                  <w:noWrap w:val="0"/>
                  <w:vAlign w:val="center"/>
                </w:tcPr>
                <w:p w14:paraId="5D74867B">
                  <w:pPr>
                    <w:pStyle w:val="56"/>
                    <w:bidi w:val="0"/>
                  </w:pPr>
                  <w:r>
                    <w:t>固体</w:t>
                  </w:r>
                </w:p>
                <w:p w14:paraId="21BCB8F9">
                  <w:pPr>
                    <w:pStyle w:val="56"/>
                    <w:bidi w:val="0"/>
                  </w:pPr>
                  <w:r>
                    <w:t>废物</w:t>
                  </w:r>
                </w:p>
              </w:tc>
              <w:tc>
                <w:tcPr>
                  <w:tcW w:w="1235" w:type="pct"/>
                  <w:noWrap w:val="0"/>
                  <w:vAlign w:val="center"/>
                </w:tcPr>
                <w:p w14:paraId="714D7C8E">
                  <w:pPr>
                    <w:pStyle w:val="56"/>
                    <w:bidi w:val="0"/>
                  </w:pPr>
                  <w:r>
                    <w:t>生活垃圾</w:t>
                  </w:r>
                </w:p>
              </w:tc>
              <w:tc>
                <w:tcPr>
                  <w:tcW w:w="2368" w:type="pct"/>
                  <w:noWrap w:val="0"/>
                  <w:vAlign w:val="center"/>
                </w:tcPr>
                <w:p w14:paraId="4876AA21">
                  <w:pPr>
                    <w:pStyle w:val="56"/>
                    <w:bidi w:val="0"/>
                  </w:pPr>
                  <w:r>
                    <w:t>垃圾桶</w:t>
                  </w:r>
                </w:p>
              </w:tc>
              <w:tc>
                <w:tcPr>
                  <w:tcW w:w="572" w:type="pct"/>
                  <w:vMerge w:val="restart"/>
                  <w:noWrap w:val="0"/>
                  <w:vAlign w:val="center"/>
                </w:tcPr>
                <w:p w14:paraId="4356645D">
                  <w:pPr>
                    <w:pStyle w:val="56"/>
                    <w:bidi w:val="0"/>
                    <w:rPr>
                      <w:rFonts w:hint="eastAsia"/>
                      <w:lang w:eastAsia="zh-CN"/>
                    </w:rPr>
                  </w:pPr>
                  <w:r>
                    <w:rPr>
                      <w:rFonts w:hint="eastAsia"/>
                      <w:lang w:val="en-US" w:eastAsia="zh-CN"/>
                    </w:rPr>
                    <w:t>5</w:t>
                  </w:r>
                </w:p>
              </w:tc>
            </w:tr>
            <w:tr w14:paraId="06E7B07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37" w:type="pct"/>
                  <w:vMerge w:val="continue"/>
                  <w:noWrap w:val="0"/>
                  <w:vAlign w:val="center"/>
                </w:tcPr>
                <w:p w14:paraId="5F6D4275">
                  <w:pPr>
                    <w:pStyle w:val="56"/>
                    <w:bidi w:val="0"/>
                  </w:pPr>
                </w:p>
              </w:tc>
              <w:tc>
                <w:tcPr>
                  <w:tcW w:w="386" w:type="pct"/>
                  <w:vMerge w:val="continue"/>
                  <w:noWrap w:val="0"/>
                  <w:vAlign w:val="center"/>
                </w:tcPr>
                <w:p w14:paraId="1EFEEF04">
                  <w:pPr>
                    <w:pStyle w:val="56"/>
                    <w:bidi w:val="0"/>
                  </w:pPr>
                </w:p>
              </w:tc>
              <w:tc>
                <w:tcPr>
                  <w:tcW w:w="1235" w:type="pct"/>
                  <w:noWrap w:val="0"/>
                  <w:vAlign w:val="center"/>
                </w:tcPr>
                <w:p w14:paraId="023993E0">
                  <w:pPr>
                    <w:pStyle w:val="56"/>
                    <w:bidi w:val="0"/>
                    <w:jc w:val="left"/>
                    <w:rPr>
                      <w:rFonts w:hint="eastAsia"/>
                    </w:rPr>
                  </w:pPr>
                  <w:r>
                    <w:rPr>
                      <w:rFonts w:hint="eastAsia"/>
                    </w:rPr>
                    <w:t>一般工业固体废物、危险废物</w:t>
                  </w:r>
                </w:p>
              </w:tc>
              <w:tc>
                <w:tcPr>
                  <w:tcW w:w="2368" w:type="pct"/>
                  <w:noWrap w:val="0"/>
                  <w:vAlign w:val="center"/>
                </w:tcPr>
                <w:p w14:paraId="158DDB77">
                  <w:pPr>
                    <w:pStyle w:val="56"/>
                    <w:bidi w:val="0"/>
                    <w:jc w:val="left"/>
                    <w:rPr>
                      <w:rFonts w:hint="eastAsia"/>
                      <w:lang w:eastAsia="zh-CN"/>
                    </w:rPr>
                  </w:pPr>
                  <w:r>
                    <w:rPr>
                      <w:rFonts w:hint="eastAsia"/>
                    </w:rPr>
                    <w:t>危险废物贮存库（</w:t>
                  </w:r>
                  <w:r>
                    <w:rPr>
                      <w:rFonts w:hint="eastAsia"/>
                      <w:lang w:val="en-US" w:eastAsia="zh-CN"/>
                    </w:rPr>
                    <w:t>10</w:t>
                  </w:r>
                  <w:r>
                    <w:rPr>
                      <w:rFonts w:hint="eastAsia"/>
                    </w:rPr>
                    <w:t>m</w:t>
                  </w:r>
                  <w:r>
                    <w:rPr>
                      <w:rFonts w:hint="eastAsia"/>
                      <w:vertAlign w:val="superscript"/>
                    </w:rPr>
                    <w:t>2</w:t>
                  </w:r>
                  <w:r>
                    <w:rPr>
                      <w:rFonts w:hint="eastAsia"/>
                    </w:rPr>
                    <w:t>）、</w:t>
                  </w:r>
                  <w:r>
                    <w:t>一般固废</w:t>
                  </w:r>
                  <w:r>
                    <w:rPr>
                      <w:rFonts w:hint="eastAsia"/>
                      <w:lang w:eastAsia="zh-CN"/>
                    </w:rPr>
                    <w:t>暂存间</w:t>
                  </w:r>
                  <w:r>
                    <w:t>（</w:t>
                  </w:r>
                  <w:r>
                    <w:rPr>
                      <w:rFonts w:hint="eastAsia"/>
                      <w:lang w:val="en-US" w:eastAsia="zh-CN"/>
                    </w:rPr>
                    <w:t>20</w:t>
                  </w:r>
                  <w:r>
                    <w:t>m</w:t>
                  </w:r>
                  <w:r>
                    <w:rPr>
                      <w:vertAlign w:val="superscript"/>
                    </w:rPr>
                    <w:t>2</w:t>
                  </w:r>
                  <w:r>
                    <w:t>）</w:t>
                  </w:r>
                </w:p>
              </w:tc>
              <w:tc>
                <w:tcPr>
                  <w:tcW w:w="572" w:type="pct"/>
                  <w:vMerge w:val="continue"/>
                  <w:noWrap w:val="0"/>
                  <w:vAlign w:val="center"/>
                </w:tcPr>
                <w:p w14:paraId="4442BE83">
                  <w:pPr>
                    <w:pStyle w:val="56"/>
                    <w:bidi w:val="0"/>
                  </w:pPr>
                </w:p>
              </w:tc>
            </w:tr>
            <w:tr w14:paraId="428483A4">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37" w:type="pct"/>
                  <w:noWrap w:val="0"/>
                  <w:vAlign w:val="center"/>
                </w:tcPr>
                <w:p w14:paraId="15B496CF">
                  <w:pPr>
                    <w:pStyle w:val="56"/>
                    <w:bidi w:val="0"/>
                  </w:pPr>
                  <w:r>
                    <w:t>4</w:t>
                  </w:r>
                </w:p>
              </w:tc>
              <w:tc>
                <w:tcPr>
                  <w:tcW w:w="386" w:type="pct"/>
                  <w:noWrap w:val="0"/>
                  <w:vAlign w:val="center"/>
                </w:tcPr>
                <w:p w14:paraId="736875D2">
                  <w:pPr>
                    <w:pStyle w:val="56"/>
                    <w:bidi w:val="0"/>
                  </w:pPr>
                  <w:r>
                    <w:t>噪声</w:t>
                  </w:r>
                </w:p>
              </w:tc>
              <w:tc>
                <w:tcPr>
                  <w:tcW w:w="1235" w:type="pct"/>
                  <w:noWrap w:val="0"/>
                  <w:vAlign w:val="center"/>
                </w:tcPr>
                <w:p w14:paraId="6F19D551">
                  <w:pPr>
                    <w:pStyle w:val="56"/>
                    <w:bidi w:val="0"/>
                  </w:pPr>
                  <w:r>
                    <w:t>高噪设备</w:t>
                  </w:r>
                </w:p>
              </w:tc>
              <w:tc>
                <w:tcPr>
                  <w:tcW w:w="2368" w:type="pct"/>
                  <w:noWrap w:val="0"/>
                  <w:vAlign w:val="center"/>
                </w:tcPr>
                <w:p w14:paraId="5B054739">
                  <w:pPr>
                    <w:pStyle w:val="56"/>
                    <w:bidi w:val="0"/>
                    <w:rPr>
                      <w:rFonts w:hint="eastAsia"/>
                      <w:lang w:eastAsia="zh-CN"/>
                    </w:rPr>
                  </w:pPr>
                  <w:r>
                    <w:t>基础减振，厂房隔声</w:t>
                  </w:r>
                </w:p>
              </w:tc>
              <w:tc>
                <w:tcPr>
                  <w:tcW w:w="572" w:type="pct"/>
                  <w:noWrap w:val="0"/>
                  <w:vAlign w:val="center"/>
                </w:tcPr>
                <w:p w14:paraId="110B28C7">
                  <w:pPr>
                    <w:pStyle w:val="56"/>
                    <w:bidi w:val="0"/>
                    <w:rPr>
                      <w:rFonts w:hint="default"/>
                      <w:lang w:val="en-US" w:eastAsia="zh-CN"/>
                    </w:rPr>
                  </w:pPr>
                  <w:r>
                    <w:rPr>
                      <w:rFonts w:hint="eastAsia"/>
                      <w:lang w:val="en-US" w:eastAsia="zh-CN"/>
                    </w:rPr>
                    <w:t>50</w:t>
                  </w:r>
                </w:p>
              </w:tc>
            </w:tr>
            <w:tr w14:paraId="706A15C8">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37" w:type="pct"/>
                  <w:noWrap w:val="0"/>
                  <w:vAlign w:val="center"/>
                </w:tcPr>
                <w:p w14:paraId="0A0B2446">
                  <w:pPr>
                    <w:pStyle w:val="56"/>
                    <w:bidi w:val="0"/>
                  </w:pPr>
                  <w:r>
                    <w:t>5</w:t>
                  </w:r>
                </w:p>
              </w:tc>
              <w:tc>
                <w:tcPr>
                  <w:tcW w:w="386" w:type="pct"/>
                  <w:noWrap w:val="0"/>
                  <w:vAlign w:val="center"/>
                </w:tcPr>
                <w:p w14:paraId="3B8AB8D2">
                  <w:pPr>
                    <w:pStyle w:val="56"/>
                    <w:bidi w:val="0"/>
                  </w:pPr>
                  <w:r>
                    <w:t>其</w:t>
                  </w:r>
                  <w:r>
                    <w:rPr>
                      <w:rFonts w:hint="eastAsia"/>
                      <w:lang w:val="en-US" w:eastAsia="zh-CN"/>
                    </w:rPr>
                    <w:t>它</w:t>
                  </w:r>
                </w:p>
              </w:tc>
              <w:tc>
                <w:tcPr>
                  <w:tcW w:w="3603" w:type="pct"/>
                  <w:gridSpan w:val="2"/>
                  <w:noWrap w:val="0"/>
                  <w:vAlign w:val="center"/>
                </w:tcPr>
                <w:p w14:paraId="5E8F3904">
                  <w:pPr>
                    <w:pStyle w:val="56"/>
                    <w:bidi w:val="0"/>
                    <w:rPr>
                      <w:rFonts w:hint="default"/>
                      <w:lang w:val="en-US" w:eastAsia="zh-CN"/>
                    </w:rPr>
                  </w:pPr>
                  <w:r>
                    <w:t>防渗、消防设施</w:t>
                  </w:r>
                  <w:r>
                    <w:rPr>
                      <w:rFonts w:hint="eastAsia"/>
                      <w:lang w:eastAsia="zh-CN"/>
                    </w:rPr>
                    <w:t>、</w:t>
                  </w:r>
                  <w:r>
                    <w:rPr>
                      <w:rFonts w:hint="eastAsia"/>
                      <w:lang w:val="en-US" w:eastAsia="zh-CN"/>
                    </w:rPr>
                    <w:t>环境风险防范和应急设施</w:t>
                  </w:r>
                </w:p>
              </w:tc>
              <w:tc>
                <w:tcPr>
                  <w:tcW w:w="572" w:type="pct"/>
                  <w:noWrap w:val="0"/>
                  <w:vAlign w:val="center"/>
                </w:tcPr>
                <w:p w14:paraId="1764D40F">
                  <w:pPr>
                    <w:pStyle w:val="56"/>
                    <w:bidi w:val="0"/>
                    <w:rPr>
                      <w:rFonts w:hint="default"/>
                      <w:lang w:val="en-US" w:eastAsia="zh-CN"/>
                    </w:rPr>
                  </w:pPr>
                  <w:r>
                    <w:rPr>
                      <w:rFonts w:hint="eastAsia"/>
                      <w:lang w:val="en-US" w:eastAsia="zh-CN"/>
                    </w:rPr>
                    <w:t>50</w:t>
                  </w:r>
                </w:p>
              </w:tc>
            </w:tr>
            <w:tr w14:paraId="06CE1CB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427" w:type="pct"/>
                  <w:gridSpan w:val="4"/>
                  <w:noWrap w:val="0"/>
                  <w:vAlign w:val="center"/>
                </w:tcPr>
                <w:p w14:paraId="6BF1B961">
                  <w:pPr>
                    <w:pStyle w:val="56"/>
                    <w:bidi w:val="0"/>
                  </w:pPr>
                  <w:r>
                    <w:t>合计</w:t>
                  </w:r>
                </w:p>
              </w:tc>
              <w:tc>
                <w:tcPr>
                  <w:tcW w:w="572" w:type="pct"/>
                  <w:noWrap w:val="0"/>
                  <w:vAlign w:val="center"/>
                </w:tcPr>
                <w:p w14:paraId="66A47079">
                  <w:pPr>
                    <w:pStyle w:val="56"/>
                    <w:bidi w:val="0"/>
                    <w:rPr>
                      <w:rFonts w:hint="default"/>
                      <w:lang w:val="en-US"/>
                    </w:rPr>
                  </w:pPr>
                  <w:r>
                    <w:rPr>
                      <w:rFonts w:hint="eastAsia"/>
                      <w:lang w:val="en-US" w:eastAsia="zh-CN"/>
                    </w:rPr>
                    <w:t>188</w:t>
                  </w:r>
                </w:p>
              </w:tc>
            </w:tr>
          </w:tbl>
          <w:p w14:paraId="4CEA66B9">
            <w:pPr>
              <w:ind w:firstLine="4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（5）环评与排污许可制度衔接相关工作</w:t>
            </w:r>
          </w:p>
          <w:p w14:paraId="3BFF2CE1">
            <w:pPr>
              <w:pStyle w:val="24"/>
              <w:keepNext w:val="0"/>
              <w:keepLines w:val="0"/>
              <w:pageBreakBefore w:val="0"/>
              <w:kinsoku/>
              <w:wordWrap/>
              <w:autoSpaceDE/>
              <w:autoSpaceDN/>
              <w:bidi w:val="0"/>
              <w:spacing w:after="0" w:line="360" w:lineRule="auto"/>
              <w:ind w:left="0" w:leftChars="0" w:firstLine="480" w:firstLineChars="200"/>
              <w:textAlignment w:val="auto"/>
              <w:rPr>
                <w:rFonts w:hint="default" w:ascii="Times New Roman" w:hAnsi="Times New Roman" w:eastAsia="宋体" w:cs="Times New Roman"/>
                <w:color w:val="auto"/>
                <w:kern w:val="0"/>
                <w:sz w:val="24"/>
                <w:szCs w:val="24"/>
                <w:vertAlign w:val="baseline"/>
                <w:lang w:val="en-US" w:eastAsia="zh-CN" w:bidi="ar-SA"/>
              </w:rPr>
            </w:pPr>
            <w:r>
              <w:rPr>
                <w:rFonts w:hint="eastAsia" w:ascii="Times New Roman" w:hAnsi="Times New Roman" w:eastAsia="宋体" w:cs="Times New Roman"/>
                <w:color w:val="auto"/>
                <w:kern w:val="0"/>
                <w:sz w:val="24"/>
                <w:szCs w:val="24"/>
                <w:vertAlign w:val="baseline"/>
                <w:lang w:val="en-US" w:eastAsia="zh-CN" w:bidi="ar-SA"/>
              </w:rPr>
              <w:t>本项目在执行环境影响评价中的相关要求的同时，应按照生态环境部办公厅于2017年11月15日发布的《关于做好环境影响评价制度与排污许可制度衔接相关工作的通知》（环办环评〔2017〕84号）、《排污许可管理办法》（2024年7月1日起施行）、《固定污染源排污许可分类管理名录（2019年版）》以及《排污许可管理条例》（2021年3月1日实施）要求做好排污许可制度的衔接工作。</w:t>
            </w:r>
            <w:r>
              <w:rPr>
                <w:rFonts w:hint="default" w:ascii="Times New Roman" w:hAnsi="Times New Roman" w:eastAsia="宋体" w:cs="Times New Roman"/>
                <w:color w:val="auto"/>
                <w:kern w:val="0"/>
                <w:sz w:val="24"/>
                <w:szCs w:val="24"/>
                <w:vertAlign w:val="baseline"/>
                <w:lang w:val="en-US" w:eastAsia="zh-CN" w:bidi="ar-SA"/>
              </w:rPr>
              <w:t>根据《固定污染源排污许可分类管理名录（2019年版）》，本项目属于</w:t>
            </w:r>
            <w:r>
              <w:rPr>
                <w:rFonts w:hint="eastAsia" w:ascii="Times New Roman" w:hAnsi="Times New Roman" w:eastAsia="宋体" w:cs="Times New Roman"/>
                <w:color w:val="auto"/>
                <w:kern w:val="0"/>
                <w:sz w:val="24"/>
                <w:szCs w:val="24"/>
                <w:vertAlign w:val="baseline"/>
                <w:lang w:val="en-US" w:eastAsia="zh-CN" w:bidi="ar-SA"/>
              </w:rPr>
              <w:t>二十五非金属矿物制品业中砼结构构件制造及二十八金属制品业中金属表面处理及热处理加工中其他，为登记管理</w:t>
            </w:r>
          </w:p>
          <w:p w14:paraId="6F75927E">
            <w:pPr>
              <w:pStyle w:val="56"/>
              <w:bidi w:val="0"/>
              <w:rPr>
                <w:rFonts w:hint="default" w:eastAsia="宋体"/>
                <w:lang w:val="en-US" w:eastAsia="zh-CN"/>
              </w:rPr>
            </w:pPr>
          </w:p>
        </w:tc>
      </w:tr>
    </w:tbl>
    <w:p w14:paraId="78DC817F">
      <w:pPr>
        <w:pStyle w:val="38"/>
        <w:ind w:firstLine="480"/>
        <w:jc w:val="center"/>
        <w:outlineLvl w:val="0"/>
        <w:rPr>
          <w:rFonts w:ascii="黑体" w:hAnsi="黑体" w:eastAsia="黑体"/>
          <w:snapToGrid w:val="0"/>
          <w:sz w:val="30"/>
          <w:szCs w:val="30"/>
        </w:rPr>
      </w:pPr>
      <w:r>
        <w:rPr>
          <w:snapToGrid w:val="0"/>
        </w:rPr>
        <w:br w:type="page"/>
      </w:r>
      <w:bookmarkStart w:id="22" w:name="_Toc1211"/>
      <w:r>
        <w:rPr>
          <w:rFonts w:hint="eastAsia" w:ascii="黑体" w:hAnsi="黑体" w:eastAsia="黑体"/>
          <w:snapToGrid w:val="0"/>
          <w:sz w:val="30"/>
          <w:szCs w:val="30"/>
        </w:rPr>
        <w:t>六、结论</w:t>
      </w:r>
      <w:bookmarkEnd w:id="22"/>
    </w:p>
    <w:tbl>
      <w:tblPr>
        <w:tblStyle w:val="41"/>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4A42ED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0B9EBA7E">
            <w:pPr>
              <w:spacing w:line="360" w:lineRule="auto"/>
              <w:ind w:firstLine="480"/>
              <w:rPr>
                <w:rFonts w:ascii="宋体" w:cs="宋体"/>
              </w:rPr>
            </w:pPr>
            <w:r>
              <w:t>综上所述：本项目符合我国现行的产业政策，项目选址符合</w:t>
            </w:r>
            <w:r>
              <w:rPr>
                <w:rFonts w:hint="eastAsia"/>
              </w:rPr>
              <w:t>宜春市高安市</w:t>
            </w:r>
            <w:r>
              <w:t>发展规划和环境保护规划，周围环境质量状况良好，选址</w:t>
            </w:r>
            <w:r>
              <w:rPr>
                <w:rFonts w:hint="eastAsia"/>
                <w:lang w:val="en-US" w:eastAsia="zh-CN"/>
              </w:rPr>
              <w:t>可行</w:t>
            </w:r>
            <w:r>
              <w:t>。建设单位应严格执行</w:t>
            </w:r>
            <w:r>
              <w:rPr>
                <w:rFonts w:hint="eastAsia"/>
              </w:rPr>
              <w:t>、</w:t>
            </w:r>
            <w:r>
              <w:t>落实本次环评提出的各项治理措施</w:t>
            </w:r>
            <w:r>
              <w:rPr>
                <w:rFonts w:hint="eastAsia"/>
                <w:lang w:eastAsia="zh-CN"/>
              </w:rPr>
              <w:t>，在</w:t>
            </w:r>
            <w:r>
              <w:t>确保污染物达标排放</w:t>
            </w:r>
            <w:r>
              <w:rPr>
                <w:rFonts w:hint="eastAsia"/>
                <w:lang w:eastAsia="zh-CN"/>
              </w:rPr>
              <w:t>，</w:t>
            </w:r>
            <w:r>
              <w:t>加强环境管理的前提下，从</w:t>
            </w:r>
            <w:r>
              <w:rPr>
                <w:rFonts w:hint="eastAsia"/>
              </w:rPr>
              <w:t>环境保护</w:t>
            </w:r>
            <w:r>
              <w:t>角度分析，本评价认为本项目选址和建设是可行的。</w:t>
            </w:r>
          </w:p>
        </w:tc>
      </w:tr>
    </w:tbl>
    <w:p w14:paraId="0A2E5186">
      <w:pPr>
        <w:ind w:firstLine="480"/>
        <w:rPr>
          <w:rFonts w:ascii="宋体"/>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4A2BF2C4">
      <w:pPr>
        <w:pStyle w:val="38"/>
        <w:spacing w:before="0" w:beforeAutospacing="0" w:after="0" w:afterAutospacing="0"/>
        <w:ind w:firstLine="640"/>
        <w:outlineLvl w:val="0"/>
        <w:rPr>
          <w:rFonts w:ascii="黑体" w:hAnsi="黑体" w:eastAsia="黑体"/>
          <w:snapToGrid w:val="0"/>
          <w:sz w:val="32"/>
          <w:szCs w:val="32"/>
        </w:rPr>
      </w:pPr>
      <w:bookmarkStart w:id="23" w:name="_Toc6436"/>
      <w:r>
        <w:rPr>
          <w:rFonts w:hint="eastAsia" w:ascii="黑体" w:hAnsi="黑体" w:eastAsia="黑体"/>
          <w:snapToGrid w:val="0"/>
          <w:sz w:val="32"/>
          <w:szCs w:val="32"/>
        </w:rPr>
        <w:t>附表</w:t>
      </w:r>
      <w:bookmarkEnd w:id="23"/>
    </w:p>
    <w:p w14:paraId="240A24E8">
      <w:pPr>
        <w:pStyle w:val="38"/>
        <w:spacing w:before="0" w:beforeAutospacing="0" w:after="0" w:afterAutospacing="0"/>
        <w:ind w:firstLine="760"/>
        <w:jc w:val="center"/>
        <w:outlineLvl w:val="0"/>
        <w:rPr>
          <w:rFonts w:ascii="方正小标宋_GBK" w:hAnsi="黑体" w:eastAsia="方正小标宋_GBK"/>
          <w:b w:val="0"/>
          <w:bCs w:val="0"/>
          <w:snapToGrid w:val="0"/>
          <w:sz w:val="38"/>
          <w:szCs w:val="38"/>
        </w:rPr>
      </w:pPr>
      <w:bookmarkStart w:id="24" w:name="_Toc14928"/>
      <w:r>
        <w:rPr>
          <w:rFonts w:hint="eastAsia" w:ascii="方正小标宋_GBK" w:hAnsi="黑体" w:eastAsia="方正小标宋_GBK"/>
          <w:b w:val="0"/>
          <w:bCs w:val="0"/>
          <w:snapToGrid w:val="0"/>
          <w:sz w:val="38"/>
          <w:szCs w:val="38"/>
        </w:rPr>
        <w:t>建设项目污染物排放量汇总表</w:t>
      </w:r>
      <w:bookmarkEnd w:id="24"/>
    </w:p>
    <w:tbl>
      <w:tblPr>
        <w:tblStyle w:val="41"/>
        <w:tblW w:w="14024"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677"/>
        <w:gridCol w:w="1441"/>
        <w:gridCol w:w="1276"/>
        <w:gridCol w:w="1701"/>
        <w:gridCol w:w="1559"/>
        <w:gridCol w:w="1761"/>
        <w:gridCol w:w="1788"/>
        <w:gridCol w:w="1233"/>
      </w:tblGrid>
      <w:tr w14:paraId="1B1F2A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tcBorders>
              <w:tl2br w:val="single" w:color="auto" w:sz="4" w:space="0"/>
            </w:tcBorders>
            <w:tcMar>
              <w:left w:w="28" w:type="dxa"/>
              <w:right w:w="28" w:type="dxa"/>
            </w:tcMar>
            <w:vAlign w:val="center"/>
          </w:tcPr>
          <w:p w14:paraId="1AE8B561">
            <w:pPr>
              <w:pStyle w:val="56"/>
              <w:keepNext w:val="0"/>
              <w:keepLines w:val="0"/>
              <w:pageBreakBefore w:val="0"/>
              <w:kinsoku/>
              <w:wordWrap/>
              <w:overflowPunct/>
              <w:topLinePunct w:val="0"/>
              <w:autoSpaceDE/>
              <w:autoSpaceDN/>
              <w:bidi w:val="0"/>
              <w:adjustRightInd w:val="0"/>
              <w:snapToGrid w:val="0"/>
              <w:spacing w:line="240" w:lineRule="auto"/>
              <w:jc w:val="right"/>
              <w:rPr>
                <w:color w:val="auto"/>
              </w:rPr>
            </w:pPr>
            <w:r>
              <w:rPr>
                <w:rFonts w:hint="eastAsia"/>
                <w:color w:val="auto"/>
              </w:rPr>
              <w:t>项目</w:t>
            </w:r>
          </w:p>
          <w:p w14:paraId="50EF6264">
            <w:pPr>
              <w:pStyle w:val="56"/>
              <w:keepNext w:val="0"/>
              <w:keepLines w:val="0"/>
              <w:pageBreakBefore w:val="0"/>
              <w:kinsoku/>
              <w:wordWrap/>
              <w:overflowPunct/>
              <w:topLinePunct w:val="0"/>
              <w:autoSpaceDE/>
              <w:autoSpaceDN/>
              <w:bidi w:val="0"/>
              <w:adjustRightInd w:val="0"/>
              <w:snapToGrid w:val="0"/>
              <w:spacing w:line="240" w:lineRule="auto"/>
              <w:jc w:val="left"/>
              <w:rPr>
                <w:color w:val="auto"/>
              </w:rPr>
            </w:pPr>
            <w:r>
              <w:rPr>
                <w:rFonts w:hint="eastAsia"/>
                <w:color w:val="auto"/>
              </w:rPr>
              <w:t>分类</w:t>
            </w:r>
          </w:p>
        </w:tc>
        <w:tc>
          <w:tcPr>
            <w:tcW w:w="1677" w:type="dxa"/>
            <w:tcMar>
              <w:left w:w="28" w:type="dxa"/>
              <w:right w:w="28" w:type="dxa"/>
            </w:tcMar>
            <w:vAlign w:val="center"/>
          </w:tcPr>
          <w:p w14:paraId="28C668A4">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rFonts w:hint="eastAsia"/>
                <w:color w:val="auto"/>
              </w:rPr>
              <w:t>污染物名称</w:t>
            </w:r>
          </w:p>
        </w:tc>
        <w:tc>
          <w:tcPr>
            <w:tcW w:w="1441" w:type="dxa"/>
            <w:tcMar>
              <w:left w:w="28" w:type="dxa"/>
              <w:right w:w="28" w:type="dxa"/>
            </w:tcMar>
            <w:vAlign w:val="center"/>
          </w:tcPr>
          <w:p w14:paraId="16C0C3AD">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color w:val="auto"/>
              </w:rPr>
              <w:t>现有工程</w:t>
            </w:r>
          </w:p>
          <w:p w14:paraId="59AC49D4">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color w:val="auto"/>
              </w:rPr>
              <w:t>排放量（固</w:t>
            </w:r>
            <w:r>
              <w:rPr>
                <w:rFonts w:hint="eastAsia"/>
                <w:color w:val="auto"/>
              </w:rPr>
              <w:t>体</w:t>
            </w:r>
            <w:r>
              <w:rPr>
                <w:color w:val="auto"/>
              </w:rPr>
              <w:t>废</w:t>
            </w:r>
            <w:r>
              <w:rPr>
                <w:rFonts w:hint="eastAsia"/>
                <w:color w:val="auto"/>
              </w:rPr>
              <w:t>物</w:t>
            </w:r>
            <w:r>
              <w:rPr>
                <w:color w:val="auto"/>
              </w:rPr>
              <w:t>产生量）</w:t>
            </w:r>
            <w:r>
              <w:rPr>
                <w:color w:val="auto"/>
              </w:rPr>
              <w:fldChar w:fldCharType="begin"/>
            </w:r>
            <w:r>
              <w:rPr>
                <w:color w:val="auto"/>
              </w:rPr>
              <w:instrText xml:space="preserve"> = 1 \* GB3 \* MERGEFORMAT </w:instrText>
            </w:r>
            <w:r>
              <w:rPr>
                <w:color w:val="auto"/>
              </w:rPr>
              <w:fldChar w:fldCharType="separate"/>
            </w:r>
            <w:r>
              <w:rPr>
                <w:rFonts w:hint="eastAsia"/>
                <w:color w:val="auto"/>
              </w:rPr>
              <w:t>①</w:t>
            </w:r>
            <w:r>
              <w:rPr>
                <w:color w:val="auto"/>
              </w:rPr>
              <w:fldChar w:fldCharType="end"/>
            </w:r>
          </w:p>
        </w:tc>
        <w:tc>
          <w:tcPr>
            <w:tcW w:w="1276" w:type="dxa"/>
            <w:tcMar>
              <w:left w:w="28" w:type="dxa"/>
              <w:right w:w="28" w:type="dxa"/>
            </w:tcMar>
            <w:vAlign w:val="center"/>
          </w:tcPr>
          <w:p w14:paraId="6A27F5E8">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color w:val="auto"/>
              </w:rPr>
              <w:t>现有工程</w:t>
            </w:r>
          </w:p>
          <w:p w14:paraId="5BC9989A">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color w:val="auto"/>
              </w:rPr>
              <w:t>许可排放量</w:t>
            </w:r>
          </w:p>
          <w:p w14:paraId="4F457E54">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color w:val="auto"/>
              </w:rPr>
              <w:fldChar w:fldCharType="begin"/>
            </w:r>
            <w:r>
              <w:rPr>
                <w:color w:val="auto"/>
              </w:rPr>
              <w:instrText xml:space="preserve"> = 2 \* GB3 \* MERGEFORMAT </w:instrText>
            </w:r>
            <w:r>
              <w:rPr>
                <w:color w:val="auto"/>
              </w:rPr>
              <w:fldChar w:fldCharType="separate"/>
            </w:r>
            <w:r>
              <w:rPr>
                <w:rFonts w:hint="eastAsia"/>
                <w:color w:val="auto"/>
              </w:rPr>
              <w:t>②</w:t>
            </w:r>
            <w:r>
              <w:rPr>
                <w:color w:val="auto"/>
              </w:rPr>
              <w:fldChar w:fldCharType="end"/>
            </w:r>
          </w:p>
        </w:tc>
        <w:tc>
          <w:tcPr>
            <w:tcW w:w="1701" w:type="dxa"/>
            <w:tcMar>
              <w:left w:w="28" w:type="dxa"/>
              <w:right w:w="28" w:type="dxa"/>
            </w:tcMar>
            <w:vAlign w:val="center"/>
          </w:tcPr>
          <w:p w14:paraId="676B4C01">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color w:val="auto"/>
              </w:rPr>
              <w:t>在建工程</w:t>
            </w:r>
          </w:p>
          <w:p w14:paraId="2FA103A7">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color w:val="auto"/>
              </w:rPr>
              <w:t>排放量（固</w:t>
            </w:r>
            <w:r>
              <w:rPr>
                <w:rFonts w:hint="eastAsia"/>
                <w:color w:val="auto"/>
              </w:rPr>
              <w:t>体</w:t>
            </w:r>
            <w:r>
              <w:rPr>
                <w:color w:val="auto"/>
              </w:rPr>
              <w:t>废</w:t>
            </w:r>
            <w:r>
              <w:rPr>
                <w:rFonts w:hint="eastAsia"/>
                <w:color w:val="auto"/>
              </w:rPr>
              <w:t>物</w:t>
            </w:r>
            <w:r>
              <w:rPr>
                <w:color w:val="auto"/>
              </w:rPr>
              <w:t>产生量）</w:t>
            </w:r>
            <w:r>
              <w:rPr>
                <w:color w:val="auto"/>
              </w:rPr>
              <w:fldChar w:fldCharType="begin"/>
            </w:r>
            <w:r>
              <w:rPr>
                <w:color w:val="auto"/>
              </w:rPr>
              <w:instrText xml:space="preserve"> = 3 \* GB3 \* MERGEFORMAT </w:instrText>
            </w:r>
            <w:r>
              <w:rPr>
                <w:color w:val="auto"/>
              </w:rPr>
              <w:fldChar w:fldCharType="separate"/>
            </w:r>
            <w:r>
              <w:rPr>
                <w:rFonts w:hint="eastAsia"/>
                <w:color w:val="auto"/>
              </w:rPr>
              <w:t>③</w:t>
            </w:r>
            <w:r>
              <w:rPr>
                <w:color w:val="auto"/>
              </w:rPr>
              <w:fldChar w:fldCharType="end"/>
            </w:r>
          </w:p>
        </w:tc>
        <w:tc>
          <w:tcPr>
            <w:tcW w:w="1559" w:type="dxa"/>
            <w:tcMar>
              <w:left w:w="28" w:type="dxa"/>
              <w:right w:w="28" w:type="dxa"/>
            </w:tcMar>
            <w:vAlign w:val="center"/>
          </w:tcPr>
          <w:p w14:paraId="22DBDF10">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color w:val="auto"/>
              </w:rPr>
              <w:t>本项目</w:t>
            </w:r>
          </w:p>
          <w:p w14:paraId="4C4C0DB7">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color w:val="auto"/>
              </w:rPr>
              <w:t>排放量（固</w:t>
            </w:r>
            <w:r>
              <w:rPr>
                <w:rFonts w:hint="eastAsia"/>
                <w:color w:val="auto"/>
              </w:rPr>
              <w:t>体</w:t>
            </w:r>
            <w:r>
              <w:rPr>
                <w:color w:val="auto"/>
              </w:rPr>
              <w:t>废</w:t>
            </w:r>
            <w:r>
              <w:rPr>
                <w:rFonts w:hint="eastAsia"/>
                <w:color w:val="auto"/>
              </w:rPr>
              <w:t>物</w:t>
            </w:r>
            <w:r>
              <w:rPr>
                <w:color w:val="auto"/>
              </w:rPr>
              <w:t>产生量）</w:t>
            </w:r>
            <w:r>
              <w:rPr>
                <w:color w:val="auto"/>
              </w:rPr>
              <w:fldChar w:fldCharType="begin"/>
            </w:r>
            <w:r>
              <w:rPr>
                <w:color w:val="auto"/>
              </w:rPr>
              <w:instrText xml:space="preserve"> = 4 \* GB3 \* MERGEFORMAT </w:instrText>
            </w:r>
            <w:r>
              <w:rPr>
                <w:color w:val="auto"/>
              </w:rPr>
              <w:fldChar w:fldCharType="separate"/>
            </w:r>
            <w:r>
              <w:rPr>
                <w:rFonts w:hint="eastAsia"/>
                <w:color w:val="auto"/>
              </w:rPr>
              <w:t>④</w:t>
            </w:r>
            <w:r>
              <w:rPr>
                <w:color w:val="auto"/>
              </w:rPr>
              <w:fldChar w:fldCharType="end"/>
            </w:r>
          </w:p>
        </w:tc>
        <w:tc>
          <w:tcPr>
            <w:tcW w:w="1761" w:type="dxa"/>
            <w:tcMar>
              <w:left w:w="28" w:type="dxa"/>
              <w:right w:w="28" w:type="dxa"/>
            </w:tcMar>
            <w:vAlign w:val="center"/>
          </w:tcPr>
          <w:p w14:paraId="679B0629">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color w:val="auto"/>
              </w:rPr>
              <w:t>以新带老削减量</w:t>
            </w:r>
          </w:p>
          <w:p w14:paraId="287E19EA">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color w:val="auto"/>
              </w:rPr>
              <w:t>（新建项目不填）</w:t>
            </w:r>
            <w:r>
              <w:rPr>
                <w:color w:val="auto"/>
              </w:rPr>
              <w:fldChar w:fldCharType="begin"/>
            </w:r>
            <w:r>
              <w:rPr>
                <w:color w:val="auto"/>
              </w:rPr>
              <w:instrText xml:space="preserve"> = 5 \* GB3 \* MERGEFORMAT </w:instrText>
            </w:r>
            <w:r>
              <w:rPr>
                <w:color w:val="auto"/>
              </w:rPr>
              <w:fldChar w:fldCharType="separate"/>
            </w:r>
            <w:r>
              <w:rPr>
                <w:rFonts w:hint="eastAsia"/>
                <w:color w:val="auto"/>
              </w:rPr>
              <w:t>⑤</w:t>
            </w:r>
            <w:r>
              <w:rPr>
                <w:color w:val="auto"/>
              </w:rPr>
              <w:fldChar w:fldCharType="end"/>
            </w:r>
          </w:p>
        </w:tc>
        <w:tc>
          <w:tcPr>
            <w:tcW w:w="1788" w:type="dxa"/>
            <w:tcMar>
              <w:left w:w="28" w:type="dxa"/>
              <w:right w:w="28" w:type="dxa"/>
            </w:tcMar>
            <w:vAlign w:val="center"/>
          </w:tcPr>
          <w:p w14:paraId="4B55028C">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color w:val="auto"/>
              </w:rPr>
              <w:t>本项目建成后</w:t>
            </w:r>
          </w:p>
          <w:p w14:paraId="3F8D797F">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rFonts w:hint="eastAsia"/>
                <w:color w:val="auto"/>
              </w:rPr>
              <w:t>全厂</w:t>
            </w:r>
            <w:r>
              <w:rPr>
                <w:color w:val="auto"/>
              </w:rPr>
              <w:t>排放量（固</w:t>
            </w:r>
            <w:r>
              <w:rPr>
                <w:rFonts w:hint="eastAsia"/>
                <w:color w:val="auto"/>
              </w:rPr>
              <w:t>体</w:t>
            </w:r>
            <w:r>
              <w:rPr>
                <w:color w:val="auto"/>
              </w:rPr>
              <w:t>废</w:t>
            </w:r>
            <w:r>
              <w:rPr>
                <w:rFonts w:hint="eastAsia"/>
                <w:color w:val="auto"/>
              </w:rPr>
              <w:t>物</w:t>
            </w:r>
            <w:r>
              <w:rPr>
                <w:color w:val="auto"/>
              </w:rPr>
              <w:t>产生量）</w:t>
            </w:r>
            <w:r>
              <w:rPr>
                <w:color w:val="auto"/>
              </w:rPr>
              <w:fldChar w:fldCharType="begin"/>
            </w:r>
            <w:r>
              <w:rPr>
                <w:color w:val="auto"/>
              </w:rPr>
              <w:instrText xml:space="preserve"> = 6 \* GB3 \* MERGEFORMAT </w:instrText>
            </w:r>
            <w:r>
              <w:rPr>
                <w:color w:val="auto"/>
              </w:rPr>
              <w:fldChar w:fldCharType="separate"/>
            </w:r>
            <w:r>
              <w:rPr>
                <w:rFonts w:hint="eastAsia"/>
                <w:color w:val="auto"/>
              </w:rPr>
              <w:t>⑥</w:t>
            </w:r>
            <w:r>
              <w:rPr>
                <w:color w:val="auto"/>
              </w:rPr>
              <w:fldChar w:fldCharType="end"/>
            </w:r>
          </w:p>
        </w:tc>
        <w:tc>
          <w:tcPr>
            <w:tcW w:w="1233" w:type="dxa"/>
            <w:tcMar>
              <w:left w:w="28" w:type="dxa"/>
              <w:right w:w="28" w:type="dxa"/>
            </w:tcMar>
            <w:vAlign w:val="center"/>
          </w:tcPr>
          <w:p w14:paraId="2DA76764">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color w:val="auto"/>
              </w:rPr>
              <w:t>变化量</w:t>
            </w:r>
          </w:p>
          <w:p w14:paraId="6D8B05CC">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color w:val="auto"/>
              </w:rPr>
              <w:fldChar w:fldCharType="begin"/>
            </w:r>
            <w:r>
              <w:rPr>
                <w:color w:val="auto"/>
              </w:rPr>
              <w:instrText xml:space="preserve"> = 7 \* GB3 \* MERGEFORMAT </w:instrText>
            </w:r>
            <w:r>
              <w:rPr>
                <w:color w:val="auto"/>
              </w:rPr>
              <w:fldChar w:fldCharType="separate"/>
            </w:r>
            <w:r>
              <w:rPr>
                <w:rFonts w:hint="eastAsia"/>
                <w:color w:val="auto"/>
              </w:rPr>
              <w:t>⑦</w:t>
            </w:r>
            <w:r>
              <w:rPr>
                <w:color w:val="auto"/>
              </w:rPr>
              <w:fldChar w:fldCharType="end"/>
            </w:r>
          </w:p>
        </w:tc>
      </w:tr>
      <w:tr w14:paraId="48D3CA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1588" w:type="dxa"/>
            <w:vAlign w:val="center"/>
          </w:tcPr>
          <w:p w14:paraId="757BCBE2">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rFonts w:hint="eastAsia"/>
                <w:color w:val="auto"/>
              </w:rPr>
              <w:t>废气</w:t>
            </w:r>
          </w:p>
        </w:tc>
        <w:tc>
          <w:tcPr>
            <w:tcW w:w="1677" w:type="dxa"/>
            <w:vAlign w:val="center"/>
          </w:tcPr>
          <w:p w14:paraId="7105DCC2">
            <w:pPr>
              <w:pStyle w:val="56"/>
              <w:keepNext w:val="0"/>
              <w:keepLines w:val="0"/>
              <w:pageBreakBefore w:val="0"/>
              <w:kinsoku/>
              <w:wordWrap/>
              <w:overflowPunct/>
              <w:topLinePunct w:val="0"/>
              <w:autoSpaceDE/>
              <w:autoSpaceDN/>
              <w:bidi w:val="0"/>
              <w:adjustRightInd w:val="0"/>
              <w:snapToGrid w:val="0"/>
              <w:spacing w:line="240" w:lineRule="auto"/>
              <w:jc w:val="center"/>
              <w:rPr>
                <w:rFonts w:hint="eastAsia" w:eastAsia="宋体"/>
                <w:color w:val="auto"/>
                <w:lang w:val="en-US" w:eastAsia="zh-CN"/>
              </w:rPr>
            </w:pPr>
            <w:r>
              <w:rPr>
                <w:rFonts w:hint="eastAsia"/>
                <w:color w:val="auto"/>
                <w:lang w:val="en-US" w:eastAsia="zh-CN"/>
              </w:rPr>
              <w:t>颗粒物</w:t>
            </w:r>
          </w:p>
        </w:tc>
        <w:tc>
          <w:tcPr>
            <w:tcW w:w="1441" w:type="dxa"/>
            <w:vAlign w:val="center"/>
          </w:tcPr>
          <w:p w14:paraId="408B7486">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276" w:type="dxa"/>
            <w:vAlign w:val="center"/>
          </w:tcPr>
          <w:p w14:paraId="3A8F7EAD">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701" w:type="dxa"/>
            <w:vAlign w:val="center"/>
          </w:tcPr>
          <w:p w14:paraId="0506B842">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559" w:type="dxa"/>
            <w:vAlign w:val="center"/>
          </w:tcPr>
          <w:p w14:paraId="4C1706E2">
            <w:pPr>
              <w:pStyle w:val="56"/>
              <w:keepNext w:val="0"/>
              <w:keepLines w:val="0"/>
              <w:pageBreakBefore w:val="0"/>
              <w:kinsoku/>
              <w:wordWrap/>
              <w:overflowPunct/>
              <w:topLinePunct w:val="0"/>
              <w:autoSpaceDE/>
              <w:autoSpaceDN/>
              <w:bidi w:val="0"/>
              <w:adjustRightInd w:val="0"/>
              <w:snapToGrid w:val="0"/>
              <w:spacing w:line="240" w:lineRule="auto"/>
              <w:jc w:val="center"/>
              <w:rPr>
                <w:rFonts w:hint="default" w:eastAsia="宋体"/>
                <w:color w:val="auto"/>
                <w:lang w:val="en-US" w:eastAsia="zh-CN"/>
              </w:rPr>
            </w:pPr>
            <w:r>
              <w:rPr>
                <w:rFonts w:hint="eastAsia"/>
                <w:color w:val="auto"/>
                <w:lang w:val="en-US" w:eastAsia="zh-CN"/>
              </w:rPr>
              <w:t>0.1127</w:t>
            </w:r>
            <w:r>
              <w:rPr>
                <w:color w:val="auto"/>
              </w:rPr>
              <w:t>t/a</w:t>
            </w:r>
          </w:p>
        </w:tc>
        <w:tc>
          <w:tcPr>
            <w:tcW w:w="1761" w:type="dxa"/>
            <w:vAlign w:val="center"/>
          </w:tcPr>
          <w:p w14:paraId="6F80C1C6">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788" w:type="dxa"/>
            <w:vAlign w:val="center"/>
          </w:tcPr>
          <w:p w14:paraId="1E215567">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rFonts w:hint="eastAsia"/>
                <w:color w:val="auto"/>
                <w:lang w:val="en-US" w:eastAsia="zh-CN"/>
              </w:rPr>
              <w:t>0.1127</w:t>
            </w:r>
            <w:r>
              <w:rPr>
                <w:color w:val="auto"/>
              </w:rPr>
              <w:t>t/a</w:t>
            </w:r>
          </w:p>
        </w:tc>
        <w:tc>
          <w:tcPr>
            <w:tcW w:w="1233" w:type="dxa"/>
            <w:vAlign w:val="center"/>
          </w:tcPr>
          <w:p w14:paraId="16AA4928">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rFonts w:hint="eastAsia"/>
                <w:color w:val="auto"/>
                <w:lang w:val="en-US" w:eastAsia="zh-CN"/>
              </w:rPr>
              <w:t>+0.1127</w:t>
            </w:r>
            <w:r>
              <w:rPr>
                <w:color w:val="auto"/>
              </w:rPr>
              <w:t>t/a</w:t>
            </w:r>
          </w:p>
        </w:tc>
      </w:tr>
      <w:tr w14:paraId="79BB4D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restart"/>
            <w:vAlign w:val="center"/>
          </w:tcPr>
          <w:p w14:paraId="29BBF90F">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rFonts w:hint="eastAsia"/>
                <w:color w:val="auto"/>
              </w:rPr>
              <w:t>废水</w:t>
            </w:r>
          </w:p>
        </w:tc>
        <w:tc>
          <w:tcPr>
            <w:tcW w:w="1677" w:type="dxa"/>
            <w:vAlign w:val="center"/>
          </w:tcPr>
          <w:p w14:paraId="51B7F64B">
            <w:pPr>
              <w:pStyle w:val="56"/>
              <w:keepNext w:val="0"/>
              <w:keepLines w:val="0"/>
              <w:pageBreakBefore w:val="0"/>
              <w:kinsoku/>
              <w:wordWrap/>
              <w:overflowPunct/>
              <w:topLinePunct w:val="0"/>
              <w:autoSpaceDE/>
              <w:autoSpaceDN/>
              <w:bidi w:val="0"/>
              <w:adjustRightInd w:val="0"/>
              <w:snapToGrid w:val="0"/>
              <w:spacing w:line="240" w:lineRule="auto"/>
              <w:jc w:val="center"/>
              <w:rPr>
                <w:color w:val="FF0000"/>
              </w:rPr>
            </w:pPr>
            <w:r>
              <w:rPr>
                <w:color w:val="FF0000"/>
              </w:rPr>
              <w:t>COD</w:t>
            </w:r>
            <w:r>
              <w:rPr>
                <w:color w:val="FF0000"/>
                <w:vertAlign w:val="subscript"/>
              </w:rPr>
              <w:t>Cr</w:t>
            </w:r>
          </w:p>
        </w:tc>
        <w:tc>
          <w:tcPr>
            <w:tcW w:w="1441" w:type="dxa"/>
            <w:vAlign w:val="center"/>
          </w:tcPr>
          <w:p w14:paraId="50270066">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eastAsia="宋体"/>
                <w:color w:val="FF0000"/>
                <w:lang w:val="en-US" w:eastAsia="zh-CN"/>
              </w:rPr>
            </w:pPr>
            <w:r>
              <w:rPr>
                <w:rFonts w:hint="eastAsia"/>
                <w:color w:val="FF0000"/>
                <w:lang w:val="en-US" w:eastAsia="zh-CN"/>
              </w:rPr>
              <w:t>/</w:t>
            </w:r>
          </w:p>
        </w:tc>
        <w:tc>
          <w:tcPr>
            <w:tcW w:w="1276" w:type="dxa"/>
            <w:vAlign w:val="center"/>
          </w:tcPr>
          <w:p w14:paraId="33AEC961">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FF0000"/>
              </w:rPr>
            </w:pPr>
            <w:r>
              <w:rPr>
                <w:rFonts w:hint="eastAsia"/>
                <w:color w:val="FF0000"/>
                <w:lang w:val="en-US" w:eastAsia="zh-CN"/>
              </w:rPr>
              <w:t>/</w:t>
            </w:r>
          </w:p>
        </w:tc>
        <w:tc>
          <w:tcPr>
            <w:tcW w:w="1701" w:type="dxa"/>
            <w:vAlign w:val="center"/>
          </w:tcPr>
          <w:p w14:paraId="3A24A6D2">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FF0000"/>
              </w:rPr>
            </w:pPr>
            <w:r>
              <w:rPr>
                <w:rFonts w:hint="eastAsia"/>
                <w:color w:val="FF0000"/>
                <w:lang w:val="en-US" w:eastAsia="zh-CN"/>
              </w:rPr>
              <w:t>/</w:t>
            </w:r>
          </w:p>
        </w:tc>
        <w:tc>
          <w:tcPr>
            <w:tcW w:w="1559" w:type="dxa"/>
            <w:vAlign w:val="center"/>
          </w:tcPr>
          <w:p w14:paraId="30C7DE7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center"/>
              <w:rPr>
                <w:rFonts w:hint="default" w:eastAsia="宋体"/>
                <w:color w:val="FF0000"/>
                <w:sz w:val="21"/>
                <w:szCs w:val="21"/>
                <w:highlight w:val="yellow"/>
                <w:lang w:val="en-US" w:eastAsia="zh-CN"/>
              </w:rPr>
            </w:pPr>
            <w:r>
              <w:rPr>
                <w:rFonts w:hint="eastAsia"/>
                <w:color w:val="FF0000"/>
                <w:kern w:val="0"/>
                <w:sz w:val="21"/>
                <w:szCs w:val="21"/>
                <w:lang w:val="en-US" w:eastAsia="zh-CN" w:bidi="ar"/>
              </w:rPr>
              <w:t>0.012</w:t>
            </w:r>
            <w:r>
              <w:rPr>
                <w:color w:val="FF0000"/>
                <w:sz w:val="21"/>
                <w:szCs w:val="21"/>
              </w:rPr>
              <w:t>t/a</w:t>
            </w:r>
          </w:p>
        </w:tc>
        <w:tc>
          <w:tcPr>
            <w:tcW w:w="1761" w:type="dxa"/>
            <w:vAlign w:val="center"/>
          </w:tcPr>
          <w:p w14:paraId="1584FBF8">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FF0000"/>
              </w:rPr>
            </w:pPr>
            <w:r>
              <w:rPr>
                <w:rFonts w:hint="eastAsia"/>
                <w:color w:val="FF0000"/>
                <w:lang w:val="en-US" w:eastAsia="zh-CN"/>
              </w:rPr>
              <w:t>/</w:t>
            </w:r>
          </w:p>
        </w:tc>
        <w:tc>
          <w:tcPr>
            <w:tcW w:w="1788" w:type="dxa"/>
            <w:vAlign w:val="center"/>
          </w:tcPr>
          <w:p w14:paraId="37F5E85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center"/>
              <w:rPr>
                <w:color w:val="FF0000"/>
                <w:kern w:val="0"/>
                <w:sz w:val="21"/>
                <w:szCs w:val="21"/>
                <w:lang w:bidi="ar"/>
              </w:rPr>
            </w:pPr>
            <w:r>
              <w:rPr>
                <w:rFonts w:hint="eastAsia"/>
                <w:color w:val="FF0000"/>
                <w:kern w:val="0"/>
                <w:sz w:val="21"/>
                <w:szCs w:val="21"/>
                <w:lang w:val="en-US" w:eastAsia="zh-CN" w:bidi="ar"/>
              </w:rPr>
              <w:t>0.012</w:t>
            </w:r>
            <w:r>
              <w:rPr>
                <w:color w:val="FF0000"/>
                <w:sz w:val="21"/>
                <w:szCs w:val="21"/>
              </w:rPr>
              <w:t>t/a</w:t>
            </w:r>
          </w:p>
        </w:tc>
        <w:tc>
          <w:tcPr>
            <w:tcW w:w="1233" w:type="dxa"/>
            <w:vAlign w:val="center"/>
          </w:tcPr>
          <w:p w14:paraId="3C63981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center"/>
              <w:rPr>
                <w:color w:val="FF0000"/>
                <w:sz w:val="21"/>
                <w:szCs w:val="21"/>
                <w:highlight w:val="yellow"/>
              </w:rPr>
            </w:pPr>
            <w:r>
              <w:rPr>
                <w:rFonts w:hint="eastAsia"/>
                <w:color w:val="FF0000"/>
                <w:kern w:val="0"/>
                <w:sz w:val="21"/>
                <w:szCs w:val="21"/>
                <w:lang w:val="en-US" w:eastAsia="zh-CN" w:bidi="ar"/>
              </w:rPr>
              <w:t>+0.012</w:t>
            </w:r>
            <w:r>
              <w:rPr>
                <w:color w:val="FF0000"/>
                <w:sz w:val="21"/>
                <w:szCs w:val="21"/>
              </w:rPr>
              <w:t>t/a</w:t>
            </w:r>
          </w:p>
        </w:tc>
      </w:tr>
      <w:tr w14:paraId="42E8E1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continue"/>
            <w:vAlign w:val="center"/>
          </w:tcPr>
          <w:p w14:paraId="62D4D682">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p>
        </w:tc>
        <w:tc>
          <w:tcPr>
            <w:tcW w:w="1677" w:type="dxa"/>
            <w:shd w:val="clear" w:color="auto" w:fill="auto"/>
            <w:vAlign w:val="center"/>
          </w:tcPr>
          <w:p w14:paraId="47576D21">
            <w:pPr>
              <w:pStyle w:val="56"/>
              <w:keepNext w:val="0"/>
              <w:keepLines w:val="0"/>
              <w:pageBreakBefore w:val="0"/>
              <w:kinsoku/>
              <w:wordWrap/>
              <w:overflowPunct/>
              <w:topLinePunct w:val="0"/>
              <w:autoSpaceDE/>
              <w:autoSpaceDN/>
              <w:bidi w:val="0"/>
              <w:adjustRightInd w:val="0"/>
              <w:snapToGrid w:val="0"/>
              <w:spacing w:line="240" w:lineRule="auto"/>
              <w:jc w:val="center"/>
              <w:rPr>
                <w:color w:val="FF0000"/>
              </w:rPr>
            </w:pPr>
            <w:r>
              <w:rPr>
                <w:rFonts w:hint="eastAsia"/>
                <w:color w:val="FF0000"/>
              </w:rPr>
              <w:t>氨氮</w:t>
            </w:r>
          </w:p>
        </w:tc>
        <w:tc>
          <w:tcPr>
            <w:tcW w:w="1441" w:type="dxa"/>
            <w:shd w:val="clear" w:color="auto" w:fill="auto"/>
            <w:vAlign w:val="center"/>
          </w:tcPr>
          <w:p w14:paraId="7AFAA30E">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FF0000"/>
              </w:rPr>
            </w:pPr>
            <w:r>
              <w:rPr>
                <w:rFonts w:hint="eastAsia"/>
                <w:color w:val="FF0000"/>
                <w:lang w:val="en-US" w:eastAsia="zh-CN"/>
              </w:rPr>
              <w:t>/</w:t>
            </w:r>
          </w:p>
        </w:tc>
        <w:tc>
          <w:tcPr>
            <w:tcW w:w="1276" w:type="dxa"/>
            <w:shd w:val="clear" w:color="auto" w:fill="auto"/>
            <w:vAlign w:val="center"/>
          </w:tcPr>
          <w:p w14:paraId="669FE709">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FF0000"/>
              </w:rPr>
            </w:pPr>
            <w:r>
              <w:rPr>
                <w:rFonts w:hint="eastAsia"/>
                <w:color w:val="FF0000"/>
                <w:lang w:val="en-US" w:eastAsia="zh-CN"/>
              </w:rPr>
              <w:t>/</w:t>
            </w:r>
          </w:p>
        </w:tc>
        <w:tc>
          <w:tcPr>
            <w:tcW w:w="1701" w:type="dxa"/>
            <w:shd w:val="clear" w:color="auto" w:fill="auto"/>
            <w:vAlign w:val="center"/>
          </w:tcPr>
          <w:p w14:paraId="479D813D">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FF0000"/>
              </w:rPr>
            </w:pPr>
            <w:r>
              <w:rPr>
                <w:rFonts w:hint="eastAsia"/>
                <w:color w:val="FF0000"/>
                <w:lang w:val="en-US" w:eastAsia="zh-CN"/>
              </w:rPr>
              <w:t>/</w:t>
            </w:r>
          </w:p>
        </w:tc>
        <w:tc>
          <w:tcPr>
            <w:tcW w:w="1559" w:type="dxa"/>
            <w:shd w:val="clear" w:color="auto" w:fill="auto"/>
            <w:vAlign w:val="center"/>
          </w:tcPr>
          <w:p w14:paraId="797F6EA3">
            <w:pPr>
              <w:pStyle w:val="56"/>
              <w:keepNext w:val="0"/>
              <w:keepLines w:val="0"/>
              <w:pageBreakBefore w:val="0"/>
              <w:kinsoku/>
              <w:wordWrap/>
              <w:overflowPunct/>
              <w:topLinePunct w:val="0"/>
              <w:autoSpaceDE/>
              <w:autoSpaceDN/>
              <w:bidi w:val="0"/>
              <w:adjustRightInd w:val="0"/>
              <w:snapToGrid w:val="0"/>
              <w:spacing w:line="240" w:lineRule="auto"/>
              <w:jc w:val="center"/>
              <w:rPr>
                <w:rFonts w:hint="default"/>
                <w:color w:val="FF0000"/>
                <w:lang w:val="en-US" w:eastAsia="zh-CN"/>
              </w:rPr>
            </w:pPr>
            <w:r>
              <w:rPr>
                <w:rFonts w:hint="eastAsia"/>
                <w:color w:val="FF0000"/>
                <w:lang w:val="en-US" w:eastAsia="zh-CN"/>
              </w:rPr>
              <w:t>0.002</w:t>
            </w:r>
            <w:r>
              <w:rPr>
                <w:color w:val="FF0000"/>
                <w:sz w:val="21"/>
                <w:szCs w:val="21"/>
              </w:rPr>
              <w:t>t/a</w:t>
            </w:r>
          </w:p>
        </w:tc>
        <w:tc>
          <w:tcPr>
            <w:tcW w:w="1761" w:type="dxa"/>
            <w:shd w:val="clear" w:color="auto" w:fill="auto"/>
            <w:vAlign w:val="center"/>
          </w:tcPr>
          <w:p w14:paraId="18B5D8A1">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FF0000"/>
              </w:rPr>
            </w:pPr>
            <w:r>
              <w:rPr>
                <w:rFonts w:hint="eastAsia"/>
                <w:color w:val="FF0000"/>
                <w:lang w:val="en-US" w:eastAsia="zh-CN"/>
              </w:rPr>
              <w:t>/</w:t>
            </w:r>
          </w:p>
        </w:tc>
        <w:tc>
          <w:tcPr>
            <w:tcW w:w="1788" w:type="dxa"/>
            <w:shd w:val="clear" w:color="auto" w:fill="auto"/>
            <w:vAlign w:val="center"/>
          </w:tcPr>
          <w:p w14:paraId="6917DB21">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FF0000"/>
                <w:kern w:val="0"/>
                <w:sz w:val="21"/>
                <w:szCs w:val="21"/>
                <w:lang w:bidi="ar"/>
              </w:rPr>
            </w:pPr>
            <w:r>
              <w:rPr>
                <w:rFonts w:hint="eastAsia"/>
                <w:color w:val="FF0000"/>
                <w:lang w:val="en-US" w:eastAsia="zh-CN"/>
              </w:rPr>
              <w:t>0.002</w:t>
            </w:r>
            <w:r>
              <w:rPr>
                <w:color w:val="FF0000"/>
                <w:sz w:val="21"/>
                <w:szCs w:val="21"/>
              </w:rPr>
              <w:t>t/a</w:t>
            </w:r>
          </w:p>
        </w:tc>
        <w:tc>
          <w:tcPr>
            <w:tcW w:w="1233" w:type="dxa"/>
            <w:shd w:val="clear" w:color="auto" w:fill="auto"/>
            <w:vAlign w:val="center"/>
          </w:tcPr>
          <w:p w14:paraId="6F999CF6">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FF0000"/>
                <w:kern w:val="0"/>
                <w:sz w:val="21"/>
                <w:szCs w:val="21"/>
                <w:highlight w:val="yellow"/>
              </w:rPr>
            </w:pPr>
            <w:r>
              <w:rPr>
                <w:rFonts w:hint="eastAsia"/>
                <w:color w:val="FF0000"/>
                <w:lang w:val="en-US" w:eastAsia="zh-CN"/>
              </w:rPr>
              <w:t>+0.002</w:t>
            </w:r>
            <w:r>
              <w:rPr>
                <w:color w:val="FF0000"/>
                <w:sz w:val="21"/>
                <w:szCs w:val="21"/>
              </w:rPr>
              <w:t>t/a</w:t>
            </w:r>
          </w:p>
        </w:tc>
      </w:tr>
      <w:tr w14:paraId="7FADCF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continue"/>
            <w:vAlign w:val="center"/>
          </w:tcPr>
          <w:p w14:paraId="68B5D138">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p>
        </w:tc>
        <w:tc>
          <w:tcPr>
            <w:tcW w:w="1677" w:type="dxa"/>
            <w:shd w:val="clear" w:color="auto" w:fill="auto"/>
            <w:vAlign w:val="center"/>
          </w:tcPr>
          <w:p w14:paraId="11070DE7">
            <w:pPr>
              <w:pStyle w:val="56"/>
              <w:keepNext w:val="0"/>
              <w:keepLines w:val="0"/>
              <w:pageBreakBefore w:val="0"/>
              <w:kinsoku/>
              <w:wordWrap/>
              <w:overflowPunct/>
              <w:topLinePunct w:val="0"/>
              <w:autoSpaceDE/>
              <w:autoSpaceDN/>
              <w:bidi w:val="0"/>
              <w:adjustRightInd w:val="0"/>
              <w:snapToGrid w:val="0"/>
              <w:spacing w:line="240" w:lineRule="auto"/>
              <w:jc w:val="center"/>
              <w:rPr>
                <w:rFonts w:hint="default" w:eastAsia="宋体"/>
                <w:color w:val="FF0000"/>
                <w:lang w:val="en-US" w:eastAsia="zh-CN"/>
              </w:rPr>
            </w:pPr>
            <w:r>
              <w:rPr>
                <w:rFonts w:hint="eastAsia"/>
                <w:color w:val="FF0000"/>
                <w:lang w:val="en-US" w:eastAsia="zh-CN"/>
              </w:rPr>
              <w:t>SS</w:t>
            </w:r>
          </w:p>
        </w:tc>
        <w:tc>
          <w:tcPr>
            <w:tcW w:w="1441" w:type="dxa"/>
            <w:shd w:val="clear" w:color="auto" w:fill="auto"/>
            <w:vAlign w:val="center"/>
          </w:tcPr>
          <w:p w14:paraId="30721848">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rPr>
            </w:pPr>
            <w:r>
              <w:rPr>
                <w:rFonts w:hint="eastAsia"/>
                <w:color w:val="FF0000"/>
                <w:lang w:val="en-US" w:eastAsia="zh-CN"/>
              </w:rPr>
              <w:t>/</w:t>
            </w:r>
          </w:p>
        </w:tc>
        <w:tc>
          <w:tcPr>
            <w:tcW w:w="1276" w:type="dxa"/>
            <w:shd w:val="clear" w:color="auto" w:fill="auto"/>
            <w:vAlign w:val="center"/>
          </w:tcPr>
          <w:p w14:paraId="66555084">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rPr>
            </w:pPr>
            <w:r>
              <w:rPr>
                <w:rFonts w:hint="eastAsia"/>
                <w:color w:val="FF0000"/>
                <w:lang w:val="en-US" w:eastAsia="zh-CN"/>
              </w:rPr>
              <w:t>/</w:t>
            </w:r>
          </w:p>
        </w:tc>
        <w:tc>
          <w:tcPr>
            <w:tcW w:w="1701" w:type="dxa"/>
            <w:shd w:val="clear" w:color="auto" w:fill="auto"/>
            <w:vAlign w:val="center"/>
          </w:tcPr>
          <w:p w14:paraId="0A960BE4">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rPr>
            </w:pPr>
            <w:r>
              <w:rPr>
                <w:rFonts w:hint="eastAsia"/>
                <w:color w:val="FF0000"/>
                <w:lang w:val="en-US" w:eastAsia="zh-CN"/>
              </w:rPr>
              <w:t>/</w:t>
            </w:r>
          </w:p>
        </w:tc>
        <w:tc>
          <w:tcPr>
            <w:tcW w:w="1559" w:type="dxa"/>
            <w:shd w:val="clear" w:color="auto" w:fill="auto"/>
            <w:vAlign w:val="center"/>
          </w:tcPr>
          <w:p w14:paraId="7EAF6C68">
            <w:pPr>
              <w:pStyle w:val="56"/>
              <w:keepNext w:val="0"/>
              <w:keepLines w:val="0"/>
              <w:pageBreakBefore w:val="0"/>
              <w:kinsoku/>
              <w:wordWrap/>
              <w:overflowPunct/>
              <w:topLinePunct w:val="0"/>
              <w:autoSpaceDE/>
              <w:autoSpaceDN/>
              <w:bidi w:val="0"/>
              <w:adjustRightInd w:val="0"/>
              <w:snapToGrid w:val="0"/>
              <w:spacing w:line="240" w:lineRule="auto"/>
              <w:jc w:val="center"/>
              <w:rPr>
                <w:rFonts w:hint="default"/>
                <w:color w:val="FF0000"/>
                <w:lang w:val="en-US" w:eastAsia="zh-CN"/>
              </w:rPr>
            </w:pPr>
            <w:r>
              <w:rPr>
                <w:rFonts w:hint="eastAsia"/>
                <w:color w:val="FF0000"/>
                <w:lang w:val="en-US" w:eastAsia="zh-CN"/>
              </w:rPr>
              <w:t>0.002</w:t>
            </w:r>
            <w:r>
              <w:rPr>
                <w:color w:val="FF0000"/>
                <w:sz w:val="21"/>
                <w:szCs w:val="21"/>
              </w:rPr>
              <w:t>t/a</w:t>
            </w:r>
          </w:p>
        </w:tc>
        <w:tc>
          <w:tcPr>
            <w:tcW w:w="1761" w:type="dxa"/>
            <w:shd w:val="clear" w:color="auto" w:fill="auto"/>
            <w:vAlign w:val="center"/>
          </w:tcPr>
          <w:p w14:paraId="0BF9461A">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rPr>
            </w:pPr>
            <w:r>
              <w:rPr>
                <w:rFonts w:hint="eastAsia"/>
                <w:color w:val="FF0000"/>
                <w:lang w:val="en-US" w:eastAsia="zh-CN"/>
              </w:rPr>
              <w:t>/</w:t>
            </w:r>
          </w:p>
        </w:tc>
        <w:tc>
          <w:tcPr>
            <w:tcW w:w="1788" w:type="dxa"/>
            <w:shd w:val="clear" w:color="auto" w:fill="auto"/>
            <w:vAlign w:val="center"/>
          </w:tcPr>
          <w:p w14:paraId="65F906E4">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kern w:val="0"/>
                <w:sz w:val="21"/>
                <w:szCs w:val="21"/>
                <w:lang w:bidi="ar"/>
              </w:rPr>
            </w:pPr>
            <w:r>
              <w:rPr>
                <w:rFonts w:hint="eastAsia"/>
                <w:color w:val="FF0000"/>
                <w:lang w:val="en-US" w:eastAsia="zh-CN"/>
              </w:rPr>
              <w:t>0.002</w:t>
            </w:r>
            <w:r>
              <w:rPr>
                <w:color w:val="FF0000"/>
                <w:sz w:val="21"/>
                <w:szCs w:val="21"/>
              </w:rPr>
              <w:t>t/a</w:t>
            </w:r>
          </w:p>
        </w:tc>
        <w:tc>
          <w:tcPr>
            <w:tcW w:w="1233" w:type="dxa"/>
            <w:shd w:val="clear" w:color="auto" w:fill="auto"/>
            <w:vAlign w:val="center"/>
          </w:tcPr>
          <w:p w14:paraId="67B22B95">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kern w:val="0"/>
                <w:sz w:val="21"/>
                <w:szCs w:val="21"/>
                <w:lang w:bidi="ar"/>
              </w:rPr>
            </w:pPr>
            <w:r>
              <w:rPr>
                <w:rFonts w:hint="eastAsia"/>
                <w:color w:val="FF0000"/>
                <w:lang w:val="en-US" w:eastAsia="zh-CN"/>
              </w:rPr>
              <w:t>+0.002</w:t>
            </w:r>
            <w:r>
              <w:rPr>
                <w:color w:val="FF0000"/>
                <w:sz w:val="21"/>
                <w:szCs w:val="21"/>
              </w:rPr>
              <w:t>t/a</w:t>
            </w:r>
          </w:p>
        </w:tc>
      </w:tr>
      <w:tr w14:paraId="26305B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continue"/>
            <w:vAlign w:val="center"/>
          </w:tcPr>
          <w:p w14:paraId="7DCA3221">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p>
        </w:tc>
        <w:tc>
          <w:tcPr>
            <w:tcW w:w="1677" w:type="dxa"/>
            <w:shd w:val="clear" w:color="auto" w:fill="auto"/>
            <w:vAlign w:val="center"/>
          </w:tcPr>
          <w:p w14:paraId="149D0438">
            <w:pPr>
              <w:pStyle w:val="56"/>
              <w:keepNext w:val="0"/>
              <w:keepLines w:val="0"/>
              <w:pageBreakBefore w:val="0"/>
              <w:kinsoku/>
              <w:wordWrap/>
              <w:overflowPunct/>
              <w:topLinePunct w:val="0"/>
              <w:autoSpaceDE/>
              <w:autoSpaceDN/>
              <w:bidi w:val="0"/>
              <w:adjustRightInd w:val="0"/>
              <w:snapToGrid w:val="0"/>
              <w:spacing w:line="240" w:lineRule="auto"/>
              <w:jc w:val="center"/>
              <w:rPr>
                <w:rFonts w:hint="default" w:eastAsia="宋体"/>
                <w:color w:val="FF0000"/>
                <w:lang w:val="en-US" w:eastAsia="zh-CN"/>
              </w:rPr>
            </w:pPr>
            <w:r>
              <w:rPr>
                <w:rFonts w:hint="eastAsia"/>
                <w:color w:val="FF0000"/>
                <w:lang w:val="en-US" w:eastAsia="zh-CN"/>
              </w:rPr>
              <w:t>BOD</w:t>
            </w:r>
            <w:r>
              <w:rPr>
                <w:rFonts w:hint="eastAsia"/>
                <w:color w:val="FF0000"/>
                <w:vertAlign w:val="subscript"/>
                <w:lang w:val="en-US" w:eastAsia="zh-CN"/>
              </w:rPr>
              <w:t>5</w:t>
            </w:r>
          </w:p>
        </w:tc>
        <w:tc>
          <w:tcPr>
            <w:tcW w:w="1441" w:type="dxa"/>
            <w:shd w:val="clear" w:color="auto" w:fill="auto"/>
            <w:vAlign w:val="center"/>
          </w:tcPr>
          <w:p w14:paraId="388C8EE9">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rPr>
            </w:pPr>
            <w:r>
              <w:rPr>
                <w:rFonts w:hint="eastAsia"/>
                <w:color w:val="FF0000"/>
                <w:lang w:val="en-US" w:eastAsia="zh-CN"/>
              </w:rPr>
              <w:t>/</w:t>
            </w:r>
          </w:p>
        </w:tc>
        <w:tc>
          <w:tcPr>
            <w:tcW w:w="1276" w:type="dxa"/>
            <w:shd w:val="clear" w:color="auto" w:fill="auto"/>
            <w:vAlign w:val="center"/>
          </w:tcPr>
          <w:p w14:paraId="10B2E9A8">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rPr>
            </w:pPr>
            <w:r>
              <w:rPr>
                <w:rFonts w:hint="eastAsia"/>
                <w:color w:val="FF0000"/>
                <w:lang w:val="en-US" w:eastAsia="zh-CN"/>
              </w:rPr>
              <w:t>/</w:t>
            </w:r>
          </w:p>
        </w:tc>
        <w:tc>
          <w:tcPr>
            <w:tcW w:w="1701" w:type="dxa"/>
            <w:shd w:val="clear" w:color="auto" w:fill="auto"/>
            <w:vAlign w:val="center"/>
          </w:tcPr>
          <w:p w14:paraId="3B608237">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rPr>
            </w:pPr>
            <w:r>
              <w:rPr>
                <w:rFonts w:hint="eastAsia"/>
                <w:color w:val="FF0000"/>
                <w:lang w:val="en-US" w:eastAsia="zh-CN"/>
              </w:rPr>
              <w:t>/</w:t>
            </w:r>
          </w:p>
        </w:tc>
        <w:tc>
          <w:tcPr>
            <w:tcW w:w="1559" w:type="dxa"/>
            <w:shd w:val="clear" w:color="auto" w:fill="auto"/>
            <w:vAlign w:val="center"/>
          </w:tcPr>
          <w:p w14:paraId="0B5C219A">
            <w:pPr>
              <w:pStyle w:val="56"/>
              <w:keepNext w:val="0"/>
              <w:keepLines w:val="0"/>
              <w:pageBreakBefore w:val="0"/>
              <w:kinsoku/>
              <w:wordWrap/>
              <w:overflowPunct/>
              <w:topLinePunct w:val="0"/>
              <w:autoSpaceDE/>
              <w:autoSpaceDN/>
              <w:bidi w:val="0"/>
              <w:adjustRightInd w:val="0"/>
              <w:snapToGrid w:val="0"/>
              <w:spacing w:line="240" w:lineRule="auto"/>
              <w:jc w:val="center"/>
              <w:rPr>
                <w:rFonts w:hint="default"/>
                <w:color w:val="FF0000"/>
                <w:lang w:val="en-US" w:eastAsia="zh-CN"/>
              </w:rPr>
            </w:pPr>
            <w:r>
              <w:rPr>
                <w:rFonts w:hint="eastAsia"/>
                <w:color w:val="FF0000"/>
                <w:lang w:val="en-US" w:eastAsia="zh-CN"/>
              </w:rPr>
              <w:t>0.001</w:t>
            </w:r>
            <w:r>
              <w:rPr>
                <w:color w:val="FF0000"/>
                <w:sz w:val="21"/>
                <w:szCs w:val="21"/>
              </w:rPr>
              <w:t>t/a</w:t>
            </w:r>
          </w:p>
        </w:tc>
        <w:tc>
          <w:tcPr>
            <w:tcW w:w="1761" w:type="dxa"/>
            <w:shd w:val="clear" w:color="auto" w:fill="auto"/>
            <w:vAlign w:val="center"/>
          </w:tcPr>
          <w:p w14:paraId="45AC490C">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rPr>
            </w:pPr>
            <w:r>
              <w:rPr>
                <w:rFonts w:hint="eastAsia"/>
                <w:color w:val="FF0000"/>
                <w:lang w:val="en-US" w:eastAsia="zh-CN"/>
              </w:rPr>
              <w:t>/</w:t>
            </w:r>
          </w:p>
        </w:tc>
        <w:tc>
          <w:tcPr>
            <w:tcW w:w="1788" w:type="dxa"/>
            <w:shd w:val="clear" w:color="auto" w:fill="auto"/>
            <w:vAlign w:val="center"/>
          </w:tcPr>
          <w:p w14:paraId="03FF0E64">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kern w:val="0"/>
                <w:sz w:val="21"/>
                <w:szCs w:val="21"/>
                <w:lang w:bidi="ar"/>
              </w:rPr>
            </w:pPr>
            <w:r>
              <w:rPr>
                <w:rFonts w:hint="eastAsia"/>
                <w:color w:val="FF0000"/>
                <w:lang w:val="en-US" w:eastAsia="zh-CN"/>
              </w:rPr>
              <w:t>0.001</w:t>
            </w:r>
            <w:r>
              <w:rPr>
                <w:color w:val="FF0000"/>
                <w:sz w:val="21"/>
                <w:szCs w:val="21"/>
              </w:rPr>
              <w:t>t/a</w:t>
            </w:r>
          </w:p>
        </w:tc>
        <w:tc>
          <w:tcPr>
            <w:tcW w:w="1233" w:type="dxa"/>
            <w:shd w:val="clear" w:color="auto" w:fill="auto"/>
            <w:vAlign w:val="center"/>
          </w:tcPr>
          <w:p w14:paraId="4D078477">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kern w:val="0"/>
                <w:sz w:val="21"/>
                <w:szCs w:val="21"/>
                <w:lang w:bidi="ar"/>
              </w:rPr>
            </w:pPr>
            <w:r>
              <w:rPr>
                <w:rFonts w:hint="eastAsia"/>
                <w:color w:val="FF0000"/>
                <w:lang w:val="en-US" w:eastAsia="zh-CN"/>
              </w:rPr>
              <w:t>+0.001</w:t>
            </w:r>
            <w:r>
              <w:rPr>
                <w:color w:val="FF0000"/>
                <w:sz w:val="21"/>
                <w:szCs w:val="21"/>
              </w:rPr>
              <w:t>t/a</w:t>
            </w:r>
          </w:p>
        </w:tc>
      </w:tr>
      <w:tr w14:paraId="4F21BF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continue"/>
            <w:vAlign w:val="center"/>
          </w:tcPr>
          <w:p w14:paraId="2C6D4A4D">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p>
        </w:tc>
        <w:tc>
          <w:tcPr>
            <w:tcW w:w="1677" w:type="dxa"/>
            <w:shd w:val="clear" w:color="auto" w:fill="auto"/>
            <w:vAlign w:val="center"/>
          </w:tcPr>
          <w:p w14:paraId="4EFBE0E3">
            <w:pPr>
              <w:pStyle w:val="56"/>
              <w:keepNext w:val="0"/>
              <w:keepLines w:val="0"/>
              <w:pageBreakBefore w:val="0"/>
              <w:kinsoku/>
              <w:wordWrap/>
              <w:overflowPunct/>
              <w:topLinePunct w:val="0"/>
              <w:autoSpaceDE/>
              <w:autoSpaceDN/>
              <w:bidi w:val="0"/>
              <w:adjustRightInd w:val="0"/>
              <w:snapToGrid w:val="0"/>
              <w:spacing w:line="240" w:lineRule="auto"/>
              <w:jc w:val="center"/>
              <w:rPr>
                <w:rFonts w:hint="default" w:eastAsia="宋体"/>
                <w:color w:val="FF0000"/>
                <w:lang w:val="en-US" w:eastAsia="zh-CN"/>
              </w:rPr>
            </w:pPr>
            <w:r>
              <w:rPr>
                <w:rFonts w:hint="eastAsia"/>
                <w:color w:val="FF0000"/>
                <w:lang w:val="en-US" w:eastAsia="zh-CN"/>
              </w:rPr>
              <w:t>总磷</w:t>
            </w:r>
          </w:p>
        </w:tc>
        <w:tc>
          <w:tcPr>
            <w:tcW w:w="1441" w:type="dxa"/>
            <w:shd w:val="clear" w:color="auto" w:fill="auto"/>
            <w:vAlign w:val="center"/>
          </w:tcPr>
          <w:p w14:paraId="5AC78286">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rPr>
            </w:pPr>
            <w:r>
              <w:rPr>
                <w:rFonts w:hint="eastAsia"/>
                <w:color w:val="FF0000"/>
                <w:lang w:val="en-US" w:eastAsia="zh-CN"/>
              </w:rPr>
              <w:t>/</w:t>
            </w:r>
          </w:p>
        </w:tc>
        <w:tc>
          <w:tcPr>
            <w:tcW w:w="1276" w:type="dxa"/>
            <w:shd w:val="clear" w:color="auto" w:fill="auto"/>
            <w:vAlign w:val="center"/>
          </w:tcPr>
          <w:p w14:paraId="24303729">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rPr>
            </w:pPr>
            <w:r>
              <w:rPr>
                <w:rFonts w:hint="eastAsia"/>
                <w:color w:val="FF0000"/>
                <w:lang w:val="en-US" w:eastAsia="zh-CN"/>
              </w:rPr>
              <w:t>/</w:t>
            </w:r>
          </w:p>
        </w:tc>
        <w:tc>
          <w:tcPr>
            <w:tcW w:w="1701" w:type="dxa"/>
            <w:shd w:val="clear" w:color="auto" w:fill="auto"/>
            <w:vAlign w:val="center"/>
          </w:tcPr>
          <w:p w14:paraId="19B30B9A">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rPr>
            </w:pPr>
            <w:r>
              <w:rPr>
                <w:rFonts w:hint="eastAsia"/>
                <w:color w:val="FF0000"/>
                <w:lang w:val="en-US" w:eastAsia="zh-CN"/>
              </w:rPr>
              <w:t>/</w:t>
            </w:r>
          </w:p>
        </w:tc>
        <w:tc>
          <w:tcPr>
            <w:tcW w:w="1559" w:type="dxa"/>
            <w:shd w:val="clear" w:color="auto" w:fill="auto"/>
            <w:vAlign w:val="center"/>
          </w:tcPr>
          <w:p w14:paraId="5387E930">
            <w:pPr>
              <w:pStyle w:val="56"/>
              <w:keepNext w:val="0"/>
              <w:keepLines w:val="0"/>
              <w:pageBreakBefore w:val="0"/>
              <w:kinsoku/>
              <w:wordWrap/>
              <w:overflowPunct/>
              <w:topLinePunct w:val="0"/>
              <w:autoSpaceDE/>
              <w:autoSpaceDN/>
              <w:bidi w:val="0"/>
              <w:adjustRightInd w:val="0"/>
              <w:snapToGrid w:val="0"/>
              <w:spacing w:line="240" w:lineRule="auto"/>
              <w:jc w:val="center"/>
              <w:rPr>
                <w:rFonts w:hint="default"/>
                <w:color w:val="FF0000"/>
                <w:lang w:val="en-US" w:eastAsia="zh-CN"/>
              </w:rPr>
            </w:pPr>
            <w:r>
              <w:rPr>
                <w:rFonts w:hint="default"/>
                <w:color w:val="FF0000"/>
                <w:lang w:val="en-US" w:eastAsia="zh-CN"/>
              </w:rPr>
              <w:t>0.000</w:t>
            </w:r>
            <w:r>
              <w:rPr>
                <w:rFonts w:hint="eastAsia"/>
                <w:color w:val="FF0000"/>
                <w:lang w:val="en-US" w:eastAsia="zh-CN"/>
              </w:rPr>
              <w:t>1</w:t>
            </w:r>
            <w:r>
              <w:rPr>
                <w:color w:val="FF0000"/>
                <w:sz w:val="21"/>
                <w:szCs w:val="21"/>
              </w:rPr>
              <w:t>t/a</w:t>
            </w:r>
          </w:p>
        </w:tc>
        <w:tc>
          <w:tcPr>
            <w:tcW w:w="1761" w:type="dxa"/>
            <w:shd w:val="clear" w:color="auto" w:fill="auto"/>
            <w:vAlign w:val="center"/>
          </w:tcPr>
          <w:p w14:paraId="6161FC16">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rPr>
            </w:pPr>
            <w:r>
              <w:rPr>
                <w:rFonts w:hint="eastAsia"/>
                <w:color w:val="FF0000"/>
                <w:lang w:val="en-US" w:eastAsia="zh-CN"/>
              </w:rPr>
              <w:t>/</w:t>
            </w:r>
          </w:p>
        </w:tc>
        <w:tc>
          <w:tcPr>
            <w:tcW w:w="1788" w:type="dxa"/>
            <w:shd w:val="clear" w:color="auto" w:fill="auto"/>
            <w:vAlign w:val="center"/>
          </w:tcPr>
          <w:p w14:paraId="2F6EB50B">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kern w:val="0"/>
                <w:sz w:val="21"/>
                <w:szCs w:val="21"/>
                <w:lang w:bidi="ar"/>
              </w:rPr>
            </w:pPr>
            <w:r>
              <w:rPr>
                <w:rFonts w:hint="default"/>
                <w:color w:val="FF0000"/>
                <w:lang w:val="en-US" w:eastAsia="zh-CN"/>
              </w:rPr>
              <w:t>0.000</w:t>
            </w:r>
            <w:r>
              <w:rPr>
                <w:rFonts w:hint="eastAsia"/>
                <w:color w:val="FF0000"/>
                <w:lang w:val="en-US" w:eastAsia="zh-CN"/>
              </w:rPr>
              <w:t>1</w:t>
            </w:r>
            <w:r>
              <w:rPr>
                <w:color w:val="FF0000"/>
                <w:sz w:val="21"/>
                <w:szCs w:val="21"/>
              </w:rPr>
              <w:t>t/a</w:t>
            </w:r>
          </w:p>
        </w:tc>
        <w:tc>
          <w:tcPr>
            <w:tcW w:w="1233" w:type="dxa"/>
            <w:shd w:val="clear" w:color="auto" w:fill="auto"/>
            <w:vAlign w:val="center"/>
          </w:tcPr>
          <w:p w14:paraId="0B71C32D">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kern w:val="0"/>
                <w:sz w:val="21"/>
                <w:szCs w:val="21"/>
                <w:lang w:bidi="ar"/>
              </w:rPr>
            </w:pPr>
            <w:r>
              <w:rPr>
                <w:rFonts w:hint="eastAsia"/>
                <w:color w:val="FF0000"/>
                <w:lang w:val="en-US" w:eastAsia="zh-CN"/>
              </w:rPr>
              <w:t>+</w:t>
            </w:r>
            <w:r>
              <w:rPr>
                <w:rFonts w:hint="default"/>
                <w:color w:val="FF0000"/>
                <w:lang w:val="en-US" w:eastAsia="zh-CN"/>
              </w:rPr>
              <w:t>0.000</w:t>
            </w:r>
            <w:r>
              <w:rPr>
                <w:rFonts w:hint="eastAsia"/>
                <w:color w:val="FF0000"/>
                <w:lang w:val="en-US" w:eastAsia="zh-CN"/>
              </w:rPr>
              <w:t>1</w:t>
            </w:r>
            <w:r>
              <w:rPr>
                <w:color w:val="FF0000"/>
                <w:sz w:val="21"/>
                <w:szCs w:val="21"/>
              </w:rPr>
              <w:t>t/a</w:t>
            </w:r>
          </w:p>
        </w:tc>
      </w:tr>
      <w:tr w14:paraId="4EB348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continue"/>
            <w:vAlign w:val="center"/>
          </w:tcPr>
          <w:p w14:paraId="30595B1F">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p>
        </w:tc>
        <w:tc>
          <w:tcPr>
            <w:tcW w:w="1677" w:type="dxa"/>
            <w:shd w:val="clear" w:color="auto" w:fill="auto"/>
            <w:vAlign w:val="center"/>
          </w:tcPr>
          <w:p w14:paraId="2D721C92">
            <w:pPr>
              <w:pStyle w:val="56"/>
              <w:keepNext w:val="0"/>
              <w:keepLines w:val="0"/>
              <w:pageBreakBefore w:val="0"/>
              <w:kinsoku/>
              <w:wordWrap/>
              <w:overflowPunct/>
              <w:topLinePunct w:val="0"/>
              <w:autoSpaceDE/>
              <w:autoSpaceDN/>
              <w:bidi w:val="0"/>
              <w:adjustRightInd w:val="0"/>
              <w:snapToGrid w:val="0"/>
              <w:spacing w:line="240" w:lineRule="auto"/>
              <w:jc w:val="center"/>
              <w:rPr>
                <w:rFonts w:hint="eastAsia" w:eastAsia="宋体"/>
                <w:color w:val="FF0000"/>
                <w:lang w:val="en-US" w:eastAsia="zh-CN"/>
              </w:rPr>
            </w:pPr>
            <w:r>
              <w:rPr>
                <w:rFonts w:hint="eastAsia"/>
                <w:color w:val="FF0000"/>
                <w:lang w:val="en-US" w:eastAsia="zh-CN"/>
              </w:rPr>
              <w:t>动植物油</w:t>
            </w:r>
          </w:p>
        </w:tc>
        <w:tc>
          <w:tcPr>
            <w:tcW w:w="1441" w:type="dxa"/>
            <w:shd w:val="clear" w:color="auto" w:fill="auto"/>
            <w:vAlign w:val="center"/>
          </w:tcPr>
          <w:p w14:paraId="2F0692B2">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rPr>
            </w:pPr>
            <w:r>
              <w:rPr>
                <w:rFonts w:hint="eastAsia"/>
                <w:color w:val="FF0000"/>
                <w:lang w:val="en-US" w:eastAsia="zh-CN"/>
              </w:rPr>
              <w:t>/</w:t>
            </w:r>
          </w:p>
        </w:tc>
        <w:tc>
          <w:tcPr>
            <w:tcW w:w="1276" w:type="dxa"/>
            <w:shd w:val="clear" w:color="auto" w:fill="auto"/>
            <w:vAlign w:val="center"/>
          </w:tcPr>
          <w:p w14:paraId="78CBAA7F">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rPr>
            </w:pPr>
            <w:r>
              <w:rPr>
                <w:rFonts w:hint="eastAsia"/>
                <w:color w:val="FF0000"/>
                <w:lang w:val="en-US" w:eastAsia="zh-CN"/>
              </w:rPr>
              <w:t>/</w:t>
            </w:r>
          </w:p>
        </w:tc>
        <w:tc>
          <w:tcPr>
            <w:tcW w:w="1701" w:type="dxa"/>
            <w:shd w:val="clear" w:color="auto" w:fill="auto"/>
            <w:vAlign w:val="center"/>
          </w:tcPr>
          <w:p w14:paraId="08955148">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rPr>
            </w:pPr>
            <w:r>
              <w:rPr>
                <w:rFonts w:hint="eastAsia"/>
                <w:color w:val="FF0000"/>
                <w:lang w:val="en-US" w:eastAsia="zh-CN"/>
              </w:rPr>
              <w:t>/</w:t>
            </w:r>
          </w:p>
        </w:tc>
        <w:tc>
          <w:tcPr>
            <w:tcW w:w="1559" w:type="dxa"/>
            <w:shd w:val="clear" w:color="auto" w:fill="auto"/>
            <w:vAlign w:val="center"/>
          </w:tcPr>
          <w:p w14:paraId="11062CB9">
            <w:pPr>
              <w:pStyle w:val="56"/>
              <w:keepNext w:val="0"/>
              <w:keepLines w:val="0"/>
              <w:pageBreakBefore w:val="0"/>
              <w:kinsoku/>
              <w:wordWrap/>
              <w:overflowPunct/>
              <w:topLinePunct w:val="0"/>
              <w:autoSpaceDE/>
              <w:autoSpaceDN/>
              <w:bidi w:val="0"/>
              <w:adjustRightInd w:val="0"/>
              <w:snapToGrid w:val="0"/>
              <w:spacing w:line="240" w:lineRule="auto"/>
              <w:jc w:val="center"/>
              <w:rPr>
                <w:rFonts w:hint="default"/>
                <w:color w:val="FF0000"/>
                <w:lang w:val="en-US" w:eastAsia="zh-CN"/>
              </w:rPr>
            </w:pPr>
            <w:r>
              <w:rPr>
                <w:rFonts w:hint="default"/>
                <w:color w:val="FF0000"/>
                <w:lang w:val="en-US" w:eastAsia="zh-CN"/>
              </w:rPr>
              <w:t>0.00</w:t>
            </w:r>
            <w:r>
              <w:rPr>
                <w:rFonts w:hint="eastAsia"/>
                <w:color w:val="FF0000"/>
                <w:lang w:val="en-US" w:eastAsia="zh-CN"/>
              </w:rPr>
              <w:t>2</w:t>
            </w:r>
            <w:r>
              <w:rPr>
                <w:color w:val="FF0000"/>
                <w:sz w:val="21"/>
                <w:szCs w:val="21"/>
              </w:rPr>
              <w:t>t/a</w:t>
            </w:r>
          </w:p>
        </w:tc>
        <w:tc>
          <w:tcPr>
            <w:tcW w:w="1761" w:type="dxa"/>
            <w:shd w:val="clear" w:color="auto" w:fill="auto"/>
            <w:vAlign w:val="center"/>
          </w:tcPr>
          <w:p w14:paraId="504F4F0A">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rPr>
            </w:pPr>
            <w:r>
              <w:rPr>
                <w:rFonts w:hint="eastAsia"/>
                <w:color w:val="FF0000"/>
                <w:lang w:val="en-US" w:eastAsia="zh-CN"/>
              </w:rPr>
              <w:t>/</w:t>
            </w:r>
          </w:p>
        </w:tc>
        <w:tc>
          <w:tcPr>
            <w:tcW w:w="1788" w:type="dxa"/>
            <w:shd w:val="clear" w:color="auto" w:fill="auto"/>
            <w:vAlign w:val="center"/>
          </w:tcPr>
          <w:p w14:paraId="00663100">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kern w:val="0"/>
                <w:sz w:val="21"/>
                <w:szCs w:val="21"/>
                <w:lang w:bidi="ar"/>
              </w:rPr>
            </w:pPr>
            <w:r>
              <w:rPr>
                <w:rFonts w:hint="default"/>
                <w:color w:val="FF0000"/>
                <w:lang w:val="en-US" w:eastAsia="zh-CN"/>
              </w:rPr>
              <w:t>0.00</w:t>
            </w:r>
            <w:r>
              <w:rPr>
                <w:rFonts w:hint="eastAsia"/>
                <w:color w:val="FF0000"/>
                <w:lang w:val="en-US" w:eastAsia="zh-CN"/>
              </w:rPr>
              <w:t>2</w:t>
            </w:r>
            <w:r>
              <w:rPr>
                <w:color w:val="FF0000"/>
                <w:sz w:val="21"/>
                <w:szCs w:val="21"/>
              </w:rPr>
              <w:t>t/a</w:t>
            </w:r>
          </w:p>
        </w:tc>
        <w:tc>
          <w:tcPr>
            <w:tcW w:w="1233" w:type="dxa"/>
            <w:shd w:val="clear" w:color="auto" w:fill="auto"/>
            <w:vAlign w:val="center"/>
          </w:tcPr>
          <w:p w14:paraId="392912BF">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FF0000"/>
                <w:kern w:val="0"/>
                <w:sz w:val="21"/>
                <w:szCs w:val="21"/>
                <w:lang w:bidi="ar"/>
              </w:rPr>
            </w:pPr>
            <w:r>
              <w:rPr>
                <w:rFonts w:hint="eastAsia"/>
                <w:color w:val="FF0000"/>
                <w:lang w:val="en-US" w:eastAsia="zh-CN"/>
              </w:rPr>
              <w:t>+</w:t>
            </w:r>
            <w:r>
              <w:rPr>
                <w:rFonts w:hint="default"/>
                <w:color w:val="FF0000"/>
                <w:lang w:val="en-US" w:eastAsia="zh-CN"/>
              </w:rPr>
              <w:t>0.00</w:t>
            </w:r>
            <w:r>
              <w:rPr>
                <w:rFonts w:hint="eastAsia"/>
                <w:color w:val="FF0000"/>
                <w:lang w:val="en-US" w:eastAsia="zh-CN"/>
              </w:rPr>
              <w:t>2</w:t>
            </w:r>
            <w:r>
              <w:rPr>
                <w:color w:val="FF0000"/>
                <w:sz w:val="21"/>
                <w:szCs w:val="21"/>
              </w:rPr>
              <w:t>t/a</w:t>
            </w:r>
          </w:p>
        </w:tc>
      </w:tr>
      <w:tr w14:paraId="4FA1B9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restart"/>
            <w:vAlign w:val="center"/>
          </w:tcPr>
          <w:p w14:paraId="23EFF93C">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rFonts w:hint="eastAsia"/>
                <w:color w:val="auto"/>
              </w:rPr>
              <w:t>一般工业</w:t>
            </w:r>
          </w:p>
          <w:p w14:paraId="5B2A7346">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rFonts w:hint="eastAsia"/>
                <w:color w:val="auto"/>
              </w:rPr>
              <w:t>固体废物</w:t>
            </w:r>
          </w:p>
        </w:tc>
        <w:tc>
          <w:tcPr>
            <w:tcW w:w="1677" w:type="dxa"/>
            <w:vAlign w:val="center"/>
          </w:tcPr>
          <w:p w14:paraId="199379A5">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rPr>
            </w:pPr>
            <w:r>
              <w:rPr>
                <w:rFonts w:hint="eastAsia"/>
              </w:rPr>
              <w:t>钢筋下脚料</w:t>
            </w:r>
          </w:p>
        </w:tc>
        <w:tc>
          <w:tcPr>
            <w:tcW w:w="1441" w:type="dxa"/>
            <w:vAlign w:val="center"/>
          </w:tcPr>
          <w:p w14:paraId="620806CF">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276" w:type="dxa"/>
            <w:vAlign w:val="center"/>
          </w:tcPr>
          <w:p w14:paraId="0DC62A8A">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701" w:type="dxa"/>
            <w:vAlign w:val="center"/>
          </w:tcPr>
          <w:p w14:paraId="0F428220">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eastAsia="宋体"/>
                <w:color w:val="auto"/>
                <w:lang w:val="en-US" w:eastAsia="zh-CN"/>
              </w:rPr>
            </w:pPr>
            <w:r>
              <w:rPr>
                <w:rFonts w:hint="eastAsia"/>
                <w:color w:val="auto"/>
                <w:lang w:val="en-US" w:eastAsia="zh-CN"/>
              </w:rPr>
              <w:t>/</w:t>
            </w:r>
          </w:p>
        </w:tc>
        <w:tc>
          <w:tcPr>
            <w:tcW w:w="1559" w:type="dxa"/>
            <w:vAlign w:val="center"/>
          </w:tcPr>
          <w:p w14:paraId="652ADAE3">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rPr>
            </w:pPr>
            <w:r>
              <w:rPr>
                <w:rFonts w:hint="eastAsia"/>
                <w:lang w:val="en-US" w:eastAsia="zh-CN"/>
              </w:rPr>
              <w:t>1.3523</w:t>
            </w:r>
            <w:r>
              <w:rPr>
                <w:rFonts w:hint="eastAsia"/>
                <w:color w:val="auto"/>
                <w:kern w:val="0"/>
                <w:sz w:val="21"/>
                <w:szCs w:val="21"/>
                <w:lang w:bidi="ar"/>
              </w:rPr>
              <w:t>t/a</w:t>
            </w:r>
          </w:p>
        </w:tc>
        <w:tc>
          <w:tcPr>
            <w:tcW w:w="1761" w:type="dxa"/>
            <w:vAlign w:val="center"/>
          </w:tcPr>
          <w:p w14:paraId="6F3A1B6C">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788" w:type="dxa"/>
            <w:shd w:val="clear" w:color="auto" w:fill="auto"/>
            <w:vAlign w:val="center"/>
          </w:tcPr>
          <w:p w14:paraId="7E594211">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default" w:ascii="Times New Roman" w:hAnsi="Times New Roman" w:eastAsia="宋体" w:cs="Times New Roman"/>
                <w:b w:val="0"/>
                <w:bCs/>
                <w:color w:val="auto"/>
                <w:kern w:val="0"/>
                <w:sz w:val="21"/>
                <w:szCs w:val="24"/>
                <w:lang w:val="en-US" w:eastAsia="zh-CN" w:bidi="ar-SA"/>
              </w:rPr>
            </w:pPr>
            <w:r>
              <w:rPr>
                <w:rFonts w:hint="eastAsia"/>
                <w:lang w:val="en-US" w:eastAsia="zh-CN"/>
              </w:rPr>
              <w:t>1.3523</w:t>
            </w:r>
            <w:r>
              <w:rPr>
                <w:rFonts w:hint="eastAsia"/>
                <w:color w:val="auto"/>
                <w:kern w:val="0"/>
                <w:sz w:val="21"/>
                <w:szCs w:val="21"/>
                <w:lang w:bidi="ar"/>
              </w:rPr>
              <w:t>t/a</w:t>
            </w:r>
          </w:p>
        </w:tc>
        <w:tc>
          <w:tcPr>
            <w:tcW w:w="1233" w:type="dxa"/>
            <w:shd w:val="clear" w:color="auto" w:fill="auto"/>
            <w:vAlign w:val="center"/>
          </w:tcPr>
          <w:p w14:paraId="7E82B79C">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default" w:ascii="Times New Roman" w:hAnsi="Times New Roman" w:eastAsia="宋体" w:cs="Times New Roman"/>
                <w:b w:val="0"/>
                <w:bCs/>
                <w:color w:val="auto"/>
                <w:kern w:val="0"/>
                <w:sz w:val="21"/>
                <w:szCs w:val="24"/>
                <w:lang w:val="en-US" w:eastAsia="zh-CN" w:bidi="ar-SA"/>
              </w:rPr>
            </w:pPr>
            <w:r>
              <w:rPr>
                <w:rFonts w:hint="eastAsia"/>
                <w:lang w:val="en-US" w:eastAsia="zh-CN"/>
              </w:rPr>
              <w:t>+1.3523</w:t>
            </w:r>
            <w:r>
              <w:rPr>
                <w:rFonts w:hint="eastAsia"/>
                <w:color w:val="auto"/>
                <w:kern w:val="0"/>
                <w:sz w:val="21"/>
                <w:szCs w:val="21"/>
                <w:lang w:bidi="ar"/>
              </w:rPr>
              <w:t>t/a</w:t>
            </w:r>
          </w:p>
        </w:tc>
      </w:tr>
      <w:tr w14:paraId="12E997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continue"/>
            <w:vAlign w:val="center"/>
          </w:tcPr>
          <w:p w14:paraId="2AA5665D">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p>
        </w:tc>
        <w:tc>
          <w:tcPr>
            <w:tcW w:w="1677" w:type="dxa"/>
            <w:vAlign w:val="center"/>
          </w:tcPr>
          <w:p w14:paraId="3F2C4F53">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rPr>
            </w:pPr>
            <w:r>
              <w:rPr>
                <w:rFonts w:hint="eastAsia"/>
              </w:rPr>
              <w:t>不合格品</w:t>
            </w:r>
          </w:p>
        </w:tc>
        <w:tc>
          <w:tcPr>
            <w:tcW w:w="1441" w:type="dxa"/>
            <w:vAlign w:val="center"/>
          </w:tcPr>
          <w:p w14:paraId="1F919E00">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276" w:type="dxa"/>
            <w:vAlign w:val="center"/>
          </w:tcPr>
          <w:p w14:paraId="155E8AD2">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701" w:type="dxa"/>
            <w:vAlign w:val="center"/>
          </w:tcPr>
          <w:p w14:paraId="43929EA4">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559" w:type="dxa"/>
            <w:vAlign w:val="center"/>
          </w:tcPr>
          <w:p w14:paraId="4E7BA15F">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rPr>
            </w:pPr>
            <w:r>
              <w:rPr>
                <w:rFonts w:hint="eastAsia"/>
                <w:lang w:val="en-US" w:eastAsia="zh-CN"/>
              </w:rPr>
              <w:t>22.625</w:t>
            </w:r>
            <w:r>
              <w:rPr>
                <w:rFonts w:hint="eastAsia"/>
                <w:color w:val="auto"/>
                <w:kern w:val="0"/>
                <w:sz w:val="21"/>
                <w:szCs w:val="21"/>
                <w:lang w:bidi="ar"/>
              </w:rPr>
              <w:t>t/a</w:t>
            </w:r>
          </w:p>
        </w:tc>
        <w:tc>
          <w:tcPr>
            <w:tcW w:w="1761" w:type="dxa"/>
            <w:vAlign w:val="center"/>
          </w:tcPr>
          <w:p w14:paraId="2286A58E">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788" w:type="dxa"/>
            <w:shd w:val="clear" w:color="auto" w:fill="auto"/>
            <w:vAlign w:val="center"/>
          </w:tcPr>
          <w:p w14:paraId="34773E68">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default" w:ascii="Times New Roman" w:hAnsi="Times New Roman" w:eastAsia="宋体" w:cs="Times New Roman"/>
                <w:b w:val="0"/>
                <w:bCs/>
                <w:color w:val="auto"/>
                <w:kern w:val="0"/>
                <w:sz w:val="21"/>
                <w:szCs w:val="24"/>
                <w:lang w:val="en-US" w:eastAsia="zh-CN" w:bidi="ar-SA"/>
              </w:rPr>
            </w:pPr>
            <w:r>
              <w:rPr>
                <w:rFonts w:hint="eastAsia"/>
                <w:lang w:val="en-US" w:eastAsia="zh-CN"/>
              </w:rPr>
              <w:t>22.625</w:t>
            </w:r>
            <w:r>
              <w:rPr>
                <w:rFonts w:hint="eastAsia"/>
                <w:color w:val="auto"/>
                <w:kern w:val="0"/>
                <w:sz w:val="21"/>
                <w:szCs w:val="21"/>
                <w:lang w:bidi="ar"/>
              </w:rPr>
              <w:t>t/a</w:t>
            </w:r>
          </w:p>
        </w:tc>
        <w:tc>
          <w:tcPr>
            <w:tcW w:w="1233" w:type="dxa"/>
            <w:shd w:val="clear" w:color="auto" w:fill="auto"/>
            <w:vAlign w:val="center"/>
          </w:tcPr>
          <w:p w14:paraId="6CBFF190">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lang w:val="en-US" w:eastAsia="zh-CN"/>
              </w:rPr>
              <w:t>+22.625</w:t>
            </w:r>
            <w:r>
              <w:rPr>
                <w:rFonts w:hint="eastAsia"/>
                <w:color w:val="auto"/>
                <w:kern w:val="0"/>
                <w:sz w:val="21"/>
                <w:szCs w:val="21"/>
                <w:lang w:bidi="ar"/>
              </w:rPr>
              <w:t>t/a</w:t>
            </w:r>
          </w:p>
        </w:tc>
      </w:tr>
      <w:tr w14:paraId="6CC28E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continue"/>
            <w:vAlign w:val="center"/>
          </w:tcPr>
          <w:p w14:paraId="75B07686">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p>
        </w:tc>
        <w:tc>
          <w:tcPr>
            <w:tcW w:w="1677" w:type="dxa"/>
            <w:vAlign w:val="center"/>
          </w:tcPr>
          <w:p w14:paraId="7C094D99">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rPr>
            </w:pPr>
            <w:r>
              <w:rPr>
                <w:rFonts w:hint="eastAsia"/>
                <w:lang w:val="en-US" w:eastAsia="zh-CN"/>
              </w:rPr>
              <w:t>废包装材料</w:t>
            </w:r>
          </w:p>
        </w:tc>
        <w:tc>
          <w:tcPr>
            <w:tcW w:w="1441" w:type="dxa"/>
            <w:vAlign w:val="center"/>
          </w:tcPr>
          <w:p w14:paraId="61C08A07">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276" w:type="dxa"/>
            <w:vAlign w:val="center"/>
          </w:tcPr>
          <w:p w14:paraId="0182393B">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701" w:type="dxa"/>
            <w:vAlign w:val="center"/>
          </w:tcPr>
          <w:p w14:paraId="0122B926">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559" w:type="dxa"/>
            <w:vAlign w:val="center"/>
          </w:tcPr>
          <w:p w14:paraId="2A2C525E">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rPr>
            </w:pPr>
            <w:r>
              <w:rPr>
                <w:rFonts w:hint="eastAsia"/>
                <w:lang w:val="en-US" w:eastAsia="zh-CN"/>
              </w:rPr>
              <w:t>0.02</w:t>
            </w:r>
            <w:r>
              <w:rPr>
                <w:rFonts w:hint="eastAsia"/>
                <w:color w:val="auto"/>
                <w:kern w:val="0"/>
                <w:sz w:val="21"/>
                <w:szCs w:val="21"/>
                <w:lang w:bidi="ar"/>
              </w:rPr>
              <w:t>t/a</w:t>
            </w:r>
          </w:p>
        </w:tc>
        <w:tc>
          <w:tcPr>
            <w:tcW w:w="1761" w:type="dxa"/>
            <w:vAlign w:val="center"/>
          </w:tcPr>
          <w:p w14:paraId="2886FE04">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788" w:type="dxa"/>
            <w:shd w:val="clear" w:color="auto" w:fill="auto"/>
            <w:vAlign w:val="center"/>
          </w:tcPr>
          <w:p w14:paraId="527A0511">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default" w:ascii="Times New Roman" w:hAnsi="Times New Roman" w:eastAsia="宋体" w:cs="Times New Roman"/>
                <w:b w:val="0"/>
                <w:bCs/>
                <w:color w:val="auto"/>
                <w:kern w:val="0"/>
                <w:sz w:val="21"/>
                <w:szCs w:val="24"/>
                <w:lang w:val="en-US" w:eastAsia="zh-CN" w:bidi="ar-SA"/>
              </w:rPr>
            </w:pPr>
            <w:r>
              <w:rPr>
                <w:rFonts w:hint="eastAsia"/>
                <w:lang w:val="en-US" w:eastAsia="zh-CN"/>
              </w:rPr>
              <w:t>0.02</w:t>
            </w:r>
            <w:r>
              <w:rPr>
                <w:rFonts w:hint="eastAsia"/>
                <w:color w:val="auto"/>
                <w:kern w:val="0"/>
                <w:sz w:val="21"/>
                <w:szCs w:val="21"/>
                <w:lang w:bidi="ar"/>
              </w:rPr>
              <w:t>t/a</w:t>
            </w:r>
          </w:p>
        </w:tc>
        <w:tc>
          <w:tcPr>
            <w:tcW w:w="1233" w:type="dxa"/>
            <w:shd w:val="clear" w:color="auto" w:fill="auto"/>
            <w:vAlign w:val="center"/>
          </w:tcPr>
          <w:p w14:paraId="07C34130">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lang w:val="en-US" w:eastAsia="zh-CN"/>
              </w:rPr>
              <w:t>+0.02</w:t>
            </w:r>
            <w:r>
              <w:rPr>
                <w:rFonts w:hint="eastAsia"/>
                <w:color w:val="auto"/>
                <w:kern w:val="0"/>
                <w:sz w:val="21"/>
                <w:szCs w:val="21"/>
                <w:lang w:bidi="ar"/>
              </w:rPr>
              <w:t>t/a</w:t>
            </w:r>
          </w:p>
        </w:tc>
      </w:tr>
      <w:tr w14:paraId="133F74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continue"/>
            <w:vAlign w:val="center"/>
          </w:tcPr>
          <w:p w14:paraId="54F1DECA">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p>
        </w:tc>
        <w:tc>
          <w:tcPr>
            <w:tcW w:w="1677" w:type="dxa"/>
            <w:vAlign w:val="center"/>
          </w:tcPr>
          <w:p w14:paraId="17FA5759">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sz w:val="21"/>
                <w:szCs w:val="21"/>
              </w:rPr>
            </w:pPr>
            <w:r>
              <w:rPr>
                <w:rFonts w:hint="eastAsia"/>
              </w:rPr>
              <w:t>沉淀池及初期雨水池污泥</w:t>
            </w:r>
          </w:p>
        </w:tc>
        <w:tc>
          <w:tcPr>
            <w:tcW w:w="1441" w:type="dxa"/>
            <w:vAlign w:val="center"/>
          </w:tcPr>
          <w:p w14:paraId="194F6B97">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276" w:type="dxa"/>
            <w:vAlign w:val="center"/>
          </w:tcPr>
          <w:p w14:paraId="7FF60301">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701" w:type="dxa"/>
            <w:vAlign w:val="center"/>
          </w:tcPr>
          <w:p w14:paraId="6DED1D22">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559" w:type="dxa"/>
            <w:vAlign w:val="center"/>
          </w:tcPr>
          <w:p w14:paraId="3F3E10CC">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rPr>
            </w:pPr>
            <w:r>
              <w:rPr>
                <w:rFonts w:hint="eastAsia"/>
                <w:lang w:val="en-US" w:eastAsia="zh-CN"/>
              </w:rPr>
              <w:t>2</w:t>
            </w:r>
            <w:r>
              <w:rPr>
                <w:rFonts w:hint="eastAsia"/>
                <w:color w:val="auto"/>
                <w:kern w:val="0"/>
                <w:sz w:val="21"/>
                <w:szCs w:val="21"/>
                <w:lang w:bidi="ar"/>
              </w:rPr>
              <w:t>t/a</w:t>
            </w:r>
          </w:p>
        </w:tc>
        <w:tc>
          <w:tcPr>
            <w:tcW w:w="1761" w:type="dxa"/>
            <w:vAlign w:val="center"/>
          </w:tcPr>
          <w:p w14:paraId="2C716DC2">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788" w:type="dxa"/>
            <w:shd w:val="clear" w:color="auto" w:fill="auto"/>
            <w:vAlign w:val="center"/>
          </w:tcPr>
          <w:p w14:paraId="6835B0F2">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lang w:val="en-US" w:eastAsia="zh-CN"/>
              </w:rPr>
              <w:t>2</w:t>
            </w:r>
            <w:r>
              <w:rPr>
                <w:rFonts w:hint="eastAsia"/>
                <w:color w:val="auto"/>
                <w:kern w:val="0"/>
                <w:sz w:val="21"/>
                <w:szCs w:val="21"/>
                <w:lang w:bidi="ar"/>
              </w:rPr>
              <w:t>t/a</w:t>
            </w:r>
          </w:p>
        </w:tc>
        <w:tc>
          <w:tcPr>
            <w:tcW w:w="1233" w:type="dxa"/>
            <w:shd w:val="clear" w:color="auto" w:fill="auto"/>
            <w:vAlign w:val="center"/>
          </w:tcPr>
          <w:p w14:paraId="2C347D95">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lang w:val="en-US" w:eastAsia="zh-CN"/>
              </w:rPr>
              <w:t>+2</w:t>
            </w:r>
            <w:r>
              <w:rPr>
                <w:rFonts w:hint="eastAsia"/>
                <w:color w:val="auto"/>
                <w:kern w:val="0"/>
                <w:sz w:val="21"/>
                <w:szCs w:val="21"/>
                <w:lang w:bidi="ar"/>
              </w:rPr>
              <w:t>t/a</w:t>
            </w:r>
          </w:p>
        </w:tc>
      </w:tr>
      <w:tr w14:paraId="2A0E01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continue"/>
            <w:vAlign w:val="center"/>
          </w:tcPr>
          <w:p w14:paraId="6354FC51">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p>
        </w:tc>
        <w:tc>
          <w:tcPr>
            <w:tcW w:w="1677" w:type="dxa"/>
            <w:vAlign w:val="center"/>
          </w:tcPr>
          <w:p w14:paraId="648C8442">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rPr>
            </w:pPr>
            <w:r>
              <w:rPr>
                <w:rFonts w:hint="eastAsia"/>
                <w:lang w:eastAsia="zh-CN"/>
              </w:rPr>
              <w:t>除尘装置收集粉尘</w:t>
            </w:r>
          </w:p>
        </w:tc>
        <w:tc>
          <w:tcPr>
            <w:tcW w:w="1441" w:type="dxa"/>
            <w:vAlign w:val="center"/>
          </w:tcPr>
          <w:p w14:paraId="52AFC9F5">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276" w:type="dxa"/>
            <w:vAlign w:val="center"/>
          </w:tcPr>
          <w:p w14:paraId="3901B752">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701" w:type="dxa"/>
            <w:vAlign w:val="center"/>
          </w:tcPr>
          <w:p w14:paraId="68FF298E">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559" w:type="dxa"/>
            <w:vAlign w:val="center"/>
          </w:tcPr>
          <w:p w14:paraId="2FB7CBA8">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rPr>
            </w:pPr>
            <w:r>
              <w:rPr>
                <w:rFonts w:hint="eastAsia"/>
                <w:lang w:val="en-US" w:eastAsia="zh-CN"/>
              </w:rPr>
              <w:t>6.921</w:t>
            </w:r>
            <w:r>
              <w:rPr>
                <w:rFonts w:hint="eastAsia"/>
                <w:color w:val="auto"/>
                <w:kern w:val="0"/>
                <w:sz w:val="21"/>
                <w:szCs w:val="21"/>
                <w:lang w:bidi="ar"/>
              </w:rPr>
              <w:t>t/a</w:t>
            </w:r>
          </w:p>
        </w:tc>
        <w:tc>
          <w:tcPr>
            <w:tcW w:w="1761" w:type="dxa"/>
            <w:vAlign w:val="center"/>
          </w:tcPr>
          <w:p w14:paraId="4B6513D8">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788" w:type="dxa"/>
            <w:shd w:val="clear" w:color="auto" w:fill="auto"/>
            <w:vAlign w:val="center"/>
          </w:tcPr>
          <w:p w14:paraId="0CB470CB">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default" w:ascii="Times New Roman" w:hAnsi="Times New Roman" w:eastAsia="宋体" w:cs="Times New Roman"/>
                <w:b w:val="0"/>
                <w:bCs/>
                <w:color w:val="auto"/>
                <w:kern w:val="0"/>
                <w:sz w:val="21"/>
                <w:szCs w:val="24"/>
                <w:lang w:val="en-US" w:eastAsia="zh-CN" w:bidi="ar-SA"/>
              </w:rPr>
            </w:pPr>
            <w:r>
              <w:rPr>
                <w:rFonts w:hint="eastAsia"/>
                <w:lang w:val="en-US" w:eastAsia="zh-CN"/>
              </w:rPr>
              <w:t>6.921</w:t>
            </w:r>
            <w:r>
              <w:rPr>
                <w:rFonts w:hint="eastAsia"/>
                <w:color w:val="auto"/>
                <w:kern w:val="0"/>
                <w:sz w:val="21"/>
                <w:szCs w:val="21"/>
                <w:lang w:bidi="ar"/>
              </w:rPr>
              <w:t>t/a</w:t>
            </w:r>
          </w:p>
        </w:tc>
        <w:tc>
          <w:tcPr>
            <w:tcW w:w="1233" w:type="dxa"/>
            <w:shd w:val="clear" w:color="auto" w:fill="auto"/>
            <w:vAlign w:val="center"/>
          </w:tcPr>
          <w:p w14:paraId="4022AA06">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lang w:val="en-US" w:eastAsia="zh-CN"/>
              </w:rPr>
              <w:t>+6.921</w:t>
            </w:r>
            <w:r>
              <w:rPr>
                <w:rFonts w:hint="eastAsia"/>
                <w:color w:val="auto"/>
                <w:kern w:val="0"/>
                <w:sz w:val="21"/>
                <w:szCs w:val="21"/>
                <w:lang w:bidi="ar"/>
              </w:rPr>
              <w:t>t/a</w:t>
            </w:r>
          </w:p>
        </w:tc>
      </w:tr>
      <w:tr w14:paraId="519C89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continue"/>
            <w:vAlign w:val="center"/>
          </w:tcPr>
          <w:p w14:paraId="6762C0BB">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p>
        </w:tc>
        <w:tc>
          <w:tcPr>
            <w:tcW w:w="1677" w:type="dxa"/>
            <w:vAlign w:val="center"/>
          </w:tcPr>
          <w:p w14:paraId="2E927E96">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rPr>
            </w:pPr>
            <w:r>
              <w:rPr>
                <w:rFonts w:hint="eastAsia"/>
                <w:lang w:eastAsia="zh-CN"/>
              </w:rPr>
              <w:t>废布袋</w:t>
            </w:r>
          </w:p>
        </w:tc>
        <w:tc>
          <w:tcPr>
            <w:tcW w:w="1441" w:type="dxa"/>
            <w:vAlign w:val="center"/>
          </w:tcPr>
          <w:p w14:paraId="01561B9B">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276" w:type="dxa"/>
            <w:vAlign w:val="center"/>
          </w:tcPr>
          <w:p w14:paraId="18837E27">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701" w:type="dxa"/>
            <w:vAlign w:val="center"/>
          </w:tcPr>
          <w:p w14:paraId="0D454AC7">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559" w:type="dxa"/>
            <w:vAlign w:val="center"/>
          </w:tcPr>
          <w:p w14:paraId="31120A9D">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rPr>
            </w:pPr>
            <w:r>
              <w:rPr>
                <w:rFonts w:hint="eastAsia"/>
                <w:lang w:val="en-US" w:eastAsia="zh-CN"/>
              </w:rPr>
              <w:t>0.1</w:t>
            </w:r>
            <w:r>
              <w:rPr>
                <w:rFonts w:hint="eastAsia"/>
                <w:color w:val="auto"/>
                <w:kern w:val="0"/>
                <w:sz w:val="21"/>
                <w:szCs w:val="21"/>
                <w:lang w:bidi="ar"/>
              </w:rPr>
              <w:t>t/a</w:t>
            </w:r>
          </w:p>
        </w:tc>
        <w:tc>
          <w:tcPr>
            <w:tcW w:w="1761" w:type="dxa"/>
            <w:vAlign w:val="center"/>
          </w:tcPr>
          <w:p w14:paraId="419BBC7E">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788" w:type="dxa"/>
            <w:shd w:val="clear" w:color="auto" w:fill="auto"/>
            <w:vAlign w:val="center"/>
          </w:tcPr>
          <w:p w14:paraId="205E1C3E">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default" w:ascii="Times New Roman" w:hAnsi="Times New Roman" w:eastAsia="宋体" w:cs="Times New Roman"/>
                <w:b w:val="0"/>
                <w:bCs/>
                <w:color w:val="auto"/>
                <w:kern w:val="0"/>
                <w:sz w:val="21"/>
                <w:szCs w:val="24"/>
                <w:lang w:val="en-US" w:eastAsia="zh-CN" w:bidi="ar-SA"/>
              </w:rPr>
            </w:pPr>
            <w:r>
              <w:rPr>
                <w:rFonts w:hint="eastAsia"/>
                <w:lang w:val="en-US" w:eastAsia="zh-CN"/>
              </w:rPr>
              <w:t>0.1</w:t>
            </w:r>
            <w:r>
              <w:rPr>
                <w:rFonts w:hint="eastAsia"/>
                <w:color w:val="auto"/>
                <w:kern w:val="0"/>
                <w:sz w:val="21"/>
                <w:szCs w:val="21"/>
                <w:lang w:bidi="ar"/>
              </w:rPr>
              <w:t>t/a</w:t>
            </w:r>
          </w:p>
        </w:tc>
        <w:tc>
          <w:tcPr>
            <w:tcW w:w="1233" w:type="dxa"/>
            <w:shd w:val="clear" w:color="auto" w:fill="auto"/>
            <w:vAlign w:val="center"/>
          </w:tcPr>
          <w:p w14:paraId="7DA3211F">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lang w:val="en-US" w:eastAsia="zh-CN"/>
              </w:rPr>
              <w:t>+0.1</w:t>
            </w:r>
            <w:r>
              <w:rPr>
                <w:rFonts w:hint="eastAsia"/>
                <w:color w:val="auto"/>
                <w:kern w:val="0"/>
                <w:sz w:val="21"/>
                <w:szCs w:val="21"/>
                <w:lang w:bidi="ar"/>
              </w:rPr>
              <w:t>t/a</w:t>
            </w:r>
          </w:p>
        </w:tc>
      </w:tr>
      <w:tr w14:paraId="7213FB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continue"/>
            <w:vAlign w:val="center"/>
          </w:tcPr>
          <w:p w14:paraId="672A9AEB">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p>
        </w:tc>
        <w:tc>
          <w:tcPr>
            <w:tcW w:w="1677" w:type="dxa"/>
            <w:vAlign w:val="center"/>
          </w:tcPr>
          <w:p w14:paraId="59E01EA9">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default"/>
                <w:color w:val="FF0000"/>
                <w:lang w:val="en-US"/>
              </w:rPr>
            </w:pPr>
            <w:r>
              <w:rPr>
                <w:rFonts w:hint="eastAsia"/>
                <w:color w:val="FF0000"/>
                <w:lang w:val="en-US" w:eastAsia="zh-CN"/>
              </w:rPr>
              <w:t>焊接烟尘及废焊丝</w:t>
            </w:r>
          </w:p>
        </w:tc>
        <w:tc>
          <w:tcPr>
            <w:tcW w:w="1441" w:type="dxa"/>
            <w:vAlign w:val="center"/>
          </w:tcPr>
          <w:p w14:paraId="3455E2EB">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FF0000"/>
                <w:sz w:val="21"/>
                <w:szCs w:val="21"/>
              </w:rPr>
            </w:pPr>
            <w:r>
              <w:rPr>
                <w:rFonts w:hint="eastAsia"/>
                <w:color w:val="FF0000"/>
                <w:lang w:val="en-US" w:eastAsia="zh-CN"/>
              </w:rPr>
              <w:t>/</w:t>
            </w:r>
          </w:p>
        </w:tc>
        <w:tc>
          <w:tcPr>
            <w:tcW w:w="1276" w:type="dxa"/>
            <w:vAlign w:val="center"/>
          </w:tcPr>
          <w:p w14:paraId="4E8E4B4D">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FF0000"/>
                <w:sz w:val="21"/>
                <w:szCs w:val="21"/>
              </w:rPr>
            </w:pPr>
            <w:r>
              <w:rPr>
                <w:rFonts w:hint="eastAsia"/>
                <w:color w:val="FF0000"/>
                <w:lang w:val="en-US" w:eastAsia="zh-CN"/>
              </w:rPr>
              <w:t>/</w:t>
            </w:r>
          </w:p>
        </w:tc>
        <w:tc>
          <w:tcPr>
            <w:tcW w:w="1701" w:type="dxa"/>
            <w:vAlign w:val="center"/>
          </w:tcPr>
          <w:p w14:paraId="64B1FE9A">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FF0000"/>
              </w:rPr>
            </w:pPr>
            <w:r>
              <w:rPr>
                <w:rFonts w:hint="eastAsia"/>
                <w:color w:val="FF0000"/>
                <w:lang w:val="en-US" w:eastAsia="zh-CN"/>
              </w:rPr>
              <w:t>/</w:t>
            </w:r>
          </w:p>
        </w:tc>
        <w:tc>
          <w:tcPr>
            <w:tcW w:w="1559" w:type="dxa"/>
            <w:vAlign w:val="center"/>
          </w:tcPr>
          <w:p w14:paraId="7DD23C83">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FF0000"/>
              </w:rPr>
            </w:pPr>
            <w:r>
              <w:rPr>
                <w:rFonts w:hint="eastAsia"/>
                <w:color w:val="FF0000"/>
                <w:lang w:val="en-US" w:eastAsia="zh-CN"/>
              </w:rPr>
              <w:t>0.107</w:t>
            </w:r>
            <w:r>
              <w:rPr>
                <w:rFonts w:hint="eastAsia"/>
                <w:color w:val="FF0000"/>
                <w:kern w:val="0"/>
                <w:sz w:val="21"/>
                <w:szCs w:val="21"/>
                <w:lang w:bidi="ar"/>
              </w:rPr>
              <w:t>t/a</w:t>
            </w:r>
          </w:p>
        </w:tc>
        <w:tc>
          <w:tcPr>
            <w:tcW w:w="1761" w:type="dxa"/>
            <w:vAlign w:val="center"/>
          </w:tcPr>
          <w:p w14:paraId="6C86B7B2">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FF0000"/>
              </w:rPr>
            </w:pPr>
            <w:r>
              <w:rPr>
                <w:rFonts w:hint="eastAsia"/>
                <w:color w:val="FF0000"/>
                <w:lang w:val="en-US" w:eastAsia="zh-CN"/>
              </w:rPr>
              <w:t>/</w:t>
            </w:r>
          </w:p>
        </w:tc>
        <w:tc>
          <w:tcPr>
            <w:tcW w:w="1788" w:type="dxa"/>
            <w:shd w:val="clear" w:color="auto" w:fill="auto"/>
            <w:vAlign w:val="center"/>
          </w:tcPr>
          <w:p w14:paraId="741BCABB">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default" w:ascii="Times New Roman" w:hAnsi="Times New Roman" w:eastAsia="宋体" w:cs="Times New Roman"/>
                <w:b w:val="0"/>
                <w:bCs/>
                <w:color w:val="FF0000"/>
                <w:kern w:val="0"/>
                <w:sz w:val="21"/>
                <w:szCs w:val="24"/>
                <w:lang w:val="en-US" w:eastAsia="zh-CN" w:bidi="ar-SA"/>
              </w:rPr>
            </w:pPr>
            <w:r>
              <w:rPr>
                <w:rFonts w:hint="eastAsia"/>
                <w:color w:val="FF0000"/>
                <w:lang w:val="en-US" w:eastAsia="zh-CN"/>
              </w:rPr>
              <w:t>0.107</w:t>
            </w:r>
            <w:r>
              <w:rPr>
                <w:rFonts w:hint="eastAsia"/>
                <w:color w:val="FF0000"/>
                <w:kern w:val="0"/>
                <w:sz w:val="21"/>
                <w:szCs w:val="21"/>
                <w:lang w:bidi="ar"/>
              </w:rPr>
              <w:t>t/a</w:t>
            </w:r>
          </w:p>
        </w:tc>
        <w:tc>
          <w:tcPr>
            <w:tcW w:w="1233" w:type="dxa"/>
            <w:shd w:val="clear" w:color="auto" w:fill="auto"/>
            <w:vAlign w:val="center"/>
          </w:tcPr>
          <w:p w14:paraId="12DAAEC6">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eastAsia" w:ascii="Times New Roman" w:hAnsi="Times New Roman" w:eastAsia="宋体" w:cs="Times New Roman"/>
                <w:b w:val="0"/>
                <w:bCs/>
                <w:color w:val="FF0000"/>
                <w:kern w:val="0"/>
                <w:sz w:val="21"/>
                <w:szCs w:val="24"/>
                <w:lang w:val="en-US" w:eastAsia="zh-CN" w:bidi="ar-SA"/>
              </w:rPr>
            </w:pPr>
            <w:r>
              <w:rPr>
                <w:rFonts w:hint="eastAsia"/>
                <w:color w:val="FF0000"/>
                <w:lang w:val="en-US" w:eastAsia="zh-CN"/>
              </w:rPr>
              <w:t>+0.107</w:t>
            </w:r>
            <w:r>
              <w:rPr>
                <w:rFonts w:hint="eastAsia"/>
                <w:color w:val="FF0000"/>
                <w:kern w:val="0"/>
                <w:sz w:val="21"/>
                <w:szCs w:val="21"/>
                <w:lang w:bidi="ar"/>
              </w:rPr>
              <w:t>t/a</w:t>
            </w:r>
          </w:p>
        </w:tc>
      </w:tr>
      <w:tr w14:paraId="003136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continue"/>
            <w:vAlign w:val="center"/>
          </w:tcPr>
          <w:p w14:paraId="1008B383">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p>
        </w:tc>
        <w:tc>
          <w:tcPr>
            <w:tcW w:w="1677" w:type="dxa"/>
            <w:vAlign w:val="center"/>
          </w:tcPr>
          <w:p w14:paraId="3C9E2B73">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default"/>
                <w:lang w:val="en-US" w:eastAsia="zh-CN"/>
              </w:rPr>
            </w:pPr>
            <w:r>
              <w:rPr>
                <w:rFonts w:hint="eastAsia"/>
                <w:lang w:val="en-US" w:eastAsia="zh-CN"/>
              </w:rPr>
              <w:t>报废零部件</w:t>
            </w:r>
          </w:p>
        </w:tc>
        <w:tc>
          <w:tcPr>
            <w:tcW w:w="1441" w:type="dxa"/>
            <w:vAlign w:val="center"/>
          </w:tcPr>
          <w:p w14:paraId="62F2C8D7">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auto"/>
                <w:lang w:val="en-US" w:eastAsia="zh-CN"/>
              </w:rPr>
            </w:pPr>
          </w:p>
        </w:tc>
        <w:tc>
          <w:tcPr>
            <w:tcW w:w="1276" w:type="dxa"/>
            <w:vAlign w:val="center"/>
          </w:tcPr>
          <w:p w14:paraId="32DDA974">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auto"/>
                <w:lang w:val="en-US" w:eastAsia="zh-CN"/>
              </w:rPr>
            </w:pPr>
          </w:p>
        </w:tc>
        <w:tc>
          <w:tcPr>
            <w:tcW w:w="1701" w:type="dxa"/>
            <w:vAlign w:val="center"/>
          </w:tcPr>
          <w:p w14:paraId="577ABD06">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auto"/>
                <w:lang w:val="en-US" w:eastAsia="zh-CN"/>
              </w:rPr>
            </w:pPr>
          </w:p>
        </w:tc>
        <w:tc>
          <w:tcPr>
            <w:tcW w:w="1559" w:type="dxa"/>
            <w:vAlign w:val="center"/>
          </w:tcPr>
          <w:p w14:paraId="14DBEA99">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eastAsia" w:eastAsia="宋体"/>
                <w:color w:val="auto"/>
                <w:lang w:val="en-US" w:eastAsia="zh-CN"/>
              </w:rPr>
            </w:pPr>
            <w:r>
              <w:rPr>
                <w:rFonts w:hint="eastAsia"/>
                <w:lang w:val="en-US" w:eastAsia="zh-CN"/>
              </w:rPr>
              <w:t>2</w:t>
            </w:r>
            <w:r>
              <w:rPr>
                <w:rFonts w:hint="eastAsia"/>
                <w:color w:val="auto"/>
                <w:kern w:val="0"/>
                <w:sz w:val="21"/>
                <w:szCs w:val="21"/>
                <w:lang w:bidi="ar"/>
              </w:rPr>
              <w:t>t/a</w:t>
            </w:r>
          </w:p>
        </w:tc>
        <w:tc>
          <w:tcPr>
            <w:tcW w:w="1761" w:type="dxa"/>
            <w:vAlign w:val="center"/>
          </w:tcPr>
          <w:p w14:paraId="2473E689">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auto"/>
                <w:lang w:val="en-US" w:eastAsia="zh-CN"/>
              </w:rPr>
            </w:pPr>
          </w:p>
        </w:tc>
        <w:tc>
          <w:tcPr>
            <w:tcW w:w="1788" w:type="dxa"/>
            <w:shd w:val="clear" w:color="auto" w:fill="auto"/>
            <w:vAlign w:val="center"/>
          </w:tcPr>
          <w:p w14:paraId="4199605C">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default"/>
                <w:lang w:val="en-US" w:eastAsia="zh-CN"/>
              </w:rPr>
            </w:pPr>
            <w:r>
              <w:rPr>
                <w:rFonts w:hint="eastAsia"/>
                <w:lang w:val="en-US" w:eastAsia="zh-CN"/>
              </w:rPr>
              <w:t>2</w:t>
            </w:r>
            <w:r>
              <w:rPr>
                <w:rFonts w:hint="eastAsia"/>
                <w:color w:val="auto"/>
                <w:kern w:val="0"/>
                <w:sz w:val="21"/>
                <w:szCs w:val="21"/>
                <w:lang w:bidi="ar"/>
              </w:rPr>
              <w:t>t/a</w:t>
            </w:r>
          </w:p>
        </w:tc>
        <w:tc>
          <w:tcPr>
            <w:tcW w:w="1233" w:type="dxa"/>
            <w:shd w:val="clear" w:color="auto" w:fill="auto"/>
            <w:vAlign w:val="center"/>
          </w:tcPr>
          <w:p w14:paraId="1B276EFF">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default"/>
                <w:lang w:val="en-US" w:eastAsia="zh-CN"/>
              </w:rPr>
            </w:pPr>
            <w:r>
              <w:rPr>
                <w:rFonts w:hint="eastAsia"/>
                <w:lang w:val="en-US" w:eastAsia="zh-CN"/>
              </w:rPr>
              <w:t>+2</w:t>
            </w:r>
            <w:r>
              <w:rPr>
                <w:rFonts w:hint="eastAsia"/>
                <w:color w:val="auto"/>
                <w:kern w:val="0"/>
                <w:sz w:val="21"/>
                <w:szCs w:val="21"/>
                <w:lang w:bidi="ar"/>
              </w:rPr>
              <w:t>t/a</w:t>
            </w:r>
          </w:p>
        </w:tc>
      </w:tr>
      <w:tr w14:paraId="0D0565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continue"/>
            <w:vAlign w:val="center"/>
          </w:tcPr>
          <w:p w14:paraId="2D0A3414">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p>
        </w:tc>
        <w:tc>
          <w:tcPr>
            <w:tcW w:w="1677" w:type="dxa"/>
            <w:vAlign w:val="center"/>
          </w:tcPr>
          <w:p w14:paraId="59DAD747">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rPr>
            </w:pPr>
            <w:r>
              <w:t>生活垃圾</w:t>
            </w:r>
          </w:p>
        </w:tc>
        <w:tc>
          <w:tcPr>
            <w:tcW w:w="1441" w:type="dxa"/>
            <w:vAlign w:val="center"/>
          </w:tcPr>
          <w:p w14:paraId="601B3084">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276" w:type="dxa"/>
            <w:vAlign w:val="center"/>
          </w:tcPr>
          <w:p w14:paraId="25B67D89">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701" w:type="dxa"/>
            <w:vAlign w:val="center"/>
          </w:tcPr>
          <w:p w14:paraId="53DF1834">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559" w:type="dxa"/>
            <w:vAlign w:val="center"/>
          </w:tcPr>
          <w:p w14:paraId="3EF02B83">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rPr>
            </w:pPr>
            <w:r>
              <w:rPr>
                <w:rFonts w:hint="eastAsia"/>
                <w:lang w:val="en-US" w:eastAsia="zh-CN"/>
              </w:rPr>
              <w:t>2.25</w:t>
            </w:r>
            <w:r>
              <w:rPr>
                <w:rFonts w:hint="eastAsia"/>
                <w:color w:val="auto"/>
                <w:kern w:val="0"/>
                <w:sz w:val="21"/>
                <w:szCs w:val="21"/>
                <w:lang w:bidi="ar"/>
              </w:rPr>
              <w:t>t/a</w:t>
            </w:r>
          </w:p>
        </w:tc>
        <w:tc>
          <w:tcPr>
            <w:tcW w:w="1761" w:type="dxa"/>
            <w:vAlign w:val="center"/>
          </w:tcPr>
          <w:p w14:paraId="37877CD4">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788" w:type="dxa"/>
            <w:shd w:val="clear" w:color="auto" w:fill="auto"/>
            <w:vAlign w:val="center"/>
          </w:tcPr>
          <w:p w14:paraId="6FA9B7EB">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default" w:ascii="Times New Roman" w:hAnsi="Times New Roman" w:eastAsia="宋体" w:cs="Times New Roman"/>
                <w:b w:val="0"/>
                <w:bCs/>
                <w:color w:val="auto"/>
                <w:kern w:val="0"/>
                <w:sz w:val="21"/>
                <w:szCs w:val="24"/>
                <w:lang w:val="en-US" w:eastAsia="zh-CN" w:bidi="ar-SA"/>
              </w:rPr>
            </w:pPr>
            <w:r>
              <w:rPr>
                <w:rFonts w:hint="eastAsia"/>
                <w:lang w:val="en-US" w:eastAsia="zh-CN"/>
              </w:rPr>
              <w:t>2.25</w:t>
            </w:r>
            <w:r>
              <w:rPr>
                <w:rFonts w:hint="eastAsia"/>
                <w:color w:val="auto"/>
                <w:kern w:val="0"/>
                <w:sz w:val="21"/>
                <w:szCs w:val="21"/>
                <w:lang w:bidi="ar"/>
              </w:rPr>
              <w:t>t/a</w:t>
            </w:r>
          </w:p>
        </w:tc>
        <w:tc>
          <w:tcPr>
            <w:tcW w:w="1233" w:type="dxa"/>
            <w:shd w:val="clear" w:color="auto" w:fill="auto"/>
            <w:vAlign w:val="center"/>
          </w:tcPr>
          <w:p w14:paraId="15370F6F">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lang w:val="en-US" w:eastAsia="zh-CN"/>
              </w:rPr>
              <w:t>+2.25</w:t>
            </w:r>
            <w:r>
              <w:rPr>
                <w:rFonts w:hint="eastAsia"/>
                <w:color w:val="auto"/>
                <w:kern w:val="0"/>
                <w:sz w:val="21"/>
                <w:szCs w:val="21"/>
                <w:lang w:bidi="ar"/>
              </w:rPr>
              <w:t>t/a</w:t>
            </w:r>
          </w:p>
        </w:tc>
      </w:tr>
      <w:tr w14:paraId="3794DF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8" w:type="dxa"/>
            <w:vMerge w:val="restart"/>
            <w:vAlign w:val="center"/>
          </w:tcPr>
          <w:p w14:paraId="0068D337">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r>
              <w:rPr>
                <w:rFonts w:hint="eastAsia"/>
                <w:color w:val="auto"/>
              </w:rPr>
              <w:t>危险废物</w:t>
            </w:r>
          </w:p>
        </w:tc>
        <w:tc>
          <w:tcPr>
            <w:tcW w:w="1677" w:type="dxa"/>
            <w:vAlign w:val="center"/>
          </w:tcPr>
          <w:p w14:paraId="11546009">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rPr>
            </w:pPr>
            <w:r>
              <w:t>沾染矿物油包装桶</w:t>
            </w:r>
          </w:p>
        </w:tc>
        <w:tc>
          <w:tcPr>
            <w:tcW w:w="1441" w:type="dxa"/>
            <w:vAlign w:val="center"/>
          </w:tcPr>
          <w:p w14:paraId="1ECA99B2">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276" w:type="dxa"/>
            <w:vAlign w:val="center"/>
          </w:tcPr>
          <w:p w14:paraId="2559A632">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701" w:type="dxa"/>
            <w:vAlign w:val="center"/>
          </w:tcPr>
          <w:p w14:paraId="00812A16">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559" w:type="dxa"/>
            <w:vAlign w:val="center"/>
          </w:tcPr>
          <w:p w14:paraId="18679B77">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sz w:val="21"/>
                <w:szCs w:val="21"/>
              </w:rPr>
            </w:pPr>
            <w:r>
              <w:rPr>
                <w:rFonts w:hint="eastAsia"/>
                <w:lang w:val="en-US" w:eastAsia="zh-CN"/>
              </w:rPr>
              <w:t>0.05</w:t>
            </w:r>
            <w:r>
              <w:rPr>
                <w:rFonts w:hint="eastAsia"/>
                <w:color w:val="auto"/>
                <w:kern w:val="0"/>
                <w:sz w:val="21"/>
                <w:szCs w:val="21"/>
                <w:lang w:bidi="ar"/>
              </w:rPr>
              <w:t>t/a</w:t>
            </w:r>
          </w:p>
        </w:tc>
        <w:tc>
          <w:tcPr>
            <w:tcW w:w="1761" w:type="dxa"/>
            <w:vAlign w:val="center"/>
          </w:tcPr>
          <w:p w14:paraId="3251124C">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788" w:type="dxa"/>
            <w:shd w:val="clear" w:color="auto" w:fill="auto"/>
            <w:vAlign w:val="center"/>
          </w:tcPr>
          <w:p w14:paraId="46BCE3B5">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default" w:ascii="Times New Roman" w:hAnsi="Times New Roman" w:eastAsia="宋体" w:cs="Times New Roman"/>
                <w:b w:val="0"/>
                <w:bCs/>
                <w:color w:val="auto"/>
                <w:kern w:val="0"/>
                <w:sz w:val="21"/>
                <w:szCs w:val="24"/>
                <w:lang w:val="en-US" w:eastAsia="zh-CN" w:bidi="ar-SA"/>
              </w:rPr>
            </w:pPr>
            <w:r>
              <w:rPr>
                <w:rFonts w:hint="eastAsia"/>
                <w:lang w:val="en-US" w:eastAsia="zh-CN"/>
              </w:rPr>
              <w:t>0.05</w:t>
            </w:r>
            <w:r>
              <w:rPr>
                <w:rFonts w:hint="eastAsia"/>
                <w:color w:val="auto"/>
                <w:kern w:val="0"/>
                <w:sz w:val="21"/>
                <w:szCs w:val="21"/>
                <w:lang w:bidi="ar"/>
              </w:rPr>
              <w:t>t/a</w:t>
            </w:r>
          </w:p>
        </w:tc>
        <w:tc>
          <w:tcPr>
            <w:tcW w:w="1233" w:type="dxa"/>
            <w:shd w:val="clear" w:color="auto" w:fill="auto"/>
            <w:vAlign w:val="center"/>
          </w:tcPr>
          <w:p w14:paraId="27385F2C">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lang w:val="en-US" w:eastAsia="zh-CN"/>
              </w:rPr>
              <w:t>+0.05</w:t>
            </w:r>
            <w:r>
              <w:rPr>
                <w:rFonts w:hint="eastAsia"/>
                <w:color w:val="auto"/>
                <w:kern w:val="0"/>
                <w:sz w:val="21"/>
                <w:szCs w:val="21"/>
                <w:lang w:bidi="ar"/>
              </w:rPr>
              <w:t>t/a</w:t>
            </w:r>
          </w:p>
        </w:tc>
      </w:tr>
      <w:tr w14:paraId="39B25B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continue"/>
            <w:vAlign w:val="center"/>
          </w:tcPr>
          <w:p w14:paraId="4AED8FF4">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p>
        </w:tc>
        <w:tc>
          <w:tcPr>
            <w:tcW w:w="1677" w:type="dxa"/>
            <w:vAlign w:val="center"/>
          </w:tcPr>
          <w:p w14:paraId="6C660D4A">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rPr>
            </w:pPr>
            <w:r>
              <w:rPr>
                <w:rFonts w:hint="eastAsia"/>
                <w:lang w:eastAsia="zh-CN"/>
              </w:rPr>
              <w:t>废弃含油抹布、劳保用品</w:t>
            </w:r>
          </w:p>
        </w:tc>
        <w:tc>
          <w:tcPr>
            <w:tcW w:w="1441" w:type="dxa"/>
            <w:vAlign w:val="center"/>
          </w:tcPr>
          <w:p w14:paraId="7B669E4C">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276" w:type="dxa"/>
            <w:vAlign w:val="center"/>
          </w:tcPr>
          <w:p w14:paraId="0EB77AA0">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701" w:type="dxa"/>
            <w:vAlign w:val="center"/>
          </w:tcPr>
          <w:p w14:paraId="42DAFD71">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559" w:type="dxa"/>
            <w:vAlign w:val="center"/>
          </w:tcPr>
          <w:p w14:paraId="5D4601A3">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sz w:val="21"/>
                <w:szCs w:val="21"/>
              </w:rPr>
            </w:pPr>
            <w:r>
              <w:rPr>
                <w:rFonts w:hint="eastAsia"/>
                <w:lang w:val="en-US" w:eastAsia="zh-CN"/>
              </w:rPr>
              <w:t>0.01</w:t>
            </w:r>
            <w:r>
              <w:rPr>
                <w:rFonts w:hint="eastAsia"/>
                <w:color w:val="auto"/>
                <w:kern w:val="0"/>
                <w:sz w:val="21"/>
                <w:szCs w:val="21"/>
                <w:lang w:bidi="ar"/>
              </w:rPr>
              <w:t>t/a</w:t>
            </w:r>
          </w:p>
        </w:tc>
        <w:tc>
          <w:tcPr>
            <w:tcW w:w="1761" w:type="dxa"/>
            <w:vAlign w:val="center"/>
          </w:tcPr>
          <w:p w14:paraId="1ECEC588">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788" w:type="dxa"/>
            <w:shd w:val="clear" w:color="auto" w:fill="auto"/>
            <w:vAlign w:val="center"/>
          </w:tcPr>
          <w:p w14:paraId="0F78D2AC">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default" w:ascii="Times New Roman" w:hAnsi="Times New Roman" w:eastAsia="宋体" w:cs="Times New Roman"/>
                <w:b w:val="0"/>
                <w:bCs/>
                <w:color w:val="auto"/>
                <w:kern w:val="0"/>
                <w:sz w:val="21"/>
                <w:szCs w:val="24"/>
                <w:lang w:val="en-US" w:eastAsia="zh-CN" w:bidi="ar-SA"/>
              </w:rPr>
            </w:pPr>
            <w:r>
              <w:rPr>
                <w:rFonts w:hint="eastAsia"/>
                <w:lang w:val="en-US" w:eastAsia="zh-CN"/>
              </w:rPr>
              <w:t>0.01</w:t>
            </w:r>
            <w:r>
              <w:rPr>
                <w:rFonts w:hint="eastAsia"/>
                <w:color w:val="auto"/>
                <w:kern w:val="0"/>
                <w:sz w:val="21"/>
                <w:szCs w:val="21"/>
                <w:lang w:bidi="ar"/>
              </w:rPr>
              <w:t>t/a</w:t>
            </w:r>
          </w:p>
        </w:tc>
        <w:tc>
          <w:tcPr>
            <w:tcW w:w="1233" w:type="dxa"/>
            <w:shd w:val="clear" w:color="auto" w:fill="auto"/>
            <w:vAlign w:val="center"/>
          </w:tcPr>
          <w:p w14:paraId="0716A69D">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lang w:val="en-US" w:eastAsia="zh-CN"/>
              </w:rPr>
              <w:t>+0.01</w:t>
            </w:r>
            <w:r>
              <w:rPr>
                <w:rFonts w:hint="eastAsia"/>
                <w:color w:val="auto"/>
                <w:kern w:val="0"/>
                <w:sz w:val="21"/>
                <w:szCs w:val="21"/>
                <w:lang w:bidi="ar"/>
              </w:rPr>
              <w:t>t/a</w:t>
            </w:r>
          </w:p>
        </w:tc>
      </w:tr>
      <w:tr w14:paraId="0A5B25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continue"/>
            <w:vAlign w:val="center"/>
          </w:tcPr>
          <w:p w14:paraId="2BBE5609">
            <w:pPr>
              <w:pStyle w:val="56"/>
              <w:keepNext w:val="0"/>
              <w:keepLines w:val="0"/>
              <w:pageBreakBefore w:val="0"/>
              <w:kinsoku/>
              <w:wordWrap/>
              <w:overflowPunct/>
              <w:topLinePunct w:val="0"/>
              <w:autoSpaceDE/>
              <w:autoSpaceDN/>
              <w:bidi w:val="0"/>
              <w:adjustRightInd w:val="0"/>
              <w:snapToGrid w:val="0"/>
              <w:spacing w:line="240" w:lineRule="auto"/>
              <w:jc w:val="center"/>
              <w:rPr>
                <w:color w:val="auto"/>
              </w:rPr>
            </w:pPr>
          </w:p>
        </w:tc>
        <w:tc>
          <w:tcPr>
            <w:tcW w:w="1677" w:type="dxa"/>
            <w:vAlign w:val="center"/>
          </w:tcPr>
          <w:p w14:paraId="4D2919F7">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rPr>
            </w:pPr>
            <w:r>
              <w:rPr>
                <w:rFonts w:hint="eastAsia"/>
                <w:lang w:val="en-US" w:eastAsia="zh-CN"/>
              </w:rPr>
              <w:t>废机油</w:t>
            </w:r>
          </w:p>
        </w:tc>
        <w:tc>
          <w:tcPr>
            <w:tcW w:w="1441" w:type="dxa"/>
            <w:vAlign w:val="center"/>
          </w:tcPr>
          <w:p w14:paraId="0EEA1828">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276" w:type="dxa"/>
            <w:vAlign w:val="center"/>
          </w:tcPr>
          <w:p w14:paraId="73FF3CB0">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 w:val="21"/>
                <w:szCs w:val="21"/>
              </w:rPr>
            </w:pPr>
            <w:r>
              <w:rPr>
                <w:rFonts w:hint="eastAsia"/>
                <w:color w:val="auto"/>
                <w:lang w:val="en-US" w:eastAsia="zh-CN"/>
              </w:rPr>
              <w:t>/</w:t>
            </w:r>
          </w:p>
        </w:tc>
        <w:tc>
          <w:tcPr>
            <w:tcW w:w="1701" w:type="dxa"/>
            <w:vAlign w:val="center"/>
          </w:tcPr>
          <w:p w14:paraId="7BE4650B">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559" w:type="dxa"/>
            <w:vAlign w:val="center"/>
          </w:tcPr>
          <w:p w14:paraId="3F445A98">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color w:val="auto"/>
                <w:sz w:val="21"/>
                <w:szCs w:val="21"/>
              </w:rPr>
            </w:pPr>
            <w:r>
              <w:rPr>
                <w:rFonts w:hint="eastAsia"/>
                <w:lang w:val="en-US" w:eastAsia="zh-CN"/>
              </w:rPr>
              <w:t>0.05</w:t>
            </w:r>
            <w:r>
              <w:rPr>
                <w:rFonts w:hint="eastAsia"/>
                <w:color w:val="auto"/>
                <w:kern w:val="0"/>
                <w:sz w:val="21"/>
                <w:szCs w:val="21"/>
                <w:lang w:bidi="ar"/>
              </w:rPr>
              <w:t>t/a</w:t>
            </w:r>
          </w:p>
        </w:tc>
        <w:tc>
          <w:tcPr>
            <w:tcW w:w="1761" w:type="dxa"/>
            <w:vAlign w:val="center"/>
          </w:tcPr>
          <w:p w14:paraId="42858202">
            <w:pPr>
              <w:pStyle w:val="56"/>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r>
              <w:rPr>
                <w:rFonts w:hint="eastAsia"/>
                <w:color w:val="auto"/>
                <w:lang w:val="en-US" w:eastAsia="zh-CN"/>
              </w:rPr>
              <w:t>/</w:t>
            </w:r>
          </w:p>
        </w:tc>
        <w:tc>
          <w:tcPr>
            <w:tcW w:w="1788" w:type="dxa"/>
            <w:shd w:val="clear" w:color="auto" w:fill="auto"/>
            <w:vAlign w:val="center"/>
          </w:tcPr>
          <w:p w14:paraId="5E46446F">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lang w:val="en-US" w:eastAsia="zh-CN"/>
              </w:rPr>
              <w:t>0.05</w:t>
            </w:r>
            <w:r>
              <w:rPr>
                <w:rFonts w:hint="eastAsia"/>
                <w:color w:val="auto"/>
                <w:kern w:val="0"/>
                <w:sz w:val="21"/>
                <w:szCs w:val="21"/>
                <w:lang w:bidi="ar"/>
              </w:rPr>
              <w:t>t/a</w:t>
            </w:r>
          </w:p>
        </w:tc>
        <w:tc>
          <w:tcPr>
            <w:tcW w:w="1233" w:type="dxa"/>
            <w:shd w:val="clear" w:color="auto" w:fill="auto"/>
            <w:vAlign w:val="center"/>
          </w:tcPr>
          <w:p w14:paraId="2C16C615">
            <w:pPr>
              <w:pStyle w:val="56"/>
              <w:keepNext w:val="0"/>
              <w:keepLines w:val="0"/>
              <w:pageBreakBefore w:val="0"/>
              <w:kinsoku/>
              <w:wordWrap/>
              <w:overflowPunct/>
              <w:topLinePunct w:val="0"/>
              <w:autoSpaceDE/>
              <w:autoSpaceDN/>
              <w:bidi w:val="0"/>
              <w:adjustRightInd w:val="0"/>
              <w:snapToGrid w:val="0"/>
              <w:spacing w:line="240" w:lineRule="auto"/>
              <w:ind w:firstLine="0" w:firstLineChars="0"/>
              <w:rPr>
                <w:rFonts w:hint="eastAsia" w:ascii="Times New Roman" w:hAnsi="Times New Roman" w:eastAsia="宋体" w:cs="Times New Roman"/>
                <w:b w:val="0"/>
                <w:bCs/>
                <w:color w:val="auto"/>
                <w:kern w:val="0"/>
                <w:sz w:val="21"/>
                <w:szCs w:val="24"/>
                <w:lang w:val="en-US" w:eastAsia="zh-CN" w:bidi="ar-SA"/>
              </w:rPr>
            </w:pPr>
            <w:r>
              <w:rPr>
                <w:rFonts w:hint="eastAsia"/>
                <w:lang w:val="en-US" w:eastAsia="zh-CN"/>
              </w:rPr>
              <w:t>+0.05</w:t>
            </w:r>
            <w:r>
              <w:rPr>
                <w:rFonts w:hint="eastAsia"/>
                <w:color w:val="auto"/>
                <w:kern w:val="0"/>
                <w:sz w:val="21"/>
                <w:szCs w:val="21"/>
                <w:lang w:bidi="ar"/>
              </w:rPr>
              <w:t>t/a</w:t>
            </w:r>
          </w:p>
        </w:tc>
      </w:tr>
    </w:tbl>
    <w:p w14:paraId="7853A72F">
      <w:pPr>
        <w:pStyle w:val="56"/>
        <w:jc w:val="left"/>
        <w:rPr>
          <w:snapToGrid w:val="0"/>
          <w:color w:val="auto"/>
        </w:rPr>
      </w:pPr>
      <w:r>
        <w:rPr>
          <w:snapToGrid w:val="0"/>
          <w:color w:val="auto"/>
        </w:rPr>
        <w:t>注：</w:t>
      </w:r>
      <w:r>
        <w:rPr>
          <w:snapToGrid w:val="0"/>
          <w:color w:val="auto"/>
          <w:spacing w:val="-16"/>
        </w:rPr>
        <w:fldChar w:fldCharType="begin"/>
      </w:r>
      <w:r>
        <w:rPr>
          <w:snapToGrid w:val="0"/>
          <w:color w:val="auto"/>
          <w:spacing w:val="-16"/>
        </w:rPr>
        <w:instrText xml:space="preserve"> = 6 \* GB3 \* MERGEFORMAT </w:instrText>
      </w:r>
      <w:r>
        <w:rPr>
          <w:snapToGrid w:val="0"/>
          <w:color w:val="auto"/>
          <w:spacing w:val="-16"/>
        </w:rPr>
        <w:fldChar w:fldCharType="separate"/>
      </w:r>
      <w:r>
        <w:rPr>
          <w:rFonts w:hint="eastAsia"/>
          <w:color w:val="auto"/>
        </w:rPr>
        <w:t>⑥</w:t>
      </w:r>
      <w:r>
        <w:rPr>
          <w:snapToGrid w:val="0"/>
          <w:color w:val="auto"/>
          <w:spacing w:val="-16"/>
        </w:rPr>
        <w:fldChar w:fldCharType="end"/>
      </w:r>
      <w:r>
        <w:rPr>
          <w:snapToGrid w:val="0"/>
          <w:color w:val="auto"/>
          <w:spacing w:val="-16"/>
        </w:rPr>
        <w:t>=</w:t>
      </w:r>
      <w:r>
        <w:rPr>
          <w:snapToGrid w:val="0"/>
          <w:color w:val="auto"/>
        </w:rPr>
        <w:fldChar w:fldCharType="begin"/>
      </w:r>
      <w:r>
        <w:rPr>
          <w:snapToGrid w:val="0"/>
          <w:color w:val="auto"/>
        </w:rPr>
        <w:instrText xml:space="preserve"> = 1 \* GB3 \* MERGEFORMAT </w:instrText>
      </w:r>
      <w:r>
        <w:rPr>
          <w:snapToGrid w:val="0"/>
          <w:color w:val="auto"/>
        </w:rPr>
        <w:fldChar w:fldCharType="separate"/>
      </w:r>
      <w:r>
        <w:rPr>
          <w:rFonts w:hint="eastAsia"/>
          <w:color w:val="auto"/>
        </w:rPr>
        <w:t>①</w:t>
      </w:r>
      <w:r>
        <w:rPr>
          <w:snapToGrid w:val="0"/>
          <w:color w:val="auto"/>
        </w:rPr>
        <w:fldChar w:fldCharType="end"/>
      </w:r>
      <w:r>
        <w:rPr>
          <w:snapToGrid w:val="0"/>
          <w:color w:val="auto"/>
        </w:rPr>
        <w:t>+</w:t>
      </w:r>
      <w:r>
        <w:rPr>
          <w:snapToGrid w:val="0"/>
          <w:color w:val="auto"/>
        </w:rPr>
        <w:fldChar w:fldCharType="begin"/>
      </w:r>
      <w:r>
        <w:rPr>
          <w:snapToGrid w:val="0"/>
          <w:color w:val="auto"/>
        </w:rPr>
        <w:instrText xml:space="preserve"> = 3 \* GB3 \* MERGEFORMAT </w:instrText>
      </w:r>
      <w:r>
        <w:rPr>
          <w:snapToGrid w:val="0"/>
          <w:color w:val="auto"/>
        </w:rPr>
        <w:fldChar w:fldCharType="separate"/>
      </w:r>
      <w:r>
        <w:rPr>
          <w:rFonts w:hint="eastAsia"/>
          <w:color w:val="auto"/>
        </w:rPr>
        <w:t>③</w:t>
      </w:r>
      <w:r>
        <w:rPr>
          <w:snapToGrid w:val="0"/>
          <w:color w:val="auto"/>
        </w:rPr>
        <w:fldChar w:fldCharType="end"/>
      </w:r>
      <w:r>
        <w:rPr>
          <w:snapToGrid w:val="0"/>
          <w:color w:val="auto"/>
        </w:rPr>
        <w:t>+</w:t>
      </w:r>
      <w:r>
        <w:rPr>
          <w:snapToGrid w:val="0"/>
          <w:color w:val="auto"/>
        </w:rPr>
        <w:fldChar w:fldCharType="begin"/>
      </w:r>
      <w:r>
        <w:rPr>
          <w:snapToGrid w:val="0"/>
          <w:color w:val="auto"/>
        </w:rPr>
        <w:instrText xml:space="preserve"> = 4 \* GB3 \* MERGEFORMAT </w:instrText>
      </w:r>
      <w:r>
        <w:rPr>
          <w:snapToGrid w:val="0"/>
          <w:color w:val="auto"/>
        </w:rPr>
        <w:fldChar w:fldCharType="separate"/>
      </w:r>
      <w:r>
        <w:rPr>
          <w:rFonts w:hint="eastAsia"/>
          <w:color w:val="auto"/>
        </w:rPr>
        <w:t>④</w:t>
      </w:r>
      <w:r>
        <w:rPr>
          <w:snapToGrid w:val="0"/>
          <w:color w:val="auto"/>
        </w:rPr>
        <w:fldChar w:fldCharType="end"/>
      </w:r>
      <w:r>
        <w:rPr>
          <w:snapToGrid w:val="0"/>
          <w:color w:val="auto"/>
        </w:rPr>
        <w:t>-</w:t>
      </w:r>
      <w:r>
        <w:rPr>
          <w:snapToGrid w:val="0"/>
          <w:color w:val="auto"/>
          <w:spacing w:val="-16"/>
        </w:rPr>
        <w:fldChar w:fldCharType="begin"/>
      </w:r>
      <w:r>
        <w:rPr>
          <w:snapToGrid w:val="0"/>
          <w:color w:val="auto"/>
          <w:spacing w:val="-16"/>
        </w:rPr>
        <w:instrText xml:space="preserve"> = 5 \* GB3 \* MERGEFORMAT </w:instrText>
      </w:r>
      <w:r>
        <w:rPr>
          <w:snapToGrid w:val="0"/>
          <w:color w:val="auto"/>
          <w:spacing w:val="-16"/>
        </w:rPr>
        <w:fldChar w:fldCharType="separate"/>
      </w:r>
      <w:r>
        <w:rPr>
          <w:rFonts w:hint="eastAsia"/>
          <w:color w:val="auto"/>
        </w:rPr>
        <w:t>⑤</w:t>
      </w:r>
      <w:r>
        <w:rPr>
          <w:snapToGrid w:val="0"/>
          <w:color w:val="auto"/>
          <w:spacing w:val="-16"/>
        </w:rPr>
        <w:fldChar w:fldCharType="end"/>
      </w:r>
      <w:r>
        <w:rPr>
          <w:snapToGrid w:val="0"/>
          <w:color w:val="auto"/>
          <w:spacing w:val="-16"/>
        </w:rPr>
        <w:t>；</w:t>
      </w:r>
      <w:r>
        <w:rPr>
          <w:snapToGrid w:val="0"/>
          <w:color w:val="auto"/>
        </w:rPr>
        <w:fldChar w:fldCharType="begin"/>
      </w:r>
      <w:r>
        <w:rPr>
          <w:snapToGrid w:val="0"/>
          <w:color w:val="auto"/>
        </w:rPr>
        <w:instrText xml:space="preserve"> = 7 \* GB3 \* MERGEFORMAT </w:instrText>
      </w:r>
      <w:r>
        <w:rPr>
          <w:snapToGrid w:val="0"/>
          <w:color w:val="auto"/>
        </w:rPr>
        <w:fldChar w:fldCharType="separate"/>
      </w:r>
      <w:r>
        <w:rPr>
          <w:rFonts w:hint="eastAsia"/>
          <w:color w:val="auto"/>
        </w:rPr>
        <w:t>⑦</w:t>
      </w:r>
      <w:r>
        <w:rPr>
          <w:snapToGrid w:val="0"/>
          <w:color w:val="auto"/>
        </w:rPr>
        <w:fldChar w:fldCharType="end"/>
      </w:r>
      <w:r>
        <w:rPr>
          <w:snapToGrid w:val="0"/>
          <w:color w:val="auto"/>
        </w:rPr>
        <w:t>=</w:t>
      </w:r>
      <w:r>
        <w:rPr>
          <w:snapToGrid w:val="0"/>
          <w:color w:val="auto"/>
          <w:spacing w:val="-16"/>
        </w:rPr>
        <w:fldChar w:fldCharType="begin"/>
      </w:r>
      <w:r>
        <w:rPr>
          <w:snapToGrid w:val="0"/>
          <w:color w:val="auto"/>
          <w:spacing w:val="-16"/>
        </w:rPr>
        <w:instrText xml:space="preserve"> = 6 \* GB3 \* MERGEFORMAT </w:instrText>
      </w:r>
      <w:r>
        <w:rPr>
          <w:snapToGrid w:val="0"/>
          <w:color w:val="auto"/>
          <w:spacing w:val="-16"/>
        </w:rPr>
        <w:fldChar w:fldCharType="separate"/>
      </w:r>
      <w:r>
        <w:rPr>
          <w:rFonts w:hint="eastAsia"/>
          <w:color w:val="auto"/>
        </w:rPr>
        <w:t>⑥</w:t>
      </w:r>
      <w:r>
        <w:rPr>
          <w:snapToGrid w:val="0"/>
          <w:color w:val="auto"/>
          <w:spacing w:val="-16"/>
        </w:rPr>
        <w:fldChar w:fldCharType="end"/>
      </w:r>
      <w:r>
        <w:rPr>
          <w:snapToGrid w:val="0"/>
          <w:color w:val="auto"/>
          <w:spacing w:val="-16"/>
        </w:rPr>
        <w:t>-</w:t>
      </w:r>
      <w:r>
        <w:rPr>
          <w:snapToGrid w:val="0"/>
          <w:color w:val="auto"/>
        </w:rPr>
        <w:fldChar w:fldCharType="begin"/>
      </w:r>
      <w:r>
        <w:rPr>
          <w:snapToGrid w:val="0"/>
          <w:color w:val="auto"/>
        </w:rPr>
        <w:instrText xml:space="preserve"> = 1 \* GB3 \* MERGEFORMAT </w:instrText>
      </w:r>
      <w:r>
        <w:rPr>
          <w:snapToGrid w:val="0"/>
          <w:color w:val="auto"/>
        </w:rPr>
        <w:fldChar w:fldCharType="separate"/>
      </w:r>
      <w:r>
        <w:rPr>
          <w:rFonts w:hint="eastAsia"/>
          <w:color w:val="auto"/>
        </w:rPr>
        <w:t>①</w:t>
      </w:r>
      <w:r>
        <w:rPr>
          <w:snapToGrid w:val="0"/>
          <w:color w:val="auto"/>
        </w:rPr>
        <w:fldChar w:fldCharType="end"/>
      </w:r>
    </w:p>
    <w:p w14:paraId="547931E6">
      <w:pPr>
        <w:pStyle w:val="19"/>
        <w:ind w:left="0" w:leftChars="0" w:firstLine="480"/>
      </w:pPr>
    </w:p>
    <w:sectPr>
      <w:footerReference r:id="rId10" w:type="default"/>
      <w:pgSz w:w="16838" w:h="11906" w:orient="landscape"/>
      <w:pgMar w:top="1531" w:right="1701" w:bottom="1531" w:left="1701" w:header="851" w:footer="850" w:gutter="0"/>
      <w:pgBorders>
        <w:top w:val="none" w:sz="0" w:space="0"/>
        <w:left w:val="none" w:sz="0" w:space="0"/>
        <w:bottom w:val="none" w:sz="0" w:space="0"/>
        <w:right w:val="none" w:sz="0" w:space="0"/>
      </w:pgBorders>
      <w:cols w:space="720" w:num="1"/>
      <w:docGrid w:linePitch="312" w:charSpace="0"/>
    </w:sectPr>
  </w:body>
</w:document>
</file>

<file path=word/customizations.xml><?xml version="1.0" encoding="utf-8"?>
<wne:tcg xmlns:r="http://schemas.openxmlformats.org/officeDocument/2006/relationships" xmlns:wne="http://schemas.microsoft.com/office/word/2006/wordml">
  <wne:keymaps>
    <wne:keymap wne:kcmPrimary="0257">
      <wne:acd wne:acdName="acd0"/>
    </wne:keymap>
    <wne:keymap wne:kcmPrimary="02DC">
      <wne:acd wne:acdName="acd1"/>
    </wne:keymap>
    <wne:keymap wne:kcmPrimary="0642">
      <wne:acd wne:acdName="acd2"/>
    </wne:keymap>
  </wne:keymaps>
  <wne:acds>
    <wne:acd wne:argValue="AgBoiDxo" wne:acdName="acd0" wne:fciIndexBasedOn="0065"/>
    <wne:acd wne:argValue="AQAAAAAA" wne:acdName="acd1" wne:fciIndexBasedOn="0065"/>
    <wne:acd wne:argValue="AQAAAAEA" wne:acdName="acd2"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499F7EB-A3F2-42AC-9D5B-CB0DC9C8196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79DD4515-75A6-43B3-89EE-56FA685474EC}"/>
  </w:font>
  <w:font w:name="长城仿宋体">
    <w:altName w:val="宋体"/>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E0002A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embedRegular r:id="rId3" w:fontKey="{427EA2AE-A0E0-4929-9815-4779380611E9}"/>
  </w:font>
  <w:font w:name="新宋体-18030">
    <w:altName w:val="宋体"/>
    <w:panose1 w:val="00000000000000000000"/>
    <w:charset w:val="00"/>
    <w:family w:val="auto"/>
    <w:pitch w:val="default"/>
    <w:sig w:usb0="00000000" w:usb1="00000000" w:usb2="00000000" w:usb3="00000000" w:csb0="00040001" w:csb1="00000000"/>
  </w:font>
  <w:font w:name="Century Gothic">
    <w:panose1 w:val="020B0502020202020204"/>
    <w:charset w:val="00"/>
    <w:family w:val="swiss"/>
    <w:pitch w:val="default"/>
    <w:sig w:usb0="00000287" w:usb1="00000000" w:usb2="00000000" w:usb3="00000000" w:csb0="2000009F" w:csb1="DFD70000"/>
  </w:font>
  <w:font w:name="楷体_GB2312">
    <w:panose1 w:val="02010609030101010101"/>
    <w:charset w:val="86"/>
    <w:family w:val="modern"/>
    <w:pitch w:val="default"/>
    <w:sig w:usb0="00000001" w:usb1="080E0000" w:usb2="00000000" w:usb3="00000000" w:csb0="00040000" w:csb1="00000000"/>
    <w:embedRegular r:id="rId4" w:fontKey="{201DA3B0-A115-47A8-B59E-FC0BF65CC344}"/>
  </w:font>
  <w:font w:name="华文仿宋">
    <w:panose1 w:val="02010600040101010101"/>
    <w:charset w:val="86"/>
    <w:family w:val="auto"/>
    <w:pitch w:val="default"/>
    <w:sig w:usb0="00000287" w:usb1="080F0000" w:usb2="00000000" w:usb3="00000000" w:csb0="0004009F" w:csb1="DFD70000"/>
    <w:embedRegular r:id="rId5" w:fontKey="{A6D2954D-446A-4877-B2A9-70A18625D1BD}"/>
  </w:font>
  <w:font w:name="Wingdings 2">
    <w:panose1 w:val="05020102010507070707"/>
    <w:charset w:val="02"/>
    <w:family w:val="roman"/>
    <w:pitch w:val="default"/>
    <w:sig w:usb0="00000000" w:usb1="00000000" w:usb2="00000000" w:usb3="00000000" w:csb0="80000000" w:csb1="00000000"/>
    <w:embedRegular r:id="rId6" w:fontKey="{9CD190E7-A570-4E2A-96AF-18085A796CDD}"/>
  </w:font>
  <w:font w:name="方正小标宋_GBK">
    <w:panose1 w:val="02000000000000000000"/>
    <w:charset w:val="86"/>
    <w:family w:val="script"/>
    <w:pitch w:val="default"/>
    <w:sig w:usb0="A00002BF" w:usb1="38CF7CFA" w:usb2="00082016" w:usb3="00000000" w:csb0="00040001" w:csb1="00000000"/>
    <w:embedRegular r:id="rId7" w:fontKey="{21DFD29F-96F1-40E1-BBEC-779C7E90BC8B}"/>
  </w:font>
  <w:font w:name="WPSEMBED1">
    <w:panose1 w:val="02010609030101010101"/>
    <w:charset w:val="86"/>
    <w:family w:val="auto"/>
    <w:pitch w:val="default"/>
    <w:sig w:usb0="00000001" w:usb1="080E0000" w:usb2="00000000" w:usb3="00000000" w:csb0="00040000" w:csb1="00000000"/>
  </w:font>
  <w:font w:name="WPSEMBED2">
    <w:panose1 w:val="02010609030101010101"/>
    <w:charset w:val="86"/>
    <w:family w:val="auto"/>
    <w:pitch w:val="default"/>
    <w:sig w:usb0="00000001" w:usb1="080E0000" w:usb2="00000000" w:usb3="00000000" w:csb0="00040000" w:csb1="00000000"/>
  </w:font>
  <w:font w:name="WPSEMBED3">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2D4F68">
    <w:pPr>
      <w:pStyle w:val="2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B6B5CB">
    <w:pPr>
      <w:pStyle w:val="28"/>
      <w:framePr w:wrap="around" w:vAnchor="text" w:hAnchor="margin" w:xAlign="center" w:y="1"/>
      <w:ind w:firstLine="360"/>
      <w:rPr>
        <w:rStyle w:val="45"/>
      </w:rPr>
    </w:pPr>
    <w:r>
      <w:fldChar w:fldCharType="begin"/>
    </w:r>
    <w:r>
      <w:rPr>
        <w:rStyle w:val="45"/>
      </w:rPr>
      <w:instrText xml:space="preserve">PAGE  </w:instrText>
    </w:r>
    <w:r>
      <w:fldChar w:fldCharType="end"/>
    </w:r>
  </w:p>
  <w:p w14:paraId="23A3A1B3">
    <w:pPr>
      <w:pStyle w:val="2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39605E">
    <w:pPr>
      <w:pStyle w:val="28"/>
      <w:tabs>
        <w:tab w:val="center" w:pos="4422"/>
        <w:tab w:val="clear" w:pos="4153"/>
      </w:tabs>
      <w:ind w:right="360" w:firstLine="360"/>
    </w:pP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CAD39">
    <w:pPr>
      <w:pStyle w:val="28"/>
      <w:tabs>
        <w:tab w:val="center" w:pos="4422"/>
        <w:tab w:val="clear" w:pos="4153"/>
      </w:tabs>
      <w:ind w:right="360"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8E9614">
                          <w:pPr>
                            <w:pStyle w:val="28"/>
                            <w:ind w:firstLine="36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008E9614">
                    <w:pPr>
                      <w:pStyle w:val="28"/>
                      <w:ind w:firstLine="360"/>
                    </w:pPr>
                    <w:r>
                      <w:fldChar w:fldCharType="begin"/>
                    </w:r>
                    <w:r>
                      <w:instrText xml:space="preserve"> PAGE  \* MERGEFORMAT </w:instrText>
                    </w:r>
                    <w:r>
                      <w:fldChar w:fldCharType="separate"/>
                    </w:r>
                    <w:r>
                      <w:t>3</w:t>
                    </w:r>
                    <w:r>
                      <w:fldChar w:fldCharType="end"/>
                    </w:r>
                  </w:p>
                </w:txbxContent>
              </v:textbox>
            </v:shape>
          </w:pict>
        </mc:Fallback>
      </mc:AlternateContent>
    </w:r>
    <w:r>
      <w:rPr>
        <w:rFonts w:hint="eastAsia"/>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6AF3FD">
    <w:pPr>
      <w:pStyle w:val="28"/>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23875" cy="236220"/>
              <wp:effectExtent l="0" t="0" r="0" b="0"/>
              <wp:wrapNone/>
              <wp:docPr id="20" name="文本框 2049"/>
              <wp:cNvGraphicFramePr/>
              <a:graphic xmlns:a="http://schemas.openxmlformats.org/drawingml/2006/main">
                <a:graphicData uri="http://schemas.microsoft.com/office/word/2010/wordprocessingShape">
                  <wps:wsp>
                    <wps:cNvSpPr txBox="1"/>
                    <wps:spPr>
                      <a:xfrm>
                        <a:off x="0" y="0"/>
                        <a:ext cx="523875" cy="236220"/>
                      </a:xfrm>
                      <a:prstGeom prst="rect">
                        <a:avLst/>
                      </a:prstGeom>
                      <a:noFill/>
                      <a:ln>
                        <a:noFill/>
                      </a:ln>
                    </wps:spPr>
                    <wps:txbx>
                      <w:txbxContent>
                        <w:p w14:paraId="0535DBD6">
                          <w:pPr>
                            <w:pStyle w:val="28"/>
                            <w:ind w:firstLine="420"/>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51</w:t>
                          </w:r>
                          <w:r>
                            <w:rPr>
                              <w:sz w:val="21"/>
                              <w:szCs w:val="21"/>
                            </w:rPr>
                            <w:fldChar w:fldCharType="end"/>
                          </w:r>
                        </w:p>
                      </w:txbxContent>
                    </wps:txbx>
                    <wps:bodyPr wrap="square" lIns="0" tIns="0" rIns="0" bIns="0"/>
                  </wps:wsp>
                </a:graphicData>
              </a:graphic>
            </wp:anchor>
          </w:drawing>
        </mc:Choice>
        <mc:Fallback>
          <w:pict>
            <v:shape id="文本框 2049" o:spid="_x0000_s1026" o:spt="202" type="#_x0000_t202" style="position:absolute;left:0pt;margin-top:0pt;height:18.6pt;width:41.25pt;mso-position-horizontal:center;mso-position-horizontal-relative:margin;z-index:251659264;mso-width-relative:page;mso-height-relative:page;" filled="f" stroked="f" coordsize="21600,21600" o:gfxdata="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E9ChnrUAAAAAwEAAA8AAAAAAAAAAQAgAAAAIgAAAGRycy9kb3ducmV2LnhtbFBL&#10;AQIUABQAAAAIAIdO4kBn9u6wwQEAAHcDAAAOAAAAAAAAAAEAIAAAACMBAABkcnMvZTJvRG9jLnht&#10;bFBLBQYAAAAABgAGAFkBAABWBQAAAAA=&#10;">
              <v:fill on="f" focussize="0,0"/>
              <v:stroke on="f"/>
              <v:imagedata o:title=""/>
              <o:lock v:ext="edit" aspectratio="f"/>
              <v:textbox inset="0mm,0mm,0mm,0mm">
                <w:txbxContent>
                  <w:p w14:paraId="0535DBD6">
                    <w:pPr>
                      <w:pStyle w:val="28"/>
                      <w:ind w:firstLine="420"/>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51</w:t>
                    </w:r>
                    <w:r>
                      <w:rPr>
                        <w:sz w:val="21"/>
                        <w:szCs w:val="21"/>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9602E1">
    <w:pPr>
      <w:pStyle w:val="28"/>
      <w:ind w:right="360"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665E04">
                          <w:pPr>
                            <w:pStyle w:val="28"/>
                            <w:ind w:firstLine="360"/>
                          </w:pPr>
                          <w:r>
                            <w:fldChar w:fldCharType="begin"/>
                          </w:r>
                          <w:r>
                            <w:instrText xml:space="preserve"> PAGE  \* MERGEFORMAT </w:instrText>
                          </w:r>
                          <w:r>
                            <w:fldChar w:fldCharType="separate"/>
                          </w:r>
                          <w:r>
                            <w:t>119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50665E04">
                    <w:pPr>
                      <w:pStyle w:val="28"/>
                      <w:ind w:firstLine="360"/>
                    </w:pPr>
                    <w:r>
                      <w:fldChar w:fldCharType="begin"/>
                    </w:r>
                    <w:r>
                      <w:instrText xml:space="preserve"> PAGE  \* MERGEFORMAT </w:instrText>
                    </w:r>
                    <w:r>
                      <w:fldChar w:fldCharType="separate"/>
                    </w:r>
                    <w:r>
                      <w:t>119</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032D7"/>
    <w:multiLevelType w:val="multilevel"/>
    <w:tmpl w:val="80C032D7"/>
    <w:lvl w:ilvl="0" w:tentative="0">
      <w:start w:val="1"/>
      <w:numFmt w:val="decimal"/>
      <w:pStyle w:val="94"/>
      <w:lvlText w:val="表1-%1"/>
      <w:lvlJc w:val="center"/>
      <w:pPr>
        <w:ind w:left="4150" w:hanging="132"/>
      </w:pPr>
      <w:rPr>
        <w:rFonts w:hint="default" w:ascii="Times New Roman" w:hAnsi="Times New Roman" w:eastAsia="宋体" w:cs="宋体"/>
      </w:rPr>
    </w:lvl>
    <w:lvl w:ilvl="1" w:tentative="0">
      <w:start w:val="1"/>
      <w:numFmt w:val="lowerLetter"/>
      <w:lvlText w:val="%2)"/>
      <w:lvlJc w:val="left"/>
      <w:pPr>
        <w:ind w:left="4570" w:hanging="420"/>
      </w:pPr>
      <w:rPr>
        <w:rFonts w:hint="eastAsia"/>
      </w:rPr>
    </w:lvl>
    <w:lvl w:ilvl="2" w:tentative="0">
      <w:start w:val="1"/>
      <w:numFmt w:val="lowerRoman"/>
      <w:lvlText w:val="%3."/>
      <w:lvlJc w:val="right"/>
      <w:pPr>
        <w:ind w:left="4990" w:hanging="420"/>
      </w:pPr>
      <w:rPr>
        <w:rFonts w:hint="eastAsia"/>
      </w:rPr>
    </w:lvl>
    <w:lvl w:ilvl="3" w:tentative="0">
      <w:start w:val="1"/>
      <w:numFmt w:val="decimal"/>
      <w:lvlText w:val="%4."/>
      <w:lvlJc w:val="left"/>
      <w:pPr>
        <w:ind w:left="5410" w:hanging="420"/>
      </w:pPr>
      <w:rPr>
        <w:rFonts w:hint="eastAsia"/>
      </w:rPr>
    </w:lvl>
    <w:lvl w:ilvl="4" w:tentative="0">
      <w:start w:val="1"/>
      <w:numFmt w:val="lowerLetter"/>
      <w:lvlText w:val="%5)"/>
      <w:lvlJc w:val="left"/>
      <w:pPr>
        <w:ind w:left="5830" w:hanging="420"/>
      </w:pPr>
      <w:rPr>
        <w:rFonts w:hint="eastAsia"/>
      </w:rPr>
    </w:lvl>
    <w:lvl w:ilvl="5" w:tentative="0">
      <w:start w:val="1"/>
      <w:numFmt w:val="lowerRoman"/>
      <w:lvlText w:val="%6."/>
      <w:lvlJc w:val="right"/>
      <w:pPr>
        <w:ind w:left="6250" w:hanging="420"/>
      </w:pPr>
      <w:rPr>
        <w:rFonts w:hint="eastAsia"/>
      </w:rPr>
    </w:lvl>
    <w:lvl w:ilvl="6" w:tentative="0">
      <w:start w:val="1"/>
      <w:numFmt w:val="decimal"/>
      <w:lvlText w:val="%7."/>
      <w:lvlJc w:val="left"/>
      <w:pPr>
        <w:ind w:left="6670" w:hanging="420"/>
      </w:pPr>
      <w:rPr>
        <w:rFonts w:hint="eastAsia"/>
      </w:rPr>
    </w:lvl>
    <w:lvl w:ilvl="7" w:tentative="0">
      <w:start w:val="1"/>
      <w:numFmt w:val="lowerLetter"/>
      <w:lvlText w:val="%8)"/>
      <w:lvlJc w:val="left"/>
      <w:pPr>
        <w:ind w:left="7090" w:hanging="420"/>
      </w:pPr>
      <w:rPr>
        <w:rFonts w:hint="eastAsia"/>
      </w:rPr>
    </w:lvl>
    <w:lvl w:ilvl="8" w:tentative="0">
      <w:start w:val="1"/>
      <w:numFmt w:val="lowerRoman"/>
      <w:lvlText w:val="%9."/>
      <w:lvlJc w:val="right"/>
      <w:pPr>
        <w:ind w:left="7510" w:hanging="420"/>
      </w:pPr>
      <w:rPr>
        <w:rFonts w:hint="eastAsia"/>
      </w:rPr>
    </w:lvl>
  </w:abstractNum>
  <w:abstractNum w:abstractNumId="1">
    <w:nsid w:val="8C70823B"/>
    <w:multiLevelType w:val="singleLevel"/>
    <w:tmpl w:val="8C70823B"/>
    <w:lvl w:ilvl="0" w:tentative="0">
      <w:start w:val="2"/>
      <w:numFmt w:val="decimal"/>
      <w:suff w:val="nothing"/>
      <w:lvlText w:val="%1、"/>
      <w:lvlJc w:val="left"/>
    </w:lvl>
  </w:abstractNum>
  <w:abstractNum w:abstractNumId="2">
    <w:nsid w:val="B145E037"/>
    <w:multiLevelType w:val="singleLevel"/>
    <w:tmpl w:val="B145E037"/>
    <w:lvl w:ilvl="0" w:tentative="0">
      <w:start w:val="1"/>
      <w:numFmt w:val="decimal"/>
      <w:suff w:val="nothing"/>
      <w:lvlText w:val="%1"/>
      <w:lvlJc w:val="left"/>
      <w:pPr>
        <w:ind w:left="665" w:hanging="425"/>
      </w:pPr>
      <w:rPr>
        <w:rFonts w:hint="default"/>
        <w:sz w:val="21"/>
        <w:szCs w:val="21"/>
      </w:rPr>
    </w:lvl>
  </w:abstractNum>
  <w:abstractNum w:abstractNumId="3">
    <w:nsid w:val="C17AD983"/>
    <w:multiLevelType w:val="singleLevel"/>
    <w:tmpl w:val="C17AD983"/>
    <w:lvl w:ilvl="0" w:tentative="0">
      <w:start w:val="1"/>
      <w:numFmt w:val="decimal"/>
      <w:suff w:val="nothing"/>
      <w:lvlText w:val="表4-%1  "/>
      <w:lvlJc w:val="left"/>
      <w:pPr>
        <w:tabs>
          <w:tab w:val="left" w:pos="0"/>
        </w:tabs>
        <w:ind w:left="425" w:hanging="425"/>
      </w:pPr>
      <w:rPr>
        <w:rFonts w:hint="default"/>
        <w:sz w:val="24"/>
        <w:szCs w:val="24"/>
      </w:rPr>
    </w:lvl>
  </w:abstractNum>
  <w:abstractNum w:abstractNumId="4">
    <w:nsid w:val="C58807D2"/>
    <w:multiLevelType w:val="singleLevel"/>
    <w:tmpl w:val="C58807D2"/>
    <w:lvl w:ilvl="0" w:tentative="0">
      <w:start w:val="6"/>
      <w:numFmt w:val="decimal"/>
      <w:suff w:val="nothing"/>
      <w:lvlText w:val="（%1）"/>
      <w:lvlJc w:val="left"/>
    </w:lvl>
  </w:abstractNum>
  <w:abstractNum w:abstractNumId="5">
    <w:nsid w:val="F53DF268"/>
    <w:multiLevelType w:val="multilevel"/>
    <w:tmpl w:val="F53DF268"/>
    <w:lvl w:ilvl="0" w:tentative="0">
      <w:start w:val="1"/>
      <w:numFmt w:val="decimal"/>
      <w:pStyle w:val="4"/>
      <w:suff w:val="space"/>
      <w:lvlText w:val="表2-%1"/>
      <w:lvlJc w:val="left"/>
      <w:pPr>
        <w:tabs>
          <w:tab w:val="left" w:pos="0"/>
        </w:tabs>
        <w:ind w:left="432" w:hanging="432"/>
      </w:pPr>
      <w:rPr>
        <w:rFonts w:hint="default" w:ascii="Times New Roman" w:hAnsi="Times New Roman" w:eastAsia="宋体" w:cs="Times New Roman"/>
        <w:sz w:val="24"/>
        <w:szCs w:val="24"/>
      </w:rPr>
    </w:lvl>
    <w:lvl w:ilvl="1" w:tentative="0">
      <w:start w:val="1"/>
      <w:numFmt w:val="decimal"/>
      <w:pStyle w:val="5"/>
      <w:isLgl/>
      <w:lvlText w:val="%1.%2."/>
      <w:lvlJc w:val="left"/>
      <w:pPr>
        <w:ind w:left="575" w:hanging="575"/>
      </w:pPr>
      <w:rPr>
        <w:rFonts w:hint="eastAsia"/>
      </w:rPr>
    </w:lvl>
    <w:lvl w:ilvl="2" w:tentative="0">
      <w:start w:val="1"/>
      <w:numFmt w:val="decimal"/>
      <w:pStyle w:val="6"/>
      <w:isLgl/>
      <w:lvlText w:val="%1.%2.%3."/>
      <w:lvlJc w:val="left"/>
      <w:pPr>
        <w:ind w:left="720" w:hanging="720"/>
      </w:pPr>
      <w:rPr>
        <w:rFonts w:hint="eastAsia"/>
      </w:rPr>
    </w:lvl>
    <w:lvl w:ilvl="3" w:tentative="0">
      <w:start w:val="1"/>
      <w:numFmt w:val="decimal"/>
      <w:pStyle w:val="8"/>
      <w:isLgl/>
      <w:lvlText w:val="%1.%2.%3.%4."/>
      <w:lvlJc w:val="left"/>
      <w:pPr>
        <w:ind w:left="864" w:hanging="864"/>
      </w:pPr>
      <w:rPr>
        <w:rFonts w:hint="eastAsia"/>
      </w:rPr>
    </w:lvl>
    <w:lvl w:ilvl="4" w:tentative="0">
      <w:start w:val="1"/>
      <w:numFmt w:val="decimal"/>
      <w:pStyle w:val="9"/>
      <w:isLgl/>
      <w:lvlText w:val="%1.%2.%3.%4.%5."/>
      <w:lvlJc w:val="left"/>
      <w:pPr>
        <w:ind w:left="1008" w:hanging="1008"/>
      </w:pPr>
      <w:rPr>
        <w:rFonts w:hint="eastAsia"/>
      </w:rPr>
    </w:lvl>
    <w:lvl w:ilvl="5" w:tentative="0">
      <w:start w:val="1"/>
      <w:numFmt w:val="decimal"/>
      <w:pStyle w:val="10"/>
      <w:lvlText w:val="表2-%6"/>
      <w:lvlJc w:val="left"/>
      <w:pPr>
        <w:ind w:left="1151" w:hanging="1151"/>
      </w:pPr>
      <w:rPr>
        <w:rFonts w:hint="default" w:ascii="宋体" w:hAnsi="宋体" w:eastAsia="宋体" w:cs="宋体"/>
      </w:rPr>
    </w:lvl>
    <w:lvl w:ilvl="6" w:tentative="0">
      <w:start w:val="1"/>
      <w:numFmt w:val="decimal"/>
      <w:pStyle w:val="11"/>
      <w:isLgl/>
      <w:lvlText w:val="%1.%2.%3.%4.%5.%6.%7."/>
      <w:lvlJc w:val="left"/>
      <w:pPr>
        <w:ind w:left="1296" w:hanging="1296"/>
      </w:pPr>
      <w:rPr>
        <w:rFonts w:hint="eastAsia"/>
      </w:rPr>
    </w:lvl>
    <w:lvl w:ilvl="7" w:tentative="0">
      <w:start w:val="1"/>
      <w:numFmt w:val="decimal"/>
      <w:pStyle w:val="12"/>
      <w:isLgl/>
      <w:lvlText w:val="%1.%2.%3.%4.%5.%6.%7.%8."/>
      <w:lvlJc w:val="left"/>
      <w:pPr>
        <w:ind w:left="1440" w:hanging="1440"/>
      </w:pPr>
      <w:rPr>
        <w:rFonts w:hint="eastAsia"/>
      </w:rPr>
    </w:lvl>
    <w:lvl w:ilvl="8" w:tentative="0">
      <w:start w:val="1"/>
      <w:numFmt w:val="decimal"/>
      <w:pStyle w:val="13"/>
      <w:isLgl/>
      <w:lvlText w:val="%1.%2.%3.%4.%5.%6.%7.%8.%9."/>
      <w:lvlJc w:val="left"/>
      <w:pPr>
        <w:ind w:left="1583" w:hanging="1583"/>
      </w:pPr>
      <w:rPr>
        <w:rFonts w:hint="eastAsia"/>
      </w:rPr>
    </w:lvl>
  </w:abstractNum>
  <w:abstractNum w:abstractNumId="6">
    <w:nsid w:val="4CF636C8"/>
    <w:multiLevelType w:val="singleLevel"/>
    <w:tmpl w:val="4CF636C8"/>
    <w:lvl w:ilvl="0" w:tentative="0">
      <w:start w:val="3"/>
      <w:numFmt w:val="decimal"/>
      <w:suff w:val="nothing"/>
      <w:lvlText w:val="%1、"/>
      <w:lvlJc w:val="left"/>
    </w:lvl>
  </w:abstractNum>
  <w:abstractNum w:abstractNumId="7">
    <w:nsid w:val="5F3C961B"/>
    <w:multiLevelType w:val="singleLevel"/>
    <w:tmpl w:val="5F3C961B"/>
    <w:lvl w:ilvl="0" w:tentative="0">
      <w:start w:val="1"/>
      <w:numFmt w:val="decimal"/>
      <w:suff w:val="nothing"/>
      <w:lvlText w:val="（%1）"/>
      <w:lvlJc w:val="left"/>
    </w:lvl>
  </w:abstractNum>
  <w:abstractNum w:abstractNumId="8">
    <w:nsid w:val="6963C962"/>
    <w:multiLevelType w:val="multilevel"/>
    <w:tmpl w:val="6963C962"/>
    <w:lvl w:ilvl="0" w:tentative="0">
      <w:start w:val="1"/>
      <w:numFmt w:val="decimal"/>
      <w:pStyle w:val="99"/>
      <w:lvlText w:val="表3-%1"/>
      <w:lvlJc w:val="center"/>
      <w:pPr>
        <w:ind w:left="420" w:hanging="132"/>
      </w:pPr>
      <w:rPr>
        <w:rFonts w:hint="default" w:ascii="Times New Roman" w:hAnsi="Times New Roman" w:eastAsia="宋体" w:cs="宋体"/>
        <w:b/>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5"/>
  </w:num>
  <w:num w:numId="2">
    <w:abstractNumId w:val="0"/>
  </w:num>
  <w:num w:numId="3">
    <w:abstractNumId w:val="8"/>
  </w:num>
  <w:num w:numId="4">
    <w:abstractNumId w:val="1"/>
  </w:num>
  <w:num w:numId="5">
    <w:abstractNumId w:val="7"/>
  </w:num>
  <w:num w:numId="6">
    <w:abstractNumId w:val="3"/>
  </w:num>
  <w:num w:numId="7">
    <w:abstractNumId w:val="4"/>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TrueTypeFonts/>
  <w:saveSubsetFonts/>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VmN2Y0NTI1ZjEyMWYwODhmMjcyYzk2NDkwM2IyYzcifQ=="/>
  </w:docVars>
  <w:rsids>
    <w:rsidRoot w:val="00A14947"/>
    <w:rsid w:val="000060B3"/>
    <w:rsid w:val="0004364B"/>
    <w:rsid w:val="00061B1F"/>
    <w:rsid w:val="000733C4"/>
    <w:rsid w:val="00074783"/>
    <w:rsid w:val="00076791"/>
    <w:rsid w:val="0008070B"/>
    <w:rsid w:val="000810AC"/>
    <w:rsid w:val="00081A02"/>
    <w:rsid w:val="00082231"/>
    <w:rsid w:val="00092D38"/>
    <w:rsid w:val="0009377B"/>
    <w:rsid w:val="000A20C9"/>
    <w:rsid w:val="000B058F"/>
    <w:rsid w:val="000B1728"/>
    <w:rsid w:val="000B4467"/>
    <w:rsid w:val="000B4DB9"/>
    <w:rsid w:val="000C09AC"/>
    <w:rsid w:val="000C767F"/>
    <w:rsid w:val="000D5A44"/>
    <w:rsid w:val="000E3ED2"/>
    <w:rsid w:val="000F0F48"/>
    <w:rsid w:val="00131F42"/>
    <w:rsid w:val="00132700"/>
    <w:rsid w:val="001357F1"/>
    <w:rsid w:val="00140FA8"/>
    <w:rsid w:val="00142FEB"/>
    <w:rsid w:val="00143A2D"/>
    <w:rsid w:val="00145A41"/>
    <w:rsid w:val="00151675"/>
    <w:rsid w:val="00157435"/>
    <w:rsid w:val="0017504D"/>
    <w:rsid w:val="0017671A"/>
    <w:rsid w:val="00177422"/>
    <w:rsid w:val="001821EC"/>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716BF"/>
    <w:rsid w:val="002805AB"/>
    <w:rsid w:val="00284204"/>
    <w:rsid w:val="00291773"/>
    <w:rsid w:val="002A168C"/>
    <w:rsid w:val="002A3DC7"/>
    <w:rsid w:val="002B49E2"/>
    <w:rsid w:val="002B7B00"/>
    <w:rsid w:val="002B7C44"/>
    <w:rsid w:val="002C2B17"/>
    <w:rsid w:val="002D3DD0"/>
    <w:rsid w:val="002E1F3A"/>
    <w:rsid w:val="002E298A"/>
    <w:rsid w:val="002F717F"/>
    <w:rsid w:val="00301978"/>
    <w:rsid w:val="0030332C"/>
    <w:rsid w:val="003051C2"/>
    <w:rsid w:val="00307DEA"/>
    <w:rsid w:val="00312296"/>
    <w:rsid w:val="00314F0E"/>
    <w:rsid w:val="003208B1"/>
    <w:rsid w:val="00321D8E"/>
    <w:rsid w:val="00325928"/>
    <w:rsid w:val="00332863"/>
    <w:rsid w:val="0033684D"/>
    <w:rsid w:val="00337B42"/>
    <w:rsid w:val="00341B42"/>
    <w:rsid w:val="0034348F"/>
    <w:rsid w:val="00356653"/>
    <w:rsid w:val="0035743F"/>
    <w:rsid w:val="00357BE2"/>
    <w:rsid w:val="0036170C"/>
    <w:rsid w:val="00366E0F"/>
    <w:rsid w:val="00373BA8"/>
    <w:rsid w:val="00381A72"/>
    <w:rsid w:val="00384676"/>
    <w:rsid w:val="00390857"/>
    <w:rsid w:val="003A4BF3"/>
    <w:rsid w:val="003B420D"/>
    <w:rsid w:val="003C6C16"/>
    <w:rsid w:val="003D794D"/>
    <w:rsid w:val="003E1178"/>
    <w:rsid w:val="003E3058"/>
    <w:rsid w:val="003E76A9"/>
    <w:rsid w:val="003F0809"/>
    <w:rsid w:val="003F6A8C"/>
    <w:rsid w:val="003F755C"/>
    <w:rsid w:val="00406F01"/>
    <w:rsid w:val="00416D50"/>
    <w:rsid w:val="00416FD5"/>
    <w:rsid w:val="00417772"/>
    <w:rsid w:val="00420E6A"/>
    <w:rsid w:val="00425A1B"/>
    <w:rsid w:val="00425A9E"/>
    <w:rsid w:val="00426D6B"/>
    <w:rsid w:val="00431E6C"/>
    <w:rsid w:val="00433CE7"/>
    <w:rsid w:val="00452738"/>
    <w:rsid w:val="00456091"/>
    <w:rsid w:val="00466321"/>
    <w:rsid w:val="00484B9B"/>
    <w:rsid w:val="004855F6"/>
    <w:rsid w:val="0048661E"/>
    <w:rsid w:val="00494670"/>
    <w:rsid w:val="004A3823"/>
    <w:rsid w:val="004B6B08"/>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63909"/>
    <w:rsid w:val="005720AE"/>
    <w:rsid w:val="00594D77"/>
    <w:rsid w:val="005969E4"/>
    <w:rsid w:val="005A06B7"/>
    <w:rsid w:val="005A1759"/>
    <w:rsid w:val="005A68A7"/>
    <w:rsid w:val="005D36AB"/>
    <w:rsid w:val="00611619"/>
    <w:rsid w:val="00612345"/>
    <w:rsid w:val="006154F1"/>
    <w:rsid w:val="00617CC3"/>
    <w:rsid w:val="006377A6"/>
    <w:rsid w:val="00637A3D"/>
    <w:rsid w:val="006411EF"/>
    <w:rsid w:val="006428BB"/>
    <w:rsid w:val="006748B8"/>
    <w:rsid w:val="006775C3"/>
    <w:rsid w:val="0069290A"/>
    <w:rsid w:val="0069775A"/>
    <w:rsid w:val="00697813"/>
    <w:rsid w:val="006A3EE8"/>
    <w:rsid w:val="006A72BF"/>
    <w:rsid w:val="006B03F2"/>
    <w:rsid w:val="006B37DC"/>
    <w:rsid w:val="006B4F68"/>
    <w:rsid w:val="006B5352"/>
    <w:rsid w:val="006B59F3"/>
    <w:rsid w:val="006C0592"/>
    <w:rsid w:val="006C272E"/>
    <w:rsid w:val="006C5479"/>
    <w:rsid w:val="006C671A"/>
    <w:rsid w:val="006C7368"/>
    <w:rsid w:val="006D13B5"/>
    <w:rsid w:val="006D3C74"/>
    <w:rsid w:val="006E12FF"/>
    <w:rsid w:val="006E607E"/>
    <w:rsid w:val="00706C5D"/>
    <w:rsid w:val="00732922"/>
    <w:rsid w:val="00736D5E"/>
    <w:rsid w:val="0075162E"/>
    <w:rsid w:val="00754034"/>
    <w:rsid w:val="00756556"/>
    <w:rsid w:val="007618C4"/>
    <w:rsid w:val="00767980"/>
    <w:rsid w:val="00770B19"/>
    <w:rsid w:val="0077463F"/>
    <w:rsid w:val="007836EA"/>
    <w:rsid w:val="00784CDA"/>
    <w:rsid w:val="007906C4"/>
    <w:rsid w:val="007940EA"/>
    <w:rsid w:val="007967E8"/>
    <w:rsid w:val="00797E65"/>
    <w:rsid w:val="007A2170"/>
    <w:rsid w:val="007A22BF"/>
    <w:rsid w:val="007A3323"/>
    <w:rsid w:val="007A39DF"/>
    <w:rsid w:val="007B72B8"/>
    <w:rsid w:val="007B7A58"/>
    <w:rsid w:val="007C0F2D"/>
    <w:rsid w:val="007C21B5"/>
    <w:rsid w:val="007E4BD2"/>
    <w:rsid w:val="007F05D1"/>
    <w:rsid w:val="00801393"/>
    <w:rsid w:val="00802F88"/>
    <w:rsid w:val="0081293E"/>
    <w:rsid w:val="00815465"/>
    <w:rsid w:val="00817E9A"/>
    <w:rsid w:val="008306BD"/>
    <w:rsid w:val="00831A80"/>
    <w:rsid w:val="00832EE4"/>
    <w:rsid w:val="00833743"/>
    <w:rsid w:val="008340A4"/>
    <w:rsid w:val="00866684"/>
    <w:rsid w:val="0087135F"/>
    <w:rsid w:val="00872D94"/>
    <w:rsid w:val="00880364"/>
    <w:rsid w:val="00891592"/>
    <w:rsid w:val="00891E9E"/>
    <w:rsid w:val="008A2F68"/>
    <w:rsid w:val="008B4FA6"/>
    <w:rsid w:val="008B5282"/>
    <w:rsid w:val="008B7C17"/>
    <w:rsid w:val="008C2D01"/>
    <w:rsid w:val="008C40E6"/>
    <w:rsid w:val="008D0F7A"/>
    <w:rsid w:val="008D68E4"/>
    <w:rsid w:val="008D7F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67C0D"/>
    <w:rsid w:val="00976328"/>
    <w:rsid w:val="0097680D"/>
    <w:rsid w:val="00982438"/>
    <w:rsid w:val="0098404C"/>
    <w:rsid w:val="009849E6"/>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4947"/>
    <w:rsid w:val="00A20AF1"/>
    <w:rsid w:val="00A32A83"/>
    <w:rsid w:val="00A368DB"/>
    <w:rsid w:val="00A423AA"/>
    <w:rsid w:val="00A53EC6"/>
    <w:rsid w:val="00A55C0F"/>
    <w:rsid w:val="00A80887"/>
    <w:rsid w:val="00A85D86"/>
    <w:rsid w:val="00A8713F"/>
    <w:rsid w:val="00A90BA1"/>
    <w:rsid w:val="00A97A9A"/>
    <w:rsid w:val="00AA0671"/>
    <w:rsid w:val="00AA2531"/>
    <w:rsid w:val="00AB1E09"/>
    <w:rsid w:val="00AB5330"/>
    <w:rsid w:val="00AB7747"/>
    <w:rsid w:val="00AC14CE"/>
    <w:rsid w:val="00AC2A56"/>
    <w:rsid w:val="00AD055E"/>
    <w:rsid w:val="00AD47A7"/>
    <w:rsid w:val="00AD558A"/>
    <w:rsid w:val="00AF0CBF"/>
    <w:rsid w:val="00AF257F"/>
    <w:rsid w:val="00AF33CF"/>
    <w:rsid w:val="00AF4D50"/>
    <w:rsid w:val="00AF6179"/>
    <w:rsid w:val="00B11113"/>
    <w:rsid w:val="00B1295A"/>
    <w:rsid w:val="00B14B91"/>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D5BC1"/>
    <w:rsid w:val="00BE1405"/>
    <w:rsid w:val="00BE312D"/>
    <w:rsid w:val="00BF1C20"/>
    <w:rsid w:val="00C10578"/>
    <w:rsid w:val="00C135BC"/>
    <w:rsid w:val="00C15C95"/>
    <w:rsid w:val="00C2596A"/>
    <w:rsid w:val="00C27537"/>
    <w:rsid w:val="00C328FE"/>
    <w:rsid w:val="00C33507"/>
    <w:rsid w:val="00C339F2"/>
    <w:rsid w:val="00C4409D"/>
    <w:rsid w:val="00C44E72"/>
    <w:rsid w:val="00C45A06"/>
    <w:rsid w:val="00C47E5B"/>
    <w:rsid w:val="00C61E4B"/>
    <w:rsid w:val="00C64BFF"/>
    <w:rsid w:val="00C704E9"/>
    <w:rsid w:val="00C75166"/>
    <w:rsid w:val="00C763C9"/>
    <w:rsid w:val="00C80057"/>
    <w:rsid w:val="00C82232"/>
    <w:rsid w:val="00C82913"/>
    <w:rsid w:val="00C972B1"/>
    <w:rsid w:val="00CA2CCE"/>
    <w:rsid w:val="00CA43FD"/>
    <w:rsid w:val="00CA7EF8"/>
    <w:rsid w:val="00CC489B"/>
    <w:rsid w:val="00CD2BCD"/>
    <w:rsid w:val="00CD3A4C"/>
    <w:rsid w:val="00CD55E2"/>
    <w:rsid w:val="00CE10E9"/>
    <w:rsid w:val="00CE2910"/>
    <w:rsid w:val="00CE5393"/>
    <w:rsid w:val="00CF36BE"/>
    <w:rsid w:val="00CF6000"/>
    <w:rsid w:val="00D003F3"/>
    <w:rsid w:val="00D0364F"/>
    <w:rsid w:val="00D06834"/>
    <w:rsid w:val="00D308ED"/>
    <w:rsid w:val="00D36D86"/>
    <w:rsid w:val="00D428AA"/>
    <w:rsid w:val="00D50A34"/>
    <w:rsid w:val="00D53EFA"/>
    <w:rsid w:val="00D65314"/>
    <w:rsid w:val="00D72014"/>
    <w:rsid w:val="00D94A7C"/>
    <w:rsid w:val="00D95580"/>
    <w:rsid w:val="00D95896"/>
    <w:rsid w:val="00DB2983"/>
    <w:rsid w:val="00DC1257"/>
    <w:rsid w:val="00DC3DC0"/>
    <w:rsid w:val="00DC5B2B"/>
    <w:rsid w:val="00DD318D"/>
    <w:rsid w:val="00DF2A89"/>
    <w:rsid w:val="00DF2E12"/>
    <w:rsid w:val="00DF4D86"/>
    <w:rsid w:val="00DF514A"/>
    <w:rsid w:val="00DF6690"/>
    <w:rsid w:val="00DF6804"/>
    <w:rsid w:val="00E0358D"/>
    <w:rsid w:val="00E04323"/>
    <w:rsid w:val="00E070A2"/>
    <w:rsid w:val="00E15234"/>
    <w:rsid w:val="00E24B37"/>
    <w:rsid w:val="00E2656A"/>
    <w:rsid w:val="00E405C4"/>
    <w:rsid w:val="00E412D0"/>
    <w:rsid w:val="00E56322"/>
    <w:rsid w:val="00E60982"/>
    <w:rsid w:val="00E62C62"/>
    <w:rsid w:val="00E654C1"/>
    <w:rsid w:val="00E65D97"/>
    <w:rsid w:val="00E72A5A"/>
    <w:rsid w:val="00E73354"/>
    <w:rsid w:val="00E9242D"/>
    <w:rsid w:val="00EB5255"/>
    <w:rsid w:val="00EB5C47"/>
    <w:rsid w:val="00ED0639"/>
    <w:rsid w:val="00EF4755"/>
    <w:rsid w:val="00EF7135"/>
    <w:rsid w:val="00EF79FE"/>
    <w:rsid w:val="00F027DB"/>
    <w:rsid w:val="00F14A7A"/>
    <w:rsid w:val="00F16060"/>
    <w:rsid w:val="00F22985"/>
    <w:rsid w:val="00F3383E"/>
    <w:rsid w:val="00F37A63"/>
    <w:rsid w:val="00F465A7"/>
    <w:rsid w:val="00F50B7C"/>
    <w:rsid w:val="00F550E6"/>
    <w:rsid w:val="00F570B8"/>
    <w:rsid w:val="00F74345"/>
    <w:rsid w:val="00F80A0A"/>
    <w:rsid w:val="00F82B19"/>
    <w:rsid w:val="00F9212D"/>
    <w:rsid w:val="00F965DA"/>
    <w:rsid w:val="00FA406A"/>
    <w:rsid w:val="00FB503A"/>
    <w:rsid w:val="00FB516C"/>
    <w:rsid w:val="00FD0236"/>
    <w:rsid w:val="00FD18F4"/>
    <w:rsid w:val="00FD54DB"/>
    <w:rsid w:val="00FD619F"/>
    <w:rsid w:val="00FF71B0"/>
    <w:rsid w:val="010C6AA2"/>
    <w:rsid w:val="011E0236"/>
    <w:rsid w:val="01206785"/>
    <w:rsid w:val="01290F7E"/>
    <w:rsid w:val="01381E05"/>
    <w:rsid w:val="013B6606"/>
    <w:rsid w:val="014B025C"/>
    <w:rsid w:val="014E51C8"/>
    <w:rsid w:val="015D1E09"/>
    <w:rsid w:val="01663F2D"/>
    <w:rsid w:val="016E5167"/>
    <w:rsid w:val="017165B7"/>
    <w:rsid w:val="017D30BE"/>
    <w:rsid w:val="01983864"/>
    <w:rsid w:val="01B4363A"/>
    <w:rsid w:val="01B51D11"/>
    <w:rsid w:val="01C0753F"/>
    <w:rsid w:val="01C40DDD"/>
    <w:rsid w:val="01C83BB2"/>
    <w:rsid w:val="01DE4324"/>
    <w:rsid w:val="01EF4770"/>
    <w:rsid w:val="021477F4"/>
    <w:rsid w:val="023838FE"/>
    <w:rsid w:val="023A4BFB"/>
    <w:rsid w:val="024A0BB7"/>
    <w:rsid w:val="02594058"/>
    <w:rsid w:val="025C201D"/>
    <w:rsid w:val="02697903"/>
    <w:rsid w:val="026B04CB"/>
    <w:rsid w:val="02A02789"/>
    <w:rsid w:val="02B64C24"/>
    <w:rsid w:val="02E510C0"/>
    <w:rsid w:val="02F96569"/>
    <w:rsid w:val="02FA082F"/>
    <w:rsid w:val="02FA25DD"/>
    <w:rsid w:val="03092E78"/>
    <w:rsid w:val="030D2310"/>
    <w:rsid w:val="03237D85"/>
    <w:rsid w:val="03390524"/>
    <w:rsid w:val="035241C7"/>
    <w:rsid w:val="036A6273"/>
    <w:rsid w:val="037D188C"/>
    <w:rsid w:val="03874D2F"/>
    <w:rsid w:val="0390650F"/>
    <w:rsid w:val="03924066"/>
    <w:rsid w:val="03925EFB"/>
    <w:rsid w:val="03950126"/>
    <w:rsid w:val="039842CF"/>
    <w:rsid w:val="03A15709"/>
    <w:rsid w:val="03BD5AE4"/>
    <w:rsid w:val="03C26D87"/>
    <w:rsid w:val="03C72A16"/>
    <w:rsid w:val="03EA08A3"/>
    <w:rsid w:val="03EA7B21"/>
    <w:rsid w:val="03F550A9"/>
    <w:rsid w:val="040030AF"/>
    <w:rsid w:val="0405512E"/>
    <w:rsid w:val="04114082"/>
    <w:rsid w:val="042A6EF2"/>
    <w:rsid w:val="04343C8D"/>
    <w:rsid w:val="044D5F62"/>
    <w:rsid w:val="04C21B55"/>
    <w:rsid w:val="04D55508"/>
    <w:rsid w:val="04DF5F2E"/>
    <w:rsid w:val="04E84DE3"/>
    <w:rsid w:val="04EB0B96"/>
    <w:rsid w:val="04ED5145"/>
    <w:rsid w:val="04F45324"/>
    <w:rsid w:val="050B195C"/>
    <w:rsid w:val="05571F68"/>
    <w:rsid w:val="055D1DC7"/>
    <w:rsid w:val="05631DE1"/>
    <w:rsid w:val="056876F6"/>
    <w:rsid w:val="05705DB0"/>
    <w:rsid w:val="05733F6F"/>
    <w:rsid w:val="057546C9"/>
    <w:rsid w:val="05783516"/>
    <w:rsid w:val="057B6534"/>
    <w:rsid w:val="057E74F5"/>
    <w:rsid w:val="0584461F"/>
    <w:rsid w:val="05B36A01"/>
    <w:rsid w:val="05B64155"/>
    <w:rsid w:val="05D45367"/>
    <w:rsid w:val="05DE7504"/>
    <w:rsid w:val="05EC25E9"/>
    <w:rsid w:val="05F652DD"/>
    <w:rsid w:val="05F83EAE"/>
    <w:rsid w:val="06072EAD"/>
    <w:rsid w:val="060A2B37"/>
    <w:rsid w:val="060C68AF"/>
    <w:rsid w:val="06227295"/>
    <w:rsid w:val="063635D1"/>
    <w:rsid w:val="063E7D85"/>
    <w:rsid w:val="06423C78"/>
    <w:rsid w:val="06547E9D"/>
    <w:rsid w:val="065E1B46"/>
    <w:rsid w:val="06641326"/>
    <w:rsid w:val="06902B24"/>
    <w:rsid w:val="06A64F55"/>
    <w:rsid w:val="06A92D3A"/>
    <w:rsid w:val="06FC31AA"/>
    <w:rsid w:val="070F7784"/>
    <w:rsid w:val="0714513D"/>
    <w:rsid w:val="071D4A75"/>
    <w:rsid w:val="071F2612"/>
    <w:rsid w:val="07293586"/>
    <w:rsid w:val="07295285"/>
    <w:rsid w:val="07337DF8"/>
    <w:rsid w:val="073F0489"/>
    <w:rsid w:val="07636392"/>
    <w:rsid w:val="076F3599"/>
    <w:rsid w:val="07753EEC"/>
    <w:rsid w:val="07770C56"/>
    <w:rsid w:val="078B777B"/>
    <w:rsid w:val="078D4948"/>
    <w:rsid w:val="07A45E78"/>
    <w:rsid w:val="07B75404"/>
    <w:rsid w:val="07BC3B20"/>
    <w:rsid w:val="07F963D9"/>
    <w:rsid w:val="080C528C"/>
    <w:rsid w:val="082576B2"/>
    <w:rsid w:val="08386081"/>
    <w:rsid w:val="084545BD"/>
    <w:rsid w:val="08476520"/>
    <w:rsid w:val="08655AD8"/>
    <w:rsid w:val="087448A9"/>
    <w:rsid w:val="08752E31"/>
    <w:rsid w:val="088D7CF6"/>
    <w:rsid w:val="08B66A22"/>
    <w:rsid w:val="08FA50E4"/>
    <w:rsid w:val="09084464"/>
    <w:rsid w:val="090F0305"/>
    <w:rsid w:val="092217DD"/>
    <w:rsid w:val="09271C52"/>
    <w:rsid w:val="093A7294"/>
    <w:rsid w:val="094B3B92"/>
    <w:rsid w:val="095C2AF7"/>
    <w:rsid w:val="097D4EC4"/>
    <w:rsid w:val="0981167E"/>
    <w:rsid w:val="099B68C7"/>
    <w:rsid w:val="09BB4721"/>
    <w:rsid w:val="09D26290"/>
    <w:rsid w:val="09D54C16"/>
    <w:rsid w:val="09F73F79"/>
    <w:rsid w:val="0A0501E5"/>
    <w:rsid w:val="0A206DCD"/>
    <w:rsid w:val="0A263993"/>
    <w:rsid w:val="0A2C751F"/>
    <w:rsid w:val="0A2D3AC2"/>
    <w:rsid w:val="0A387432"/>
    <w:rsid w:val="0A3960E0"/>
    <w:rsid w:val="0A3A0556"/>
    <w:rsid w:val="0A3E3A7C"/>
    <w:rsid w:val="0A4800D1"/>
    <w:rsid w:val="0A486323"/>
    <w:rsid w:val="0AA755DF"/>
    <w:rsid w:val="0AAB0D8C"/>
    <w:rsid w:val="0AC4373D"/>
    <w:rsid w:val="0AD32091"/>
    <w:rsid w:val="0B051D0A"/>
    <w:rsid w:val="0B104782"/>
    <w:rsid w:val="0B120D44"/>
    <w:rsid w:val="0B204BAA"/>
    <w:rsid w:val="0B293ED8"/>
    <w:rsid w:val="0B377372"/>
    <w:rsid w:val="0B42151B"/>
    <w:rsid w:val="0B4412FD"/>
    <w:rsid w:val="0B4B0335"/>
    <w:rsid w:val="0B554854"/>
    <w:rsid w:val="0B654355"/>
    <w:rsid w:val="0B6653FD"/>
    <w:rsid w:val="0B845AF7"/>
    <w:rsid w:val="0B9012E1"/>
    <w:rsid w:val="0B90334B"/>
    <w:rsid w:val="0B943EC5"/>
    <w:rsid w:val="0B9532A9"/>
    <w:rsid w:val="0BA94BA0"/>
    <w:rsid w:val="0BAF5EA1"/>
    <w:rsid w:val="0BD27BF6"/>
    <w:rsid w:val="0BDC43B7"/>
    <w:rsid w:val="0C027662"/>
    <w:rsid w:val="0C105665"/>
    <w:rsid w:val="0C1617B1"/>
    <w:rsid w:val="0C1C35C4"/>
    <w:rsid w:val="0C1F5E9D"/>
    <w:rsid w:val="0C2C1BE0"/>
    <w:rsid w:val="0C3B3C7D"/>
    <w:rsid w:val="0C452C96"/>
    <w:rsid w:val="0C5511AB"/>
    <w:rsid w:val="0C796C68"/>
    <w:rsid w:val="0C7A010B"/>
    <w:rsid w:val="0C875551"/>
    <w:rsid w:val="0C9E7D53"/>
    <w:rsid w:val="0CAB2EAE"/>
    <w:rsid w:val="0CB87790"/>
    <w:rsid w:val="0CBE3393"/>
    <w:rsid w:val="0CD35DBE"/>
    <w:rsid w:val="0CE73876"/>
    <w:rsid w:val="0CEA2E76"/>
    <w:rsid w:val="0CF612B9"/>
    <w:rsid w:val="0D1338AF"/>
    <w:rsid w:val="0D417786"/>
    <w:rsid w:val="0D53546C"/>
    <w:rsid w:val="0D621C7D"/>
    <w:rsid w:val="0D8D4635"/>
    <w:rsid w:val="0D8D4779"/>
    <w:rsid w:val="0DC0667E"/>
    <w:rsid w:val="0DC555BE"/>
    <w:rsid w:val="0DC82524"/>
    <w:rsid w:val="0DC9777B"/>
    <w:rsid w:val="0DCD49A0"/>
    <w:rsid w:val="0DF447F8"/>
    <w:rsid w:val="0E016F15"/>
    <w:rsid w:val="0E0B0603"/>
    <w:rsid w:val="0E2D7D0A"/>
    <w:rsid w:val="0E3E5A73"/>
    <w:rsid w:val="0E401ABF"/>
    <w:rsid w:val="0E552DBD"/>
    <w:rsid w:val="0E667E39"/>
    <w:rsid w:val="0E6C754A"/>
    <w:rsid w:val="0E73034D"/>
    <w:rsid w:val="0EAB17DA"/>
    <w:rsid w:val="0EB85093"/>
    <w:rsid w:val="0ECF2606"/>
    <w:rsid w:val="0EDB3552"/>
    <w:rsid w:val="0EE23343"/>
    <w:rsid w:val="0F053791"/>
    <w:rsid w:val="0F0C0B8A"/>
    <w:rsid w:val="0F13775A"/>
    <w:rsid w:val="0F2C283F"/>
    <w:rsid w:val="0F305D26"/>
    <w:rsid w:val="0F5F45FE"/>
    <w:rsid w:val="0F6A70B0"/>
    <w:rsid w:val="0F77292B"/>
    <w:rsid w:val="0F7B5CB1"/>
    <w:rsid w:val="0F8E6586"/>
    <w:rsid w:val="0F977B31"/>
    <w:rsid w:val="0F9A112B"/>
    <w:rsid w:val="0FED61F1"/>
    <w:rsid w:val="0FF95DFF"/>
    <w:rsid w:val="100233F0"/>
    <w:rsid w:val="101822F4"/>
    <w:rsid w:val="1019431B"/>
    <w:rsid w:val="10236141"/>
    <w:rsid w:val="1025513D"/>
    <w:rsid w:val="105232D3"/>
    <w:rsid w:val="1054157E"/>
    <w:rsid w:val="106D2F64"/>
    <w:rsid w:val="10774B33"/>
    <w:rsid w:val="10806817"/>
    <w:rsid w:val="109700B4"/>
    <w:rsid w:val="109B53FF"/>
    <w:rsid w:val="10A36BB9"/>
    <w:rsid w:val="10B63710"/>
    <w:rsid w:val="10C35791"/>
    <w:rsid w:val="10CA3E27"/>
    <w:rsid w:val="10DD1A4C"/>
    <w:rsid w:val="10DE2C43"/>
    <w:rsid w:val="10E277C0"/>
    <w:rsid w:val="10F10820"/>
    <w:rsid w:val="11194B1F"/>
    <w:rsid w:val="111C0266"/>
    <w:rsid w:val="111C2F7A"/>
    <w:rsid w:val="113A7D7B"/>
    <w:rsid w:val="11470D07"/>
    <w:rsid w:val="11513438"/>
    <w:rsid w:val="11566C5D"/>
    <w:rsid w:val="11601D37"/>
    <w:rsid w:val="11665CA1"/>
    <w:rsid w:val="1168783A"/>
    <w:rsid w:val="116C4425"/>
    <w:rsid w:val="118B7782"/>
    <w:rsid w:val="11A71463"/>
    <w:rsid w:val="11CA185B"/>
    <w:rsid w:val="11ED3738"/>
    <w:rsid w:val="11F612D3"/>
    <w:rsid w:val="12015736"/>
    <w:rsid w:val="12086AC4"/>
    <w:rsid w:val="122A0971"/>
    <w:rsid w:val="124B4565"/>
    <w:rsid w:val="125C63C5"/>
    <w:rsid w:val="12714AF0"/>
    <w:rsid w:val="12722053"/>
    <w:rsid w:val="127C300E"/>
    <w:rsid w:val="129069FB"/>
    <w:rsid w:val="12BA2617"/>
    <w:rsid w:val="12C9796E"/>
    <w:rsid w:val="12DD6B2F"/>
    <w:rsid w:val="12E8313F"/>
    <w:rsid w:val="12F84B66"/>
    <w:rsid w:val="13082AF4"/>
    <w:rsid w:val="130B063D"/>
    <w:rsid w:val="130C206E"/>
    <w:rsid w:val="134414D6"/>
    <w:rsid w:val="13795061"/>
    <w:rsid w:val="138B7E8D"/>
    <w:rsid w:val="13951726"/>
    <w:rsid w:val="139D14BE"/>
    <w:rsid w:val="13AD4DDF"/>
    <w:rsid w:val="13C46A1B"/>
    <w:rsid w:val="13C65447"/>
    <w:rsid w:val="13C90487"/>
    <w:rsid w:val="13CF79D3"/>
    <w:rsid w:val="13DF4716"/>
    <w:rsid w:val="140E5EE8"/>
    <w:rsid w:val="142E040B"/>
    <w:rsid w:val="1439486D"/>
    <w:rsid w:val="14396509"/>
    <w:rsid w:val="144A2576"/>
    <w:rsid w:val="144D6AA8"/>
    <w:rsid w:val="14643D5A"/>
    <w:rsid w:val="148163B4"/>
    <w:rsid w:val="14980D46"/>
    <w:rsid w:val="14B24AC5"/>
    <w:rsid w:val="14CC5814"/>
    <w:rsid w:val="14DD2C3C"/>
    <w:rsid w:val="14DE1D5E"/>
    <w:rsid w:val="14F00EA9"/>
    <w:rsid w:val="14F96B98"/>
    <w:rsid w:val="151D66BC"/>
    <w:rsid w:val="15377CB8"/>
    <w:rsid w:val="155508CC"/>
    <w:rsid w:val="15604521"/>
    <w:rsid w:val="15605643"/>
    <w:rsid w:val="1597280C"/>
    <w:rsid w:val="15D94DDA"/>
    <w:rsid w:val="15DB1675"/>
    <w:rsid w:val="15E736F6"/>
    <w:rsid w:val="16087E1D"/>
    <w:rsid w:val="160B5ABA"/>
    <w:rsid w:val="16475DF0"/>
    <w:rsid w:val="16594E2E"/>
    <w:rsid w:val="16757607"/>
    <w:rsid w:val="1682452B"/>
    <w:rsid w:val="169F28F0"/>
    <w:rsid w:val="16A62408"/>
    <w:rsid w:val="16A85D33"/>
    <w:rsid w:val="16B26373"/>
    <w:rsid w:val="16B6323C"/>
    <w:rsid w:val="16C73468"/>
    <w:rsid w:val="16EF0386"/>
    <w:rsid w:val="16FF6313"/>
    <w:rsid w:val="171C49C1"/>
    <w:rsid w:val="1732013F"/>
    <w:rsid w:val="173E44B7"/>
    <w:rsid w:val="17435EA8"/>
    <w:rsid w:val="174B26CE"/>
    <w:rsid w:val="175B7696"/>
    <w:rsid w:val="17701D14"/>
    <w:rsid w:val="177126E3"/>
    <w:rsid w:val="17735226"/>
    <w:rsid w:val="177B3EF4"/>
    <w:rsid w:val="17BF6981"/>
    <w:rsid w:val="181141F9"/>
    <w:rsid w:val="1836251D"/>
    <w:rsid w:val="183A6390"/>
    <w:rsid w:val="183D4FEE"/>
    <w:rsid w:val="183F44A2"/>
    <w:rsid w:val="184C0561"/>
    <w:rsid w:val="18653EAF"/>
    <w:rsid w:val="18756535"/>
    <w:rsid w:val="1896638E"/>
    <w:rsid w:val="189F624C"/>
    <w:rsid w:val="18EB747A"/>
    <w:rsid w:val="18F97167"/>
    <w:rsid w:val="19053D5D"/>
    <w:rsid w:val="19306328"/>
    <w:rsid w:val="195C4B5C"/>
    <w:rsid w:val="195D44ED"/>
    <w:rsid w:val="19692B5E"/>
    <w:rsid w:val="19744539"/>
    <w:rsid w:val="198A4263"/>
    <w:rsid w:val="199A2CA8"/>
    <w:rsid w:val="19C1549A"/>
    <w:rsid w:val="19CC7F0D"/>
    <w:rsid w:val="19EE5FDA"/>
    <w:rsid w:val="19F53DD2"/>
    <w:rsid w:val="19FE428E"/>
    <w:rsid w:val="1A02029D"/>
    <w:rsid w:val="1A052D3E"/>
    <w:rsid w:val="1A1A0E38"/>
    <w:rsid w:val="1A1C66C0"/>
    <w:rsid w:val="1A2C1C85"/>
    <w:rsid w:val="1A3D5335"/>
    <w:rsid w:val="1A42393B"/>
    <w:rsid w:val="1A4F0D0E"/>
    <w:rsid w:val="1A541EA1"/>
    <w:rsid w:val="1A597DB2"/>
    <w:rsid w:val="1A5F2FF9"/>
    <w:rsid w:val="1A78230D"/>
    <w:rsid w:val="1A7A04CE"/>
    <w:rsid w:val="1A7A7A8A"/>
    <w:rsid w:val="1A9058A9"/>
    <w:rsid w:val="1AAD45DE"/>
    <w:rsid w:val="1ABC3B86"/>
    <w:rsid w:val="1B046F80"/>
    <w:rsid w:val="1B0E2F3E"/>
    <w:rsid w:val="1B213984"/>
    <w:rsid w:val="1B3267B5"/>
    <w:rsid w:val="1B3A7341"/>
    <w:rsid w:val="1B40161D"/>
    <w:rsid w:val="1B441859"/>
    <w:rsid w:val="1B452267"/>
    <w:rsid w:val="1B530684"/>
    <w:rsid w:val="1B647995"/>
    <w:rsid w:val="1B6606B1"/>
    <w:rsid w:val="1B667747"/>
    <w:rsid w:val="1B7E5312"/>
    <w:rsid w:val="1B830CA2"/>
    <w:rsid w:val="1B8B7F41"/>
    <w:rsid w:val="1BB03CFD"/>
    <w:rsid w:val="1BD350CC"/>
    <w:rsid w:val="1BEF4851"/>
    <w:rsid w:val="1BF4458D"/>
    <w:rsid w:val="1C3109C5"/>
    <w:rsid w:val="1C3404B6"/>
    <w:rsid w:val="1C5162DE"/>
    <w:rsid w:val="1C5E7925"/>
    <w:rsid w:val="1C76790F"/>
    <w:rsid w:val="1C8061ED"/>
    <w:rsid w:val="1C887AD8"/>
    <w:rsid w:val="1C9F475A"/>
    <w:rsid w:val="1CB533A4"/>
    <w:rsid w:val="1CC2672B"/>
    <w:rsid w:val="1CCC4C7E"/>
    <w:rsid w:val="1CD81789"/>
    <w:rsid w:val="1CDC3027"/>
    <w:rsid w:val="1CE1063D"/>
    <w:rsid w:val="1CE50760"/>
    <w:rsid w:val="1CF85987"/>
    <w:rsid w:val="1CFD070F"/>
    <w:rsid w:val="1D0B1216"/>
    <w:rsid w:val="1D303373"/>
    <w:rsid w:val="1D416D93"/>
    <w:rsid w:val="1D46041B"/>
    <w:rsid w:val="1D5B7E57"/>
    <w:rsid w:val="1D5F6196"/>
    <w:rsid w:val="1D61177E"/>
    <w:rsid w:val="1D6132A5"/>
    <w:rsid w:val="1D84721B"/>
    <w:rsid w:val="1D8E56D5"/>
    <w:rsid w:val="1D951428"/>
    <w:rsid w:val="1D9738C7"/>
    <w:rsid w:val="1DA82F09"/>
    <w:rsid w:val="1DB644D2"/>
    <w:rsid w:val="1DE777E3"/>
    <w:rsid w:val="1E1745C4"/>
    <w:rsid w:val="1E303A24"/>
    <w:rsid w:val="1E3405DB"/>
    <w:rsid w:val="1E421839"/>
    <w:rsid w:val="1E683688"/>
    <w:rsid w:val="1E782CD9"/>
    <w:rsid w:val="1E7A43DA"/>
    <w:rsid w:val="1E831280"/>
    <w:rsid w:val="1E9813BF"/>
    <w:rsid w:val="1EAE31A3"/>
    <w:rsid w:val="1EC81754"/>
    <w:rsid w:val="1EEE2A35"/>
    <w:rsid w:val="1EF30556"/>
    <w:rsid w:val="1F0035B5"/>
    <w:rsid w:val="1F026649"/>
    <w:rsid w:val="1F0B42C2"/>
    <w:rsid w:val="1F1C3BAF"/>
    <w:rsid w:val="1F1D250F"/>
    <w:rsid w:val="1F330BC9"/>
    <w:rsid w:val="1F346E90"/>
    <w:rsid w:val="1F647304"/>
    <w:rsid w:val="1F7625D2"/>
    <w:rsid w:val="1FCB4CA0"/>
    <w:rsid w:val="1FD74821"/>
    <w:rsid w:val="1FDB4836"/>
    <w:rsid w:val="1FE46D27"/>
    <w:rsid w:val="1FE6597B"/>
    <w:rsid w:val="1FE7539E"/>
    <w:rsid w:val="20013309"/>
    <w:rsid w:val="201278FD"/>
    <w:rsid w:val="202A072F"/>
    <w:rsid w:val="20390A12"/>
    <w:rsid w:val="20671BE0"/>
    <w:rsid w:val="2067667E"/>
    <w:rsid w:val="20741081"/>
    <w:rsid w:val="20880DD0"/>
    <w:rsid w:val="208C1051"/>
    <w:rsid w:val="20963CB8"/>
    <w:rsid w:val="20A81A1B"/>
    <w:rsid w:val="20B07FB6"/>
    <w:rsid w:val="20B646FB"/>
    <w:rsid w:val="20D14525"/>
    <w:rsid w:val="20D77715"/>
    <w:rsid w:val="20E20E8B"/>
    <w:rsid w:val="20E96FA1"/>
    <w:rsid w:val="21274A8D"/>
    <w:rsid w:val="213B74B1"/>
    <w:rsid w:val="214611D6"/>
    <w:rsid w:val="214B4867"/>
    <w:rsid w:val="21577185"/>
    <w:rsid w:val="215A2310"/>
    <w:rsid w:val="216B1708"/>
    <w:rsid w:val="2177331E"/>
    <w:rsid w:val="217E76CD"/>
    <w:rsid w:val="21A509AA"/>
    <w:rsid w:val="21CC25FC"/>
    <w:rsid w:val="21D277EA"/>
    <w:rsid w:val="21DE318A"/>
    <w:rsid w:val="21EB0024"/>
    <w:rsid w:val="21EF5B80"/>
    <w:rsid w:val="21FF17FF"/>
    <w:rsid w:val="220254EF"/>
    <w:rsid w:val="2222263E"/>
    <w:rsid w:val="22382AFE"/>
    <w:rsid w:val="2238734A"/>
    <w:rsid w:val="22576990"/>
    <w:rsid w:val="22596104"/>
    <w:rsid w:val="227E633A"/>
    <w:rsid w:val="22894163"/>
    <w:rsid w:val="228B2E1F"/>
    <w:rsid w:val="228C4D76"/>
    <w:rsid w:val="22B37870"/>
    <w:rsid w:val="22B56F97"/>
    <w:rsid w:val="22C500B9"/>
    <w:rsid w:val="22C7764B"/>
    <w:rsid w:val="22E74EC7"/>
    <w:rsid w:val="22F47480"/>
    <w:rsid w:val="22FD3BFC"/>
    <w:rsid w:val="2305495A"/>
    <w:rsid w:val="231A5A3D"/>
    <w:rsid w:val="23360766"/>
    <w:rsid w:val="234731C4"/>
    <w:rsid w:val="239909A8"/>
    <w:rsid w:val="239938DC"/>
    <w:rsid w:val="23A7088D"/>
    <w:rsid w:val="23AD7419"/>
    <w:rsid w:val="23CB3083"/>
    <w:rsid w:val="23CF643B"/>
    <w:rsid w:val="23D87BDB"/>
    <w:rsid w:val="23DE1C48"/>
    <w:rsid w:val="23E8020A"/>
    <w:rsid w:val="23F1604D"/>
    <w:rsid w:val="23FE4910"/>
    <w:rsid w:val="23FE7B40"/>
    <w:rsid w:val="240210CD"/>
    <w:rsid w:val="24223821"/>
    <w:rsid w:val="24264B88"/>
    <w:rsid w:val="243639E6"/>
    <w:rsid w:val="24521B35"/>
    <w:rsid w:val="24783A57"/>
    <w:rsid w:val="247F15B3"/>
    <w:rsid w:val="24A81A41"/>
    <w:rsid w:val="24BF09F7"/>
    <w:rsid w:val="24C0046D"/>
    <w:rsid w:val="24E856F4"/>
    <w:rsid w:val="24E92945"/>
    <w:rsid w:val="24EA69D8"/>
    <w:rsid w:val="25030FF9"/>
    <w:rsid w:val="25035346"/>
    <w:rsid w:val="250824DF"/>
    <w:rsid w:val="25253091"/>
    <w:rsid w:val="252D53FE"/>
    <w:rsid w:val="252E1F46"/>
    <w:rsid w:val="254445D2"/>
    <w:rsid w:val="254E25E8"/>
    <w:rsid w:val="25500A8A"/>
    <w:rsid w:val="2551334E"/>
    <w:rsid w:val="25573287"/>
    <w:rsid w:val="258366AA"/>
    <w:rsid w:val="25902C01"/>
    <w:rsid w:val="25985BC5"/>
    <w:rsid w:val="25A60D52"/>
    <w:rsid w:val="25CE3729"/>
    <w:rsid w:val="25D30144"/>
    <w:rsid w:val="25EC2D81"/>
    <w:rsid w:val="25F66D8D"/>
    <w:rsid w:val="26025181"/>
    <w:rsid w:val="2605293D"/>
    <w:rsid w:val="260577F6"/>
    <w:rsid w:val="26062E84"/>
    <w:rsid w:val="261C10E7"/>
    <w:rsid w:val="261E2712"/>
    <w:rsid w:val="262B4D19"/>
    <w:rsid w:val="26313BD4"/>
    <w:rsid w:val="26415CA9"/>
    <w:rsid w:val="26432642"/>
    <w:rsid w:val="2647124D"/>
    <w:rsid w:val="265A6D6B"/>
    <w:rsid w:val="26756C8F"/>
    <w:rsid w:val="26854CAF"/>
    <w:rsid w:val="26A20476"/>
    <w:rsid w:val="26E23CE9"/>
    <w:rsid w:val="26E24D0E"/>
    <w:rsid w:val="2704037D"/>
    <w:rsid w:val="271611CC"/>
    <w:rsid w:val="272717CB"/>
    <w:rsid w:val="273138D2"/>
    <w:rsid w:val="273B6B9C"/>
    <w:rsid w:val="27556634"/>
    <w:rsid w:val="2755685C"/>
    <w:rsid w:val="2767173F"/>
    <w:rsid w:val="277057A2"/>
    <w:rsid w:val="27720B88"/>
    <w:rsid w:val="27790766"/>
    <w:rsid w:val="279F6EB3"/>
    <w:rsid w:val="27B16E5E"/>
    <w:rsid w:val="27C1491E"/>
    <w:rsid w:val="27E22271"/>
    <w:rsid w:val="27E45486"/>
    <w:rsid w:val="27ED0B8E"/>
    <w:rsid w:val="27EE1633"/>
    <w:rsid w:val="280D31BC"/>
    <w:rsid w:val="2819439A"/>
    <w:rsid w:val="281F46C9"/>
    <w:rsid w:val="283A6C75"/>
    <w:rsid w:val="28595319"/>
    <w:rsid w:val="28702875"/>
    <w:rsid w:val="28781CD4"/>
    <w:rsid w:val="28973D59"/>
    <w:rsid w:val="28986846"/>
    <w:rsid w:val="289A52DB"/>
    <w:rsid w:val="28E05DB2"/>
    <w:rsid w:val="28E515DB"/>
    <w:rsid w:val="28E76140"/>
    <w:rsid w:val="28E9722D"/>
    <w:rsid w:val="29027CC9"/>
    <w:rsid w:val="29206EB8"/>
    <w:rsid w:val="2922038C"/>
    <w:rsid w:val="29565F0F"/>
    <w:rsid w:val="29595666"/>
    <w:rsid w:val="29600B3C"/>
    <w:rsid w:val="29613A86"/>
    <w:rsid w:val="29676B5B"/>
    <w:rsid w:val="297A2A69"/>
    <w:rsid w:val="29874881"/>
    <w:rsid w:val="299457AC"/>
    <w:rsid w:val="29B33F27"/>
    <w:rsid w:val="29B36F8B"/>
    <w:rsid w:val="29C037A2"/>
    <w:rsid w:val="29C04B6A"/>
    <w:rsid w:val="29C63095"/>
    <w:rsid w:val="29D83210"/>
    <w:rsid w:val="29E325E0"/>
    <w:rsid w:val="2A0E1EBD"/>
    <w:rsid w:val="2A18664A"/>
    <w:rsid w:val="2A3D3BAF"/>
    <w:rsid w:val="2A452503"/>
    <w:rsid w:val="2A4B5348"/>
    <w:rsid w:val="2A4E6BE6"/>
    <w:rsid w:val="2A780832"/>
    <w:rsid w:val="2A816D12"/>
    <w:rsid w:val="2A841E1C"/>
    <w:rsid w:val="2A871192"/>
    <w:rsid w:val="2A905451"/>
    <w:rsid w:val="2A986DA1"/>
    <w:rsid w:val="2AA90C53"/>
    <w:rsid w:val="2AB43EB5"/>
    <w:rsid w:val="2AD24514"/>
    <w:rsid w:val="2AF00EAA"/>
    <w:rsid w:val="2AF36B65"/>
    <w:rsid w:val="2B0100FD"/>
    <w:rsid w:val="2B0E5051"/>
    <w:rsid w:val="2B167569"/>
    <w:rsid w:val="2B1967FA"/>
    <w:rsid w:val="2B296CDD"/>
    <w:rsid w:val="2B2F4D53"/>
    <w:rsid w:val="2B455BA7"/>
    <w:rsid w:val="2B7775F8"/>
    <w:rsid w:val="2B801021"/>
    <w:rsid w:val="2B84641F"/>
    <w:rsid w:val="2B890EF5"/>
    <w:rsid w:val="2B980A61"/>
    <w:rsid w:val="2B9C508B"/>
    <w:rsid w:val="2BA6665E"/>
    <w:rsid w:val="2BA87BAE"/>
    <w:rsid w:val="2BA936A8"/>
    <w:rsid w:val="2BB312CB"/>
    <w:rsid w:val="2BC52ED8"/>
    <w:rsid w:val="2BD475A2"/>
    <w:rsid w:val="2BE00FF4"/>
    <w:rsid w:val="2BE02720"/>
    <w:rsid w:val="2BE07B38"/>
    <w:rsid w:val="2BE25C4C"/>
    <w:rsid w:val="2BF45F76"/>
    <w:rsid w:val="2BFA7717"/>
    <w:rsid w:val="2C005827"/>
    <w:rsid w:val="2C08482A"/>
    <w:rsid w:val="2C092691"/>
    <w:rsid w:val="2C0C53AA"/>
    <w:rsid w:val="2C1125C1"/>
    <w:rsid w:val="2C212368"/>
    <w:rsid w:val="2C2F1C2A"/>
    <w:rsid w:val="2C3047F6"/>
    <w:rsid w:val="2C315A5A"/>
    <w:rsid w:val="2C3C5124"/>
    <w:rsid w:val="2C3D6F12"/>
    <w:rsid w:val="2C435A30"/>
    <w:rsid w:val="2C4B1C25"/>
    <w:rsid w:val="2C50780E"/>
    <w:rsid w:val="2C5142E7"/>
    <w:rsid w:val="2C833FC9"/>
    <w:rsid w:val="2C892C47"/>
    <w:rsid w:val="2C9E487F"/>
    <w:rsid w:val="2CA1098F"/>
    <w:rsid w:val="2CBA0563"/>
    <w:rsid w:val="2CC82C80"/>
    <w:rsid w:val="2CEF795B"/>
    <w:rsid w:val="2D092E1E"/>
    <w:rsid w:val="2D1C121E"/>
    <w:rsid w:val="2D241E80"/>
    <w:rsid w:val="2D260A57"/>
    <w:rsid w:val="2D3B4618"/>
    <w:rsid w:val="2D413DF8"/>
    <w:rsid w:val="2D4E6373"/>
    <w:rsid w:val="2D61544B"/>
    <w:rsid w:val="2D616C31"/>
    <w:rsid w:val="2D823677"/>
    <w:rsid w:val="2D90332F"/>
    <w:rsid w:val="2D9C6103"/>
    <w:rsid w:val="2D9D7CD9"/>
    <w:rsid w:val="2D9E56F5"/>
    <w:rsid w:val="2DC20E2F"/>
    <w:rsid w:val="2DF34445"/>
    <w:rsid w:val="2DF83A39"/>
    <w:rsid w:val="2E0C58E9"/>
    <w:rsid w:val="2E285593"/>
    <w:rsid w:val="2E46767B"/>
    <w:rsid w:val="2E506691"/>
    <w:rsid w:val="2E516F47"/>
    <w:rsid w:val="2E5549E7"/>
    <w:rsid w:val="2E6242C5"/>
    <w:rsid w:val="2E667F96"/>
    <w:rsid w:val="2E8226AB"/>
    <w:rsid w:val="2E89643F"/>
    <w:rsid w:val="2E9A4AF0"/>
    <w:rsid w:val="2EC44023"/>
    <w:rsid w:val="2ED66669"/>
    <w:rsid w:val="2EDD14B3"/>
    <w:rsid w:val="2EDD1F54"/>
    <w:rsid w:val="2EF37D5C"/>
    <w:rsid w:val="2F1D178C"/>
    <w:rsid w:val="2F857742"/>
    <w:rsid w:val="2FB21DCA"/>
    <w:rsid w:val="2FBD7DC2"/>
    <w:rsid w:val="2FC248AE"/>
    <w:rsid w:val="2FCF2577"/>
    <w:rsid w:val="2FD065E6"/>
    <w:rsid w:val="2FD96870"/>
    <w:rsid w:val="2FDB0F1C"/>
    <w:rsid w:val="2FE92862"/>
    <w:rsid w:val="2FEF49C8"/>
    <w:rsid w:val="2FF83BCD"/>
    <w:rsid w:val="302944CE"/>
    <w:rsid w:val="302A134B"/>
    <w:rsid w:val="303B42D4"/>
    <w:rsid w:val="3055520D"/>
    <w:rsid w:val="30580BC9"/>
    <w:rsid w:val="30683179"/>
    <w:rsid w:val="307A6139"/>
    <w:rsid w:val="30A36E0A"/>
    <w:rsid w:val="30A71CA7"/>
    <w:rsid w:val="30F30C9A"/>
    <w:rsid w:val="30FC60C6"/>
    <w:rsid w:val="3103451C"/>
    <w:rsid w:val="310A4390"/>
    <w:rsid w:val="311C7A3E"/>
    <w:rsid w:val="311E2ED7"/>
    <w:rsid w:val="31251DCD"/>
    <w:rsid w:val="312532B1"/>
    <w:rsid w:val="313C6DF5"/>
    <w:rsid w:val="315619EE"/>
    <w:rsid w:val="315A40C3"/>
    <w:rsid w:val="315C449C"/>
    <w:rsid w:val="31792C8B"/>
    <w:rsid w:val="319F7EDB"/>
    <w:rsid w:val="31A024CE"/>
    <w:rsid w:val="31A1294A"/>
    <w:rsid w:val="31AF08B2"/>
    <w:rsid w:val="31B82709"/>
    <w:rsid w:val="31C07A24"/>
    <w:rsid w:val="31D05482"/>
    <w:rsid w:val="31D22E2B"/>
    <w:rsid w:val="32081D71"/>
    <w:rsid w:val="32286055"/>
    <w:rsid w:val="32400B34"/>
    <w:rsid w:val="328A09D8"/>
    <w:rsid w:val="329E6876"/>
    <w:rsid w:val="32EB1A90"/>
    <w:rsid w:val="32EC3440"/>
    <w:rsid w:val="33003FF0"/>
    <w:rsid w:val="3305317D"/>
    <w:rsid w:val="33180CDC"/>
    <w:rsid w:val="33276347"/>
    <w:rsid w:val="332B5D17"/>
    <w:rsid w:val="333015F2"/>
    <w:rsid w:val="333669F0"/>
    <w:rsid w:val="333705A5"/>
    <w:rsid w:val="334B6320"/>
    <w:rsid w:val="334F1631"/>
    <w:rsid w:val="33542F18"/>
    <w:rsid w:val="33545084"/>
    <w:rsid w:val="335C670C"/>
    <w:rsid w:val="337A0A4C"/>
    <w:rsid w:val="33843679"/>
    <w:rsid w:val="338762F1"/>
    <w:rsid w:val="339935C8"/>
    <w:rsid w:val="33BB353F"/>
    <w:rsid w:val="33D53ED4"/>
    <w:rsid w:val="33D934D4"/>
    <w:rsid w:val="33E22FCC"/>
    <w:rsid w:val="33E26471"/>
    <w:rsid w:val="33FE2F6A"/>
    <w:rsid w:val="340E07E5"/>
    <w:rsid w:val="34235BF7"/>
    <w:rsid w:val="342A2472"/>
    <w:rsid w:val="34432DA3"/>
    <w:rsid w:val="345219A6"/>
    <w:rsid w:val="34687BEB"/>
    <w:rsid w:val="34764ABA"/>
    <w:rsid w:val="347C0FF2"/>
    <w:rsid w:val="34AD3AFA"/>
    <w:rsid w:val="34BC2E5A"/>
    <w:rsid w:val="34E2335D"/>
    <w:rsid w:val="34F30AB6"/>
    <w:rsid w:val="34FE61E6"/>
    <w:rsid w:val="35010925"/>
    <w:rsid w:val="35165311"/>
    <w:rsid w:val="35185A01"/>
    <w:rsid w:val="351B1DBB"/>
    <w:rsid w:val="351D225C"/>
    <w:rsid w:val="35213875"/>
    <w:rsid w:val="352C3FC8"/>
    <w:rsid w:val="353D6D58"/>
    <w:rsid w:val="354237EC"/>
    <w:rsid w:val="3546508A"/>
    <w:rsid w:val="354E03E2"/>
    <w:rsid w:val="35586B6B"/>
    <w:rsid w:val="35641D77"/>
    <w:rsid w:val="358160C2"/>
    <w:rsid w:val="358C5FA8"/>
    <w:rsid w:val="35C15DF1"/>
    <w:rsid w:val="35C368D3"/>
    <w:rsid w:val="35E87F40"/>
    <w:rsid w:val="35E94AF3"/>
    <w:rsid w:val="35F33357"/>
    <w:rsid w:val="36074A7F"/>
    <w:rsid w:val="360F21EB"/>
    <w:rsid w:val="36154A5C"/>
    <w:rsid w:val="361B45FE"/>
    <w:rsid w:val="361D5AB9"/>
    <w:rsid w:val="36611F8E"/>
    <w:rsid w:val="36691205"/>
    <w:rsid w:val="367D2D2D"/>
    <w:rsid w:val="36816F3F"/>
    <w:rsid w:val="36923549"/>
    <w:rsid w:val="369E01F6"/>
    <w:rsid w:val="36B75FBF"/>
    <w:rsid w:val="36BD0C45"/>
    <w:rsid w:val="36C9705A"/>
    <w:rsid w:val="36D113FD"/>
    <w:rsid w:val="36E00321"/>
    <w:rsid w:val="36ED049F"/>
    <w:rsid w:val="36EF34FF"/>
    <w:rsid w:val="3700570C"/>
    <w:rsid w:val="37193119"/>
    <w:rsid w:val="372C6A30"/>
    <w:rsid w:val="37367638"/>
    <w:rsid w:val="373807A2"/>
    <w:rsid w:val="373E6E97"/>
    <w:rsid w:val="375F3EA3"/>
    <w:rsid w:val="376637C1"/>
    <w:rsid w:val="376A1827"/>
    <w:rsid w:val="3772660A"/>
    <w:rsid w:val="37B704C1"/>
    <w:rsid w:val="37D10B53"/>
    <w:rsid w:val="37E00298"/>
    <w:rsid w:val="381403C1"/>
    <w:rsid w:val="3825542A"/>
    <w:rsid w:val="382D7AE6"/>
    <w:rsid w:val="384E5C6F"/>
    <w:rsid w:val="385B52F0"/>
    <w:rsid w:val="38765C9C"/>
    <w:rsid w:val="387F4BE8"/>
    <w:rsid w:val="38962237"/>
    <w:rsid w:val="38966328"/>
    <w:rsid w:val="38970D9F"/>
    <w:rsid w:val="38A00F55"/>
    <w:rsid w:val="38A064A6"/>
    <w:rsid w:val="38A83112"/>
    <w:rsid w:val="38AF1198"/>
    <w:rsid w:val="38B302F9"/>
    <w:rsid w:val="38BD1FC6"/>
    <w:rsid w:val="38C913A9"/>
    <w:rsid w:val="38CE5288"/>
    <w:rsid w:val="38CE5AC2"/>
    <w:rsid w:val="38E635D7"/>
    <w:rsid w:val="38ED44C0"/>
    <w:rsid w:val="38F12CD3"/>
    <w:rsid w:val="38F94775"/>
    <w:rsid w:val="39136D12"/>
    <w:rsid w:val="392971ED"/>
    <w:rsid w:val="392F160F"/>
    <w:rsid w:val="39325651"/>
    <w:rsid w:val="39365415"/>
    <w:rsid w:val="395F4958"/>
    <w:rsid w:val="39632B51"/>
    <w:rsid w:val="39730417"/>
    <w:rsid w:val="397F5EEC"/>
    <w:rsid w:val="39C37DFC"/>
    <w:rsid w:val="39DB19BC"/>
    <w:rsid w:val="39EE7E77"/>
    <w:rsid w:val="39F666B2"/>
    <w:rsid w:val="39FD2A00"/>
    <w:rsid w:val="39FF3A59"/>
    <w:rsid w:val="3A0379ED"/>
    <w:rsid w:val="3A23021F"/>
    <w:rsid w:val="3A24767B"/>
    <w:rsid w:val="3A3000B7"/>
    <w:rsid w:val="3A322D0B"/>
    <w:rsid w:val="3A347ECE"/>
    <w:rsid w:val="3A380991"/>
    <w:rsid w:val="3A514773"/>
    <w:rsid w:val="3A543DA5"/>
    <w:rsid w:val="3A672A3B"/>
    <w:rsid w:val="3A723BCD"/>
    <w:rsid w:val="3A7C32FC"/>
    <w:rsid w:val="3A872856"/>
    <w:rsid w:val="3A8D37E8"/>
    <w:rsid w:val="3AA306D5"/>
    <w:rsid w:val="3ACA49F8"/>
    <w:rsid w:val="3ACC4587"/>
    <w:rsid w:val="3AD275C6"/>
    <w:rsid w:val="3AE940DF"/>
    <w:rsid w:val="3AEB77F5"/>
    <w:rsid w:val="3AEE244B"/>
    <w:rsid w:val="3AF143FE"/>
    <w:rsid w:val="3B106CFD"/>
    <w:rsid w:val="3B126998"/>
    <w:rsid w:val="3B243559"/>
    <w:rsid w:val="3B3232CB"/>
    <w:rsid w:val="3B365BA1"/>
    <w:rsid w:val="3B3763D1"/>
    <w:rsid w:val="3B3A54C9"/>
    <w:rsid w:val="3B7266C3"/>
    <w:rsid w:val="3B883498"/>
    <w:rsid w:val="3B9F54F4"/>
    <w:rsid w:val="3BA30A67"/>
    <w:rsid w:val="3BC1190E"/>
    <w:rsid w:val="3BC25381"/>
    <w:rsid w:val="3BE21884"/>
    <w:rsid w:val="3BF2716B"/>
    <w:rsid w:val="3BF36F35"/>
    <w:rsid w:val="3BFD4D3E"/>
    <w:rsid w:val="3C0D6901"/>
    <w:rsid w:val="3C2C5FFC"/>
    <w:rsid w:val="3C2F6E1E"/>
    <w:rsid w:val="3C4C3631"/>
    <w:rsid w:val="3C4F64BA"/>
    <w:rsid w:val="3C972066"/>
    <w:rsid w:val="3C9B73FC"/>
    <w:rsid w:val="3CB0460B"/>
    <w:rsid w:val="3CBA629F"/>
    <w:rsid w:val="3CC07567"/>
    <w:rsid w:val="3CDA245A"/>
    <w:rsid w:val="3CFE77F8"/>
    <w:rsid w:val="3D151117"/>
    <w:rsid w:val="3D197528"/>
    <w:rsid w:val="3D1E06B7"/>
    <w:rsid w:val="3D2C2DB7"/>
    <w:rsid w:val="3D3B2FFA"/>
    <w:rsid w:val="3D3D4FC4"/>
    <w:rsid w:val="3D404023"/>
    <w:rsid w:val="3D532A3A"/>
    <w:rsid w:val="3D561294"/>
    <w:rsid w:val="3D632CE3"/>
    <w:rsid w:val="3D665724"/>
    <w:rsid w:val="3D7A05B7"/>
    <w:rsid w:val="3D7B1A05"/>
    <w:rsid w:val="3D7C385C"/>
    <w:rsid w:val="3DAA237B"/>
    <w:rsid w:val="3DBC5D43"/>
    <w:rsid w:val="3DE34EC0"/>
    <w:rsid w:val="3DE56CF0"/>
    <w:rsid w:val="3DEC39FB"/>
    <w:rsid w:val="3E0E1DBF"/>
    <w:rsid w:val="3E295495"/>
    <w:rsid w:val="3E756985"/>
    <w:rsid w:val="3E78222B"/>
    <w:rsid w:val="3E796F6B"/>
    <w:rsid w:val="3E7E5894"/>
    <w:rsid w:val="3EA93A1C"/>
    <w:rsid w:val="3EB524C3"/>
    <w:rsid w:val="3EC05946"/>
    <w:rsid w:val="3EC05EAD"/>
    <w:rsid w:val="3EDA0523"/>
    <w:rsid w:val="3EDB2CE7"/>
    <w:rsid w:val="3EEC6CA2"/>
    <w:rsid w:val="3EF67B21"/>
    <w:rsid w:val="3EF94F1B"/>
    <w:rsid w:val="3F03703A"/>
    <w:rsid w:val="3F0F473E"/>
    <w:rsid w:val="3F3348D1"/>
    <w:rsid w:val="3F392CE3"/>
    <w:rsid w:val="3F44216F"/>
    <w:rsid w:val="3F4A6543"/>
    <w:rsid w:val="3F77673D"/>
    <w:rsid w:val="3F91269C"/>
    <w:rsid w:val="3F987513"/>
    <w:rsid w:val="3FAD5A88"/>
    <w:rsid w:val="3FB35F57"/>
    <w:rsid w:val="3FC10108"/>
    <w:rsid w:val="3FF54374"/>
    <w:rsid w:val="3FFA3833"/>
    <w:rsid w:val="40170111"/>
    <w:rsid w:val="40410A4B"/>
    <w:rsid w:val="404C681F"/>
    <w:rsid w:val="407A6407"/>
    <w:rsid w:val="409746D1"/>
    <w:rsid w:val="409C22E1"/>
    <w:rsid w:val="40DE781C"/>
    <w:rsid w:val="40ED68EB"/>
    <w:rsid w:val="40FF039C"/>
    <w:rsid w:val="41043A38"/>
    <w:rsid w:val="410D3456"/>
    <w:rsid w:val="41281AE7"/>
    <w:rsid w:val="412A3AAF"/>
    <w:rsid w:val="415515C5"/>
    <w:rsid w:val="415827A8"/>
    <w:rsid w:val="41633AB9"/>
    <w:rsid w:val="416713DE"/>
    <w:rsid w:val="41A90D4C"/>
    <w:rsid w:val="41B9630E"/>
    <w:rsid w:val="41D34149"/>
    <w:rsid w:val="41ED196F"/>
    <w:rsid w:val="41EF3F81"/>
    <w:rsid w:val="4200449D"/>
    <w:rsid w:val="4202058A"/>
    <w:rsid w:val="423A3BCC"/>
    <w:rsid w:val="423B10CB"/>
    <w:rsid w:val="423C2613"/>
    <w:rsid w:val="424E57D2"/>
    <w:rsid w:val="42633D4A"/>
    <w:rsid w:val="42667D88"/>
    <w:rsid w:val="427207E0"/>
    <w:rsid w:val="428365DA"/>
    <w:rsid w:val="428C691E"/>
    <w:rsid w:val="429A2D5A"/>
    <w:rsid w:val="42B26C49"/>
    <w:rsid w:val="42D5537C"/>
    <w:rsid w:val="42E859D2"/>
    <w:rsid w:val="42FE51F6"/>
    <w:rsid w:val="42FF5C04"/>
    <w:rsid w:val="430770A8"/>
    <w:rsid w:val="430A0904"/>
    <w:rsid w:val="43120CA1"/>
    <w:rsid w:val="43132AF9"/>
    <w:rsid w:val="43155B01"/>
    <w:rsid w:val="431C742A"/>
    <w:rsid w:val="433A6FE6"/>
    <w:rsid w:val="434150E2"/>
    <w:rsid w:val="4346589E"/>
    <w:rsid w:val="43480868"/>
    <w:rsid w:val="434F77FF"/>
    <w:rsid w:val="4350713C"/>
    <w:rsid w:val="435369F4"/>
    <w:rsid w:val="435E3EE6"/>
    <w:rsid w:val="436653E0"/>
    <w:rsid w:val="43667309"/>
    <w:rsid w:val="43676302"/>
    <w:rsid w:val="43845623"/>
    <w:rsid w:val="43A77E7D"/>
    <w:rsid w:val="43C4431A"/>
    <w:rsid w:val="43C732BE"/>
    <w:rsid w:val="43CE1D9C"/>
    <w:rsid w:val="43CF0940"/>
    <w:rsid w:val="43CF6E8A"/>
    <w:rsid w:val="43D877F5"/>
    <w:rsid w:val="43D94760"/>
    <w:rsid w:val="43E02B4D"/>
    <w:rsid w:val="43F90DE1"/>
    <w:rsid w:val="441D6AB2"/>
    <w:rsid w:val="44263CD2"/>
    <w:rsid w:val="4427077C"/>
    <w:rsid w:val="44292970"/>
    <w:rsid w:val="44354A36"/>
    <w:rsid w:val="443C25DF"/>
    <w:rsid w:val="44497A21"/>
    <w:rsid w:val="446948F1"/>
    <w:rsid w:val="44A10D67"/>
    <w:rsid w:val="44A51D91"/>
    <w:rsid w:val="44B85A80"/>
    <w:rsid w:val="44B951CC"/>
    <w:rsid w:val="44C35DB6"/>
    <w:rsid w:val="44C46D4D"/>
    <w:rsid w:val="44CD14E0"/>
    <w:rsid w:val="44CE2438"/>
    <w:rsid w:val="44E963D6"/>
    <w:rsid w:val="44F20B0B"/>
    <w:rsid w:val="44F54F3D"/>
    <w:rsid w:val="45036AF3"/>
    <w:rsid w:val="450E5498"/>
    <w:rsid w:val="45151C47"/>
    <w:rsid w:val="4523692E"/>
    <w:rsid w:val="452E5F4C"/>
    <w:rsid w:val="45325128"/>
    <w:rsid w:val="45612018"/>
    <w:rsid w:val="45612C48"/>
    <w:rsid w:val="456F0C00"/>
    <w:rsid w:val="45726501"/>
    <w:rsid w:val="45727BE8"/>
    <w:rsid w:val="457D0C01"/>
    <w:rsid w:val="458946E9"/>
    <w:rsid w:val="45976A42"/>
    <w:rsid w:val="4598201E"/>
    <w:rsid w:val="45A47C0E"/>
    <w:rsid w:val="45AA2264"/>
    <w:rsid w:val="45AA7FC1"/>
    <w:rsid w:val="45BD27D3"/>
    <w:rsid w:val="45C50B81"/>
    <w:rsid w:val="45C86144"/>
    <w:rsid w:val="45E13F1A"/>
    <w:rsid w:val="46012F69"/>
    <w:rsid w:val="460551AF"/>
    <w:rsid w:val="4645313C"/>
    <w:rsid w:val="46577B79"/>
    <w:rsid w:val="46577FD6"/>
    <w:rsid w:val="46595E92"/>
    <w:rsid w:val="46713F31"/>
    <w:rsid w:val="467A2DE5"/>
    <w:rsid w:val="468A0B4E"/>
    <w:rsid w:val="46A00123"/>
    <w:rsid w:val="46AD54FD"/>
    <w:rsid w:val="46B336FC"/>
    <w:rsid w:val="46BF536D"/>
    <w:rsid w:val="46D955A7"/>
    <w:rsid w:val="47133957"/>
    <w:rsid w:val="471E5E67"/>
    <w:rsid w:val="474224CC"/>
    <w:rsid w:val="476D3C22"/>
    <w:rsid w:val="478662DD"/>
    <w:rsid w:val="47906638"/>
    <w:rsid w:val="479B74B7"/>
    <w:rsid w:val="47A07E0C"/>
    <w:rsid w:val="47A1720A"/>
    <w:rsid w:val="47A64DC3"/>
    <w:rsid w:val="47AA288F"/>
    <w:rsid w:val="47AF48BB"/>
    <w:rsid w:val="47B73EFD"/>
    <w:rsid w:val="47BC3A2B"/>
    <w:rsid w:val="47C3256A"/>
    <w:rsid w:val="47CA16E7"/>
    <w:rsid w:val="47D41B1E"/>
    <w:rsid w:val="47F72214"/>
    <w:rsid w:val="480C2163"/>
    <w:rsid w:val="48136314"/>
    <w:rsid w:val="4815616C"/>
    <w:rsid w:val="482A4205"/>
    <w:rsid w:val="48307B5F"/>
    <w:rsid w:val="483250A1"/>
    <w:rsid w:val="48462CD8"/>
    <w:rsid w:val="48601E3B"/>
    <w:rsid w:val="4870272E"/>
    <w:rsid w:val="48743864"/>
    <w:rsid w:val="489E5968"/>
    <w:rsid w:val="48C3299C"/>
    <w:rsid w:val="48C627D8"/>
    <w:rsid w:val="48D55B61"/>
    <w:rsid w:val="48D9232A"/>
    <w:rsid w:val="49296771"/>
    <w:rsid w:val="493655BB"/>
    <w:rsid w:val="493B4929"/>
    <w:rsid w:val="4983649D"/>
    <w:rsid w:val="498D1AF4"/>
    <w:rsid w:val="49AE06D5"/>
    <w:rsid w:val="49BB5BEF"/>
    <w:rsid w:val="49CB7322"/>
    <w:rsid w:val="49CD074B"/>
    <w:rsid w:val="49DC7715"/>
    <w:rsid w:val="49EE308B"/>
    <w:rsid w:val="49EF08ED"/>
    <w:rsid w:val="49F17862"/>
    <w:rsid w:val="49FC1546"/>
    <w:rsid w:val="4A023139"/>
    <w:rsid w:val="4A234C70"/>
    <w:rsid w:val="4A5F2FD8"/>
    <w:rsid w:val="4A6358AE"/>
    <w:rsid w:val="4A7706F0"/>
    <w:rsid w:val="4A7B576F"/>
    <w:rsid w:val="4A8561FD"/>
    <w:rsid w:val="4AAD1D61"/>
    <w:rsid w:val="4AB3185C"/>
    <w:rsid w:val="4AC4326E"/>
    <w:rsid w:val="4AD71C35"/>
    <w:rsid w:val="4ADF11D0"/>
    <w:rsid w:val="4AE44DAD"/>
    <w:rsid w:val="4AF561A9"/>
    <w:rsid w:val="4B103D18"/>
    <w:rsid w:val="4B105AC6"/>
    <w:rsid w:val="4B221C9D"/>
    <w:rsid w:val="4B257D30"/>
    <w:rsid w:val="4B286278"/>
    <w:rsid w:val="4B313B3C"/>
    <w:rsid w:val="4B337685"/>
    <w:rsid w:val="4B3D5D65"/>
    <w:rsid w:val="4B577B99"/>
    <w:rsid w:val="4B5C34FB"/>
    <w:rsid w:val="4B7A6980"/>
    <w:rsid w:val="4B7C0A01"/>
    <w:rsid w:val="4B81595F"/>
    <w:rsid w:val="4B857F7F"/>
    <w:rsid w:val="4B9E1324"/>
    <w:rsid w:val="4BC362C7"/>
    <w:rsid w:val="4BC53F0A"/>
    <w:rsid w:val="4BD303BE"/>
    <w:rsid w:val="4BD96800"/>
    <w:rsid w:val="4BE508F4"/>
    <w:rsid w:val="4C001FDF"/>
    <w:rsid w:val="4C0328C8"/>
    <w:rsid w:val="4C0C5FEB"/>
    <w:rsid w:val="4C1A71C6"/>
    <w:rsid w:val="4C45311B"/>
    <w:rsid w:val="4C465518"/>
    <w:rsid w:val="4C4A0649"/>
    <w:rsid w:val="4C4C1269"/>
    <w:rsid w:val="4C5639AD"/>
    <w:rsid w:val="4C6D0F23"/>
    <w:rsid w:val="4C6E7B9B"/>
    <w:rsid w:val="4C7E5ECA"/>
    <w:rsid w:val="4C867E3A"/>
    <w:rsid w:val="4C876AA5"/>
    <w:rsid w:val="4C9D6467"/>
    <w:rsid w:val="4CAB04FF"/>
    <w:rsid w:val="4CB536CA"/>
    <w:rsid w:val="4CC37188"/>
    <w:rsid w:val="4CDB0356"/>
    <w:rsid w:val="4CDD47CD"/>
    <w:rsid w:val="4CEB4880"/>
    <w:rsid w:val="4CF75AB0"/>
    <w:rsid w:val="4D0010B3"/>
    <w:rsid w:val="4D0D7153"/>
    <w:rsid w:val="4D0E00FB"/>
    <w:rsid w:val="4D1670CF"/>
    <w:rsid w:val="4D176606"/>
    <w:rsid w:val="4D3913F0"/>
    <w:rsid w:val="4D3D1012"/>
    <w:rsid w:val="4D720FAF"/>
    <w:rsid w:val="4D7F1A8D"/>
    <w:rsid w:val="4DB1135F"/>
    <w:rsid w:val="4DB809B8"/>
    <w:rsid w:val="4DCB5B9A"/>
    <w:rsid w:val="4DE17BEE"/>
    <w:rsid w:val="4DEC4FB0"/>
    <w:rsid w:val="4E075D8A"/>
    <w:rsid w:val="4E436FA3"/>
    <w:rsid w:val="4E51106F"/>
    <w:rsid w:val="4E535DA5"/>
    <w:rsid w:val="4E725CD8"/>
    <w:rsid w:val="4E77515F"/>
    <w:rsid w:val="4E9214FF"/>
    <w:rsid w:val="4E9516B3"/>
    <w:rsid w:val="4EB73492"/>
    <w:rsid w:val="4EBD5A47"/>
    <w:rsid w:val="4EC00FAD"/>
    <w:rsid w:val="4EC643AE"/>
    <w:rsid w:val="4EC92B5C"/>
    <w:rsid w:val="4ECF226F"/>
    <w:rsid w:val="4EF6335E"/>
    <w:rsid w:val="4F1D4C56"/>
    <w:rsid w:val="4F245FE4"/>
    <w:rsid w:val="4F350FA2"/>
    <w:rsid w:val="4F3D02C6"/>
    <w:rsid w:val="4F495A4B"/>
    <w:rsid w:val="4F5543EF"/>
    <w:rsid w:val="4F6675D7"/>
    <w:rsid w:val="4F673E58"/>
    <w:rsid w:val="4F6A10FC"/>
    <w:rsid w:val="4F7C0EA2"/>
    <w:rsid w:val="4F966346"/>
    <w:rsid w:val="4F9843DC"/>
    <w:rsid w:val="4F991798"/>
    <w:rsid w:val="4FA04F65"/>
    <w:rsid w:val="4FA5093E"/>
    <w:rsid w:val="4FB01626"/>
    <w:rsid w:val="4FC62A8C"/>
    <w:rsid w:val="4FD42688"/>
    <w:rsid w:val="4FD56388"/>
    <w:rsid w:val="4FE20F0D"/>
    <w:rsid w:val="4FE51552"/>
    <w:rsid w:val="4FFE376F"/>
    <w:rsid w:val="501E141C"/>
    <w:rsid w:val="50217141"/>
    <w:rsid w:val="502838B2"/>
    <w:rsid w:val="502D711A"/>
    <w:rsid w:val="503E7336"/>
    <w:rsid w:val="50504C4B"/>
    <w:rsid w:val="505810D6"/>
    <w:rsid w:val="50715259"/>
    <w:rsid w:val="507D06BC"/>
    <w:rsid w:val="5083607B"/>
    <w:rsid w:val="509727E6"/>
    <w:rsid w:val="50992D6A"/>
    <w:rsid w:val="509C6E7C"/>
    <w:rsid w:val="50C41547"/>
    <w:rsid w:val="50D4718B"/>
    <w:rsid w:val="50E67EBC"/>
    <w:rsid w:val="51144B92"/>
    <w:rsid w:val="511E7BE2"/>
    <w:rsid w:val="51217243"/>
    <w:rsid w:val="512426A8"/>
    <w:rsid w:val="5126111F"/>
    <w:rsid w:val="51346287"/>
    <w:rsid w:val="514E7348"/>
    <w:rsid w:val="51523233"/>
    <w:rsid w:val="51604803"/>
    <w:rsid w:val="5162104E"/>
    <w:rsid w:val="516E78A5"/>
    <w:rsid w:val="51932EE3"/>
    <w:rsid w:val="51A11B6E"/>
    <w:rsid w:val="51BB75A6"/>
    <w:rsid w:val="51C031C7"/>
    <w:rsid w:val="520261F3"/>
    <w:rsid w:val="522956BF"/>
    <w:rsid w:val="522E0BC7"/>
    <w:rsid w:val="52306A4E"/>
    <w:rsid w:val="5237602E"/>
    <w:rsid w:val="523C1CEA"/>
    <w:rsid w:val="524341E6"/>
    <w:rsid w:val="524F5788"/>
    <w:rsid w:val="52641D31"/>
    <w:rsid w:val="527C1C93"/>
    <w:rsid w:val="5284461E"/>
    <w:rsid w:val="528A6B69"/>
    <w:rsid w:val="529174E4"/>
    <w:rsid w:val="5293302F"/>
    <w:rsid w:val="5294522F"/>
    <w:rsid w:val="52991C32"/>
    <w:rsid w:val="52A50EB4"/>
    <w:rsid w:val="52C8312A"/>
    <w:rsid w:val="52DC6BD6"/>
    <w:rsid w:val="52E54BDE"/>
    <w:rsid w:val="532D3E77"/>
    <w:rsid w:val="532F2E1B"/>
    <w:rsid w:val="53421CF5"/>
    <w:rsid w:val="53530C46"/>
    <w:rsid w:val="535B7135"/>
    <w:rsid w:val="538363CD"/>
    <w:rsid w:val="538928BA"/>
    <w:rsid w:val="53A039CC"/>
    <w:rsid w:val="53A1505A"/>
    <w:rsid w:val="53AA181D"/>
    <w:rsid w:val="53B4574E"/>
    <w:rsid w:val="53BC1F5B"/>
    <w:rsid w:val="53C26599"/>
    <w:rsid w:val="53C527F2"/>
    <w:rsid w:val="53DA4EC3"/>
    <w:rsid w:val="53DB365B"/>
    <w:rsid w:val="53E126F6"/>
    <w:rsid w:val="53E866DE"/>
    <w:rsid w:val="54063E08"/>
    <w:rsid w:val="540A51E2"/>
    <w:rsid w:val="54111A03"/>
    <w:rsid w:val="541175E7"/>
    <w:rsid w:val="541B69C8"/>
    <w:rsid w:val="54240834"/>
    <w:rsid w:val="542B6622"/>
    <w:rsid w:val="543319E0"/>
    <w:rsid w:val="5433514C"/>
    <w:rsid w:val="543437E8"/>
    <w:rsid w:val="544D0940"/>
    <w:rsid w:val="544F75C9"/>
    <w:rsid w:val="5454111A"/>
    <w:rsid w:val="54766100"/>
    <w:rsid w:val="54901A26"/>
    <w:rsid w:val="54A121DA"/>
    <w:rsid w:val="54D04AA5"/>
    <w:rsid w:val="54DB3872"/>
    <w:rsid w:val="54E92C1D"/>
    <w:rsid w:val="54EA382C"/>
    <w:rsid w:val="54EA3E76"/>
    <w:rsid w:val="54F73313"/>
    <w:rsid w:val="54F80955"/>
    <w:rsid w:val="54FA67E8"/>
    <w:rsid w:val="54FE0100"/>
    <w:rsid w:val="55231484"/>
    <w:rsid w:val="55246880"/>
    <w:rsid w:val="552503C0"/>
    <w:rsid w:val="552A7B27"/>
    <w:rsid w:val="553424B0"/>
    <w:rsid w:val="555170A7"/>
    <w:rsid w:val="55570796"/>
    <w:rsid w:val="55643A30"/>
    <w:rsid w:val="5587536D"/>
    <w:rsid w:val="558B1EA3"/>
    <w:rsid w:val="559B174B"/>
    <w:rsid w:val="55A7171D"/>
    <w:rsid w:val="55B300C2"/>
    <w:rsid w:val="55BF71C8"/>
    <w:rsid w:val="55CB34F6"/>
    <w:rsid w:val="55CE0CF4"/>
    <w:rsid w:val="55D04B10"/>
    <w:rsid w:val="55D17D7A"/>
    <w:rsid w:val="55DF3C13"/>
    <w:rsid w:val="55EA21A0"/>
    <w:rsid w:val="55FB37F2"/>
    <w:rsid w:val="560426CB"/>
    <w:rsid w:val="561125FF"/>
    <w:rsid w:val="56132E30"/>
    <w:rsid w:val="56262642"/>
    <w:rsid w:val="563F39B0"/>
    <w:rsid w:val="5647080A"/>
    <w:rsid w:val="564822B6"/>
    <w:rsid w:val="564A7A0F"/>
    <w:rsid w:val="568E6834"/>
    <w:rsid w:val="56905D0D"/>
    <w:rsid w:val="569862EE"/>
    <w:rsid w:val="569B536F"/>
    <w:rsid w:val="56A22D0B"/>
    <w:rsid w:val="56B22A9C"/>
    <w:rsid w:val="56B60D75"/>
    <w:rsid w:val="56C05E90"/>
    <w:rsid w:val="56C34BB0"/>
    <w:rsid w:val="56C45C43"/>
    <w:rsid w:val="56CC769E"/>
    <w:rsid w:val="56ED0093"/>
    <w:rsid w:val="56F049FE"/>
    <w:rsid w:val="56F72230"/>
    <w:rsid w:val="56F91B04"/>
    <w:rsid w:val="57136B04"/>
    <w:rsid w:val="57195CAE"/>
    <w:rsid w:val="57323272"/>
    <w:rsid w:val="573478FD"/>
    <w:rsid w:val="577E64AD"/>
    <w:rsid w:val="57B72A76"/>
    <w:rsid w:val="57C3426C"/>
    <w:rsid w:val="57CE1F93"/>
    <w:rsid w:val="57D17D48"/>
    <w:rsid w:val="57E207EA"/>
    <w:rsid w:val="58067C5B"/>
    <w:rsid w:val="581666E6"/>
    <w:rsid w:val="581B4B72"/>
    <w:rsid w:val="58212803"/>
    <w:rsid w:val="582C7CB7"/>
    <w:rsid w:val="5842572D"/>
    <w:rsid w:val="58492617"/>
    <w:rsid w:val="585216EC"/>
    <w:rsid w:val="587B4C3C"/>
    <w:rsid w:val="58800581"/>
    <w:rsid w:val="58822EDA"/>
    <w:rsid w:val="588743D1"/>
    <w:rsid w:val="5887701A"/>
    <w:rsid w:val="588834ED"/>
    <w:rsid w:val="588D13F0"/>
    <w:rsid w:val="588E0972"/>
    <w:rsid w:val="58B9584B"/>
    <w:rsid w:val="58BC403F"/>
    <w:rsid w:val="58D826A5"/>
    <w:rsid w:val="58DD270A"/>
    <w:rsid w:val="58DF4BC1"/>
    <w:rsid w:val="58E6430A"/>
    <w:rsid w:val="58E95689"/>
    <w:rsid w:val="58EB0C84"/>
    <w:rsid w:val="58F25BB3"/>
    <w:rsid w:val="58F846B0"/>
    <w:rsid w:val="591945DC"/>
    <w:rsid w:val="59310989"/>
    <w:rsid w:val="595A2637"/>
    <w:rsid w:val="59657925"/>
    <w:rsid w:val="598B1D5A"/>
    <w:rsid w:val="59A451CF"/>
    <w:rsid w:val="59B5373E"/>
    <w:rsid w:val="59BB12F3"/>
    <w:rsid w:val="59C03771"/>
    <w:rsid w:val="59C0439F"/>
    <w:rsid w:val="59E545C2"/>
    <w:rsid w:val="59E56E68"/>
    <w:rsid w:val="59E720E8"/>
    <w:rsid w:val="59FD7B5D"/>
    <w:rsid w:val="5A387BF2"/>
    <w:rsid w:val="5A4E03B9"/>
    <w:rsid w:val="5A575A98"/>
    <w:rsid w:val="5A70071E"/>
    <w:rsid w:val="5A9348BF"/>
    <w:rsid w:val="5AB67D4B"/>
    <w:rsid w:val="5ABE2233"/>
    <w:rsid w:val="5AC15C29"/>
    <w:rsid w:val="5ACB4AE8"/>
    <w:rsid w:val="5ADD173D"/>
    <w:rsid w:val="5AE36AE2"/>
    <w:rsid w:val="5AE96334"/>
    <w:rsid w:val="5AEC3080"/>
    <w:rsid w:val="5B003110"/>
    <w:rsid w:val="5B0A0CEB"/>
    <w:rsid w:val="5B0C126A"/>
    <w:rsid w:val="5B1E5FDD"/>
    <w:rsid w:val="5B307ABF"/>
    <w:rsid w:val="5B3221AA"/>
    <w:rsid w:val="5B365467"/>
    <w:rsid w:val="5B465534"/>
    <w:rsid w:val="5B4932F8"/>
    <w:rsid w:val="5B497D43"/>
    <w:rsid w:val="5B4E7AF9"/>
    <w:rsid w:val="5B717A16"/>
    <w:rsid w:val="5B7B455C"/>
    <w:rsid w:val="5B8B1199"/>
    <w:rsid w:val="5B9A2E5E"/>
    <w:rsid w:val="5BB46F2C"/>
    <w:rsid w:val="5BB72FCE"/>
    <w:rsid w:val="5BDF5D95"/>
    <w:rsid w:val="5BF614F5"/>
    <w:rsid w:val="5BFE7528"/>
    <w:rsid w:val="5C2E5C34"/>
    <w:rsid w:val="5C352544"/>
    <w:rsid w:val="5C3B671B"/>
    <w:rsid w:val="5C480FC7"/>
    <w:rsid w:val="5C545A2F"/>
    <w:rsid w:val="5C574B9D"/>
    <w:rsid w:val="5C6A7466"/>
    <w:rsid w:val="5C6F20A3"/>
    <w:rsid w:val="5C7C5CB0"/>
    <w:rsid w:val="5C877BB2"/>
    <w:rsid w:val="5C9D1589"/>
    <w:rsid w:val="5CAD50CD"/>
    <w:rsid w:val="5CC77811"/>
    <w:rsid w:val="5CCE3A33"/>
    <w:rsid w:val="5CE943C9"/>
    <w:rsid w:val="5CF26176"/>
    <w:rsid w:val="5D191BCA"/>
    <w:rsid w:val="5D1A4582"/>
    <w:rsid w:val="5D1E7677"/>
    <w:rsid w:val="5D246271"/>
    <w:rsid w:val="5D6748AD"/>
    <w:rsid w:val="5D6D71A2"/>
    <w:rsid w:val="5D7642E8"/>
    <w:rsid w:val="5D826F40"/>
    <w:rsid w:val="5DC674F9"/>
    <w:rsid w:val="5DEA03F9"/>
    <w:rsid w:val="5DFE299E"/>
    <w:rsid w:val="5E0243DB"/>
    <w:rsid w:val="5E2418F8"/>
    <w:rsid w:val="5E2467F1"/>
    <w:rsid w:val="5E280F21"/>
    <w:rsid w:val="5E2F095C"/>
    <w:rsid w:val="5E3730AA"/>
    <w:rsid w:val="5E380F69"/>
    <w:rsid w:val="5E527CAA"/>
    <w:rsid w:val="5E5462E9"/>
    <w:rsid w:val="5E745F14"/>
    <w:rsid w:val="5EA25A6C"/>
    <w:rsid w:val="5EB91190"/>
    <w:rsid w:val="5EC01A02"/>
    <w:rsid w:val="5EC62C14"/>
    <w:rsid w:val="5EE017FC"/>
    <w:rsid w:val="5EED459E"/>
    <w:rsid w:val="5EFB1913"/>
    <w:rsid w:val="5F0C3DF0"/>
    <w:rsid w:val="5F1120FD"/>
    <w:rsid w:val="5F1A2B43"/>
    <w:rsid w:val="5F385194"/>
    <w:rsid w:val="5F3A77AA"/>
    <w:rsid w:val="5F452AC5"/>
    <w:rsid w:val="5F5521EA"/>
    <w:rsid w:val="5F8A2C4A"/>
    <w:rsid w:val="5FA534F1"/>
    <w:rsid w:val="5FB837BB"/>
    <w:rsid w:val="5FCF3D4A"/>
    <w:rsid w:val="5FD80675"/>
    <w:rsid w:val="5FDB32F6"/>
    <w:rsid w:val="5FEA5B66"/>
    <w:rsid w:val="5FF753C6"/>
    <w:rsid w:val="5FFD763D"/>
    <w:rsid w:val="60022C10"/>
    <w:rsid w:val="602B5861"/>
    <w:rsid w:val="60347181"/>
    <w:rsid w:val="603A6BC2"/>
    <w:rsid w:val="604069F6"/>
    <w:rsid w:val="60411687"/>
    <w:rsid w:val="6054424F"/>
    <w:rsid w:val="605F5C61"/>
    <w:rsid w:val="60AF1486"/>
    <w:rsid w:val="60CC405A"/>
    <w:rsid w:val="60DD45B9"/>
    <w:rsid w:val="60EC545D"/>
    <w:rsid w:val="60EE0200"/>
    <w:rsid w:val="60F2087F"/>
    <w:rsid w:val="61162E26"/>
    <w:rsid w:val="61203EB2"/>
    <w:rsid w:val="612E4DB4"/>
    <w:rsid w:val="61360B96"/>
    <w:rsid w:val="6145208E"/>
    <w:rsid w:val="614764C6"/>
    <w:rsid w:val="615F07B1"/>
    <w:rsid w:val="617B7270"/>
    <w:rsid w:val="617F7B47"/>
    <w:rsid w:val="618F5ACE"/>
    <w:rsid w:val="61CE17AB"/>
    <w:rsid w:val="61D65365"/>
    <w:rsid w:val="61DA2DBA"/>
    <w:rsid w:val="61E215D8"/>
    <w:rsid w:val="61EA3B4A"/>
    <w:rsid w:val="62107E15"/>
    <w:rsid w:val="6215580D"/>
    <w:rsid w:val="621B3775"/>
    <w:rsid w:val="62364782"/>
    <w:rsid w:val="624F3629"/>
    <w:rsid w:val="628232F6"/>
    <w:rsid w:val="62967C44"/>
    <w:rsid w:val="62A161A3"/>
    <w:rsid w:val="62A70A25"/>
    <w:rsid w:val="62D352FF"/>
    <w:rsid w:val="62E96EA8"/>
    <w:rsid w:val="631070BF"/>
    <w:rsid w:val="63181564"/>
    <w:rsid w:val="632F68AE"/>
    <w:rsid w:val="634C14A6"/>
    <w:rsid w:val="63522B22"/>
    <w:rsid w:val="635618CD"/>
    <w:rsid w:val="636342E3"/>
    <w:rsid w:val="6381131E"/>
    <w:rsid w:val="638A22F3"/>
    <w:rsid w:val="63916CE9"/>
    <w:rsid w:val="6394356A"/>
    <w:rsid w:val="639A466F"/>
    <w:rsid w:val="63A7417D"/>
    <w:rsid w:val="63C61B2C"/>
    <w:rsid w:val="63D40BE9"/>
    <w:rsid w:val="63E36016"/>
    <w:rsid w:val="63F976AC"/>
    <w:rsid w:val="64082A9F"/>
    <w:rsid w:val="64102431"/>
    <w:rsid w:val="6410588B"/>
    <w:rsid w:val="641275EE"/>
    <w:rsid w:val="642D1423"/>
    <w:rsid w:val="643836EB"/>
    <w:rsid w:val="64547099"/>
    <w:rsid w:val="6469462E"/>
    <w:rsid w:val="64721A81"/>
    <w:rsid w:val="647C1FC7"/>
    <w:rsid w:val="648D4ADC"/>
    <w:rsid w:val="649769E0"/>
    <w:rsid w:val="64A226A9"/>
    <w:rsid w:val="64A5243A"/>
    <w:rsid w:val="64B8221E"/>
    <w:rsid w:val="64BB489D"/>
    <w:rsid w:val="64D21BE7"/>
    <w:rsid w:val="64F531DE"/>
    <w:rsid w:val="6509150E"/>
    <w:rsid w:val="65093EA2"/>
    <w:rsid w:val="653024B1"/>
    <w:rsid w:val="65307892"/>
    <w:rsid w:val="65373578"/>
    <w:rsid w:val="65392417"/>
    <w:rsid w:val="655D7702"/>
    <w:rsid w:val="65826070"/>
    <w:rsid w:val="6589116B"/>
    <w:rsid w:val="65C65843"/>
    <w:rsid w:val="65CE1E4C"/>
    <w:rsid w:val="65DA6C14"/>
    <w:rsid w:val="65DB0A87"/>
    <w:rsid w:val="65ED687A"/>
    <w:rsid w:val="65F71A96"/>
    <w:rsid w:val="660D52D7"/>
    <w:rsid w:val="66192E2E"/>
    <w:rsid w:val="661E4592"/>
    <w:rsid w:val="662C6BF1"/>
    <w:rsid w:val="66434ABF"/>
    <w:rsid w:val="66524D8D"/>
    <w:rsid w:val="666F593F"/>
    <w:rsid w:val="668301D7"/>
    <w:rsid w:val="669316FB"/>
    <w:rsid w:val="66A82BFF"/>
    <w:rsid w:val="66AB75B4"/>
    <w:rsid w:val="66BE68C6"/>
    <w:rsid w:val="66D32372"/>
    <w:rsid w:val="66DB2FD4"/>
    <w:rsid w:val="66E61551"/>
    <w:rsid w:val="66F85001"/>
    <w:rsid w:val="66FC396D"/>
    <w:rsid w:val="670A604C"/>
    <w:rsid w:val="6717373B"/>
    <w:rsid w:val="671C22A3"/>
    <w:rsid w:val="671F124A"/>
    <w:rsid w:val="67241824"/>
    <w:rsid w:val="672F586B"/>
    <w:rsid w:val="67323462"/>
    <w:rsid w:val="67373237"/>
    <w:rsid w:val="67455539"/>
    <w:rsid w:val="67717495"/>
    <w:rsid w:val="677A33C6"/>
    <w:rsid w:val="6799749C"/>
    <w:rsid w:val="67A23AF2"/>
    <w:rsid w:val="67C24DD2"/>
    <w:rsid w:val="67EE0AE5"/>
    <w:rsid w:val="67FF2CF3"/>
    <w:rsid w:val="68104BA3"/>
    <w:rsid w:val="681D6B78"/>
    <w:rsid w:val="681F6961"/>
    <w:rsid w:val="683010FE"/>
    <w:rsid w:val="68376930"/>
    <w:rsid w:val="68542CF4"/>
    <w:rsid w:val="68610A2F"/>
    <w:rsid w:val="68635448"/>
    <w:rsid w:val="687A55C4"/>
    <w:rsid w:val="68805514"/>
    <w:rsid w:val="68927925"/>
    <w:rsid w:val="689E3663"/>
    <w:rsid w:val="68AB2E7A"/>
    <w:rsid w:val="68C301C4"/>
    <w:rsid w:val="68C55CEA"/>
    <w:rsid w:val="68DB72BC"/>
    <w:rsid w:val="68EF4566"/>
    <w:rsid w:val="690717AF"/>
    <w:rsid w:val="690C756B"/>
    <w:rsid w:val="69143F4D"/>
    <w:rsid w:val="691866B0"/>
    <w:rsid w:val="691E53FA"/>
    <w:rsid w:val="69266DC4"/>
    <w:rsid w:val="69280027"/>
    <w:rsid w:val="69316E2F"/>
    <w:rsid w:val="69317325"/>
    <w:rsid w:val="69366BE8"/>
    <w:rsid w:val="694E2071"/>
    <w:rsid w:val="69766163"/>
    <w:rsid w:val="697A3B33"/>
    <w:rsid w:val="697C1618"/>
    <w:rsid w:val="697F21B0"/>
    <w:rsid w:val="69831701"/>
    <w:rsid w:val="69A41DA4"/>
    <w:rsid w:val="69C40AE2"/>
    <w:rsid w:val="69D26867"/>
    <w:rsid w:val="69D44760"/>
    <w:rsid w:val="6A1629FD"/>
    <w:rsid w:val="6A183EA0"/>
    <w:rsid w:val="6A2C4482"/>
    <w:rsid w:val="6A4C6952"/>
    <w:rsid w:val="6A520EC7"/>
    <w:rsid w:val="6AA6609A"/>
    <w:rsid w:val="6AAD708E"/>
    <w:rsid w:val="6AB26C14"/>
    <w:rsid w:val="6AB60EFD"/>
    <w:rsid w:val="6AD9782B"/>
    <w:rsid w:val="6AE52674"/>
    <w:rsid w:val="6AF20E87"/>
    <w:rsid w:val="6AF87E20"/>
    <w:rsid w:val="6B0F5943"/>
    <w:rsid w:val="6B2632B7"/>
    <w:rsid w:val="6B273DB0"/>
    <w:rsid w:val="6B322639"/>
    <w:rsid w:val="6B35049E"/>
    <w:rsid w:val="6B6A2B79"/>
    <w:rsid w:val="6B8F78CB"/>
    <w:rsid w:val="6BAA7419"/>
    <w:rsid w:val="6BB051EB"/>
    <w:rsid w:val="6BC3209C"/>
    <w:rsid w:val="6BE1670A"/>
    <w:rsid w:val="6C031B05"/>
    <w:rsid w:val="6C355C46"/>
    <w:rsid w:val="6C372A72"/>
    <w:rsid w:val="6C3867D3"/>
    <w:rsid w:val="6C3F4006"/>
    <w:rsid w:val="6C54688B"/>
    <w:rsid w:val="6C636C38"/>
    <w:rsid w:val="6CC75EF8"/>
    <w:rsid w:val="6CC94459"/>
    <w:rsid w:val="6CDD57EF"/>
    <w:rsid w:val="6CE70CC2"/>
    <w:rsid w:val="6CE81FA7"/>
    <w:rsid w:val="6D161047"/>
    <w:rsid w:val="6D1624B9"/>
    <w:rsid w:val="6D317DF2"/>
    <w:rsid w:val="6D325918"/>
    <w:rsid w:val="6D390225"/>
    <w:rsid w:val="6D480C98"/>
    <w:rsid w:val="6D603E22"/>
    <w:rsid w:val="6D6F2312"/>
    <w:rsid w:val="6D8E38AC"/>
    <w:rsid w:val="6DB24ECA"/>
    <w:rsid w:val="6DB34098"/>
    <w:rsid w:val="6DB545B6"/>
    <w:rsid w:val="6DC90725"/>
    <w:rsid w:val="6DE02FB4"/>
    <w:rsid w:val="6DF04B07"/>
    <w:rsid w:val="6DFF1FE3"/>
    <w:rsid w:val="6E0666CC"/>
    <w:rsid w:val="6E073E0E"/>
    <w:rsid w:val="6E104F5B"/>
    <w:rsid w:val="6E26547D"/>
    <w:rsid w:val="6E2B2A93"/>
    <w:rsid w:val="6E4D2C74"/>
    <w:rsid w:val="6E4E761C"/>
    <w:rsid w:val="6E514CED"/>
    <w:rsid w:val="6E713BD5"/>
    <w:rsid w:val="6E8E4DD0"/>
    <w:rsid w:val="6EB563D5"/>
    <w:rsid w:val="6ED92677"/>
    <w:rsid w:val="6EE63AB0"/>
    <w:rsid w:val="6EFF774D"/>
    <w:rsid w:val="6F0A6CFC"/>
    <w:rsid w:val="6F225983"/>
    <w:rsid w:val="6F286FD3"/>
    <w:rsid w:val="6F3F1919"/>
    <w:rsid w:val="6F4638FD"/>
    <w:rsid w:val="6F466607"/>
    <w:rsid w:val="6F516A80"/>
    <w:rsid w:val="6F526BC2"/>
    <w:rsid w:val="6F547584"/>
    <w:rsid w:val="6F5759DB"/>
    <w:rsid w:val="6F666903"/>
    <w:rsid w:val="6F81769B"/>
    <w:rsid w:val="6F8D6E36"/>
    <w:rsid w:val="6F9121B4"/>
    <w:rsid w:val="6F982E07"/>
    <w:rsid w:val="6FA16A8F"/>
    <w:rsid w:val="6FAD069E"/>
    <w:rsid w:val="6FB3379D"/>
    <w:rsid w:val="6FDE1E67"/>
    <w:rsid w:val="6FED7F71"/>
    <w:rsid w:val="6FF46EB5"/>
    <w:rsid w:val="6FFC5590"/>
    <w:rsid w:val="70001540"/>
    <w:rsid w:val="701757D9"/>
    <w:rsid w:val="703A5210"/>
    <w:rsid w:val="70433998"/>
    <w:rsid w:val="705C33D8"/>
    <w:rsid w:val="706A4EA1"/>
    <w:rsid w:val="706D1DD0"/>
    <w:rsid w:val="7075295E"/>
    <w:rsid w:val="708026AF"/>
    <w:rsid w:val="70856B87"/>
    <w:rsid w:val="70A15B5A"/>
    <w:rsid w:val="70A845F4"/>
    <w:rsid w:val="70AA1108"/>
    <w:rsid w:val="70B93ED9"/>
    <w:rsid w:val="70D527EE"/>
    <w:rsid w:val="70E32348"/>
    <w:rsid w:val="70ED2282"/>
    <w:rsid w:val="71110CB3"/>
    <w:rsid w:val="71186BD3"/>
    <w:rsid w:val="71191189"/>
    <w:rsid w:val="71196545"/>
    <w:rsid w:val="712E26DA"/>
    <w:rsid w:val="71316B5E"/>
    <w:rsid w:val="7133758D"/>
    <w:rsid w:val="71381023"/>
    <w:rsid w:val="71492D20"/>
    <w:rsid w:val="715907AF"/>
    <w:rsid w:val="715B5300"/>
    <w:rsid w:val="71BE172F"/>
    <w:rsid w:val="71C50B09"/>
    <w:rsid w:val="71D27F8A"/>
    <w:rsid w:val="71DD46FF"/>
    <w:rsid w:val="721138F2"/>
    <w:rsid w:val="72494297"/>
    <w:rsid w:val="724E50A7"/>
    <w:rsid w:val="72553024"/>
    <w:rsid w:val="725774CF"/>
    <w:rsid w:val="726522EC"/>
    <w:rsid w:val="72874010"/>
    <w:rsid w:val="729B7ABC"/>
    <w:rsid w:val="72B92290"/>
    <w:rsid w:val="72BE098D"/>
    <w:rsid w:val="72BE206B"/>
    <w:rsid w:val="72C139C6"/>
    <w:rsid w:val="72CA12EF"/>
    <w:rsid w:val="72CC003C"/>
    <w:rsid w:val="72D03C09"/>
    <w:rsid w:val="72D15FC0"/>
    <w:rsid w:val="72E24E72"/>
    <w:rsid w:val="73122968"/>
    <w:rsid w:val="731576A6"/>
    <w:rsid w:val="7318413C"/>
    <w:rsid w:val="731F5D5E"/>
    <w:rsid w:val="7329331A"/>
    <w:rsid w:val="73306456"/>
    <w:rsid w:val="73306E0A"/>
    <w:rsid w:val="73332859"/>
    <w:rsid w:val="73353A6C"/>
    <w:rsid w:val="733E1540"/>
    <w:rsid w:val="734C6026"/>
    <w:rsid w:val="73697BBA"/>
    <w:rsid w:val="736E6F7E"/>
    <w:rsid w:val="7370365B"/>
    <w:rsid w:val="737A27C2"/>
    <w:rsid w:val="737F1BBC"/>
    <w:rsid w:val="739349F7"/>
    <w:rsid w:val="739C1D3D"/>
    <w:rsid w:val="739F2009"/>
    <w:rsid w:val="73A34E7A"/>
    <w:rsid w:val="73A47E3F"/>
    <w:rsid w:val="73AA53F8"/>
    <w:rsid w:val="73C51AD5"/>
    <w:rsid w:val="73C64095"/>
    <w:rsid w:val="73DB7E3D"/>
    <w:rsid w:val="73E2136B"/>
    <w:rsid w:val="74106D2A"/>
    <w:rsid w:val="74130252"/>
    <w:rsid w:val="74164695"/>
    <w:rsid w:val="741E793C"/>
    <w:rsid w:val="7428537F"/>
    <w:rsid w:val="74485A21"/>
    <w:rsid w:val="744A1799"/>
    <w:rsid w:val="744F6F60"/>
    <w:rsid w:val="74535B51"/>
    <w:rsid w:val="745B415B"/>
    <w:rsid w:val="745E3944"/>
    <w:rsid w:val="74640AAD"/>
    <w:rsid w:val="747B1BB4"/>
    <w:rsid w:val="748F53FE"/>
    <w:rsid w:val="74AD7D39"/>
    <w:rsid w:val="74BA0634"/>
    <w:rsid w:val="74BF1F78"/>
    <w:rsid w:val="74DF6C09"/>
    <w:rsid w:val="74E42CE0"/>
    <w:rsid w:val="74F730DF"/>
    <w:rsid w:val="74F82FA3"/>
    <w:rsid w:val="750516E8"/>
    <w:rsid w:val="751A116C"/>
    <w:rsid w:val="75243164"/>
    <w:rsid w:val="75287D2D"/>
    <w:rsid w:val="75377F70"/>
    <w:rsid w:val="753940AB"/>
    <w:rsid w:val="75571002"/>
    <w:rsid w:val="75630D65"/>
    <w:rsid w:val="75727288"/>
    <w:rsid w:val="7589213B"/>
    <w:rsid w:val="7592164A"/>
    <w:rsid w:val="759C33D8"/>
    <w:rsid w:val="75B275F6"/>
    <w:rsid w:val="75B769B0"/>
    <w:rsid w:val="75C47881"/>
    <w:rsid w:val="75F33A6E"/>
    <w:rsid w:val="75FC6AC3"/>
    <w:rsid w:val="7635099D"/>
    <w:rsid w:val="763936E1"/>
    <w:rsid w:val="764465BB"/>
    <w:rsid w:val="766C1E28"/>
    <w:rsid w:val="76735812"/>
    <w:rsid w:val="76752398"/>
    <w:rsid w:val="76793371"/>
    <w:rsid w:val="76A827A7"/>
    <w:rsid w:val="76AB1662"/>
    <w:rsid w:val="76AC6E14"/>
    <w:rsid w:val="76B949B4"/>
    <w:rsid w:val="76C46904"/>
    <w:rsid w:val="76C900EE"/>
    <w:rsid w:val="76DB51E8"/>
    <w:rsid w:val="76DD06A3"/>
    <w:rsid w:val="76E445E1"/>
    <w:rsid w:val="76E669C0"/>
    <w:rsid w:val="76FD0D45"/>
    <w:rsid w:val="77017228"/>
    <w:rsid w:val="77206B85"/>
    <w:rsid w:val="772C0914"/>
    <w:rsid w:val="77665810"/>
    <w:rsid w:val="776814E2"/>
    <w:rsid w:val="776F6FC2"/>
    <w:rsid w:val="77762421"/>
    <w:rsid w:val="777870DB"/>
    <w:rsid w:val="779226DA"/>
    <w:rsid w:val="779A6594"/>
    <w:rsid w:val="779F004E"/>
    <w:rsid w:val="77A647A3"/>
    <w:rsid w:val="77B33829"/>
    <w:rsid w:val="77B56B1F"/>
    <w:rsid w:val="77D84510"/>
    <w:rsid w:val="77FD5769"/>
    <w:rsid w:val="780F09F4"/>
    <w:rsid w:val="78105AA2"/>
    <w:rsid w:val="781E639C"/>
    <w:rsid w:val="78207FE4"/>
    <w:rsid w:val="782B33BB"/>
    <w:rsid w:val="7837552B"/>
    <w:rsid w:val="78916D8B"/>
    <w:rsid w:val="78A52A76"/>
    <w:rsid w:val="78A82F32"/>
    <w:rsid w:val="78A90480"/>
    <w:rsid w:val="78C733B9"/>
    <w:rsid w:val="78F13953"/>
    <w:rsid w:val="78FA7220"/>
    <w:rsid w:val="78FD31BB"/>
    <w:rsid w:val="790068CB"/>
    <w:rsid w:val="790C34C1"/>
    <w:rsid w:val="79135A00"/>
    <w:rsid w:val="792539FB"/>
    <w:rsid w:val="792A5904"/>
    <w:rsid w:val="79345F5D"/>
    <w:rsid w:val="79493A8E"/>
    <w:rsid w:val="79621333"/>
    <w:rsid w:val="798017B9"/>
    <w:rsid w:val="79951515"/>
    <w:rsid w:val="799E30AF"/>
    <w:rsid w:val="79A15110"/>
    <w:rsid w:val="79A73CCC"/>
    <w:rsid w:val="79C57BFE"/>
    <w:rsid w:val="79EC1482"/>
    <w:rsid w:val="7A001B66"/>
    <w:rsid w:val="7A1E4B8B"/>
    <w:rsid w:val="7A2A495B"/>
    <w:rsid w:val="7A2A7F2B"/>
    <w:rsid w:val="7A340F15"/>
    <w:rsid w:val="7A364017"/>
    <w:rsid w:val="7A384FFF"/>
    <w:rsid w:val="7A3B22B0"/>
    <w:rsid w:val="7A4D493E"/>
    <w:rsid w:val="7A505630"/>
    <w:rsid w:val="7A562609"/>
    <w:rsid w:val="7A572D85"/>
    <w:rsid w:val="7A656538"/>
    <w:rsid w:val="7A80658B"/>
    <w:rsid w:val="7A8265E1"/>
    <w:rsid w:val="7A832851"/>
    <w:rsid w:val="7A911ED0"/>
    <w:rsid w:val="7A925C48"/>
    <w:rsid w:val="7A97325F"/>
    <w:rsid w:val="7AA97FC3"/>
    <w:rsid w:val="7AAB1025"/>
    <w:rsid w:val="7AC06B6E"/>
    <w:rsid w:val="7AF93E0B"/>
    <w:rsid w:val="7AFC4726"/>
    <w:rsid w:val="7B207590"/>
    <w:rsid w:val="7B2F6F61"/>
    <w:rsid w:val="7B361D64"/>
    <w:rsid w:val="7B396E93"/>
    <w:rsid w:val="7B4D3402"/>
    <w:rsid w:val="7B4D7639"/>
    <w:rsid w:val="7B686D42"/>
    <w:rsid w:val="7B841746"/>
    <w:rsid w:val="7B85189A"/>
    <w:rsid w:val="7B894528"/>
    <w:rsid w:val="7B8B4B71"/>
    <w:rsid w:val="7B9566DB"/>
    <w:rsid w:val="7BA44AAF"/>
    <w:rsid w:val="7BAC5E4A"/>
    <w:rsid w:val="7BCA7773"/>
    <w:rsid w:val="7BDD1145"/>
    <w:rsid w:val="7BE61DA8"/>
    <w:rsid w:val="7C022915"/>
    <w:rsid w:val="7C0C5586"/>
    <w:rsid w:val="7C34793A"/>
    <w:rsid w:val="7C3D51F2"/>
    <w:rsid w:val="7C622F14"/>
    <w:rsid w:val="7C633B7A"/>
    <w:rsid w:val="7C6C5AC7"/>
    <w:rsid w:val="7C6F6DBE"/>
    <w:rsid w:val="7C776EA4"/>
    <w:rsid w:val="7C887617"/>
    <w:rsid w:val="7CB62AC0"/>
    <w:rsid w:val="7CC469B1"/>
    <w:rsid w:val="7CC6544B"/>
    <w:rsid w:val="7CCB1E81"/>
    <w:rsid w:val="7CDC7639"/>
    <w:rsid w:val="7D0239FF"/>
    <w:rsid w:val="7D1C3957"/>
    <w:rsid w:val="7D3C74B9"/>
    <w:rsid w:val="7D4701C1"/>
    <w:rsid w:val="7D5E40CD"/>
    <w:rsid w:val="7D7908DE"/>
    <w:rsid w:val="7D80212A"/>
    <w:rsid w:val="7D9A6176"/>
    <w:rsid w:val="7D9D77D7"/>
    <w:rsid w:val="7DA71C9C"/>
    <w:rsid w:val="7DB1367F"/>
    <w:rsid w:val="7DBE52F3"/>
    <w:rsid w:val="7DBF0AF0"/>
    <w:rsid w:val="7DCD56F2"/>
    <w:rsid w:val="7DD1615E"/>
    <w:rsid w:val="7DF45DD8"/>
    <w:rsid w:val="7E186464"/>
    <w:rsid w:val="7E346304"/>
    <w:rsid w:val="7E3924C9"/>
    <w:rsid w:val="7E500F18"/>
    <w:rsid w:val="7E5A3CCE"/>
    <w:rsid w:val="7E6F6006"/>
    <w:rsid w:val="7E8F7380"/>
    <w:rsid w:val="7E9E2E0E"/>
    <w:rsid w:val="7EA00833"/>
    <w:rsid w:val="7EB54A47"/>
    <w:rsid w:val="7ED16CC7"/>
    <w:rsid w:val="7ED53088"/>
    <w:rsid w:val="7EE55955"/>
    <w:rsid w:val="7EED4371"/>
    <w:rsid w:val="7EEF3191"/>
    <w:rsid w:val="7EF173E1"/>
    <w:rsid w:val="7EFD4725"/>
    <w:rsid w:val="7F001CE7"/>
    <w:rsid w:val="7F106A4D"/>
    <w:rsid w:val="7F1D1F07"/>
    <w:rsid w:val="7F475253"/>
    <w:rsid w:val="7F6165AC"/>
    <w:rsid w:val="7F826A32"/>
    <w:rsid w:val="7FCA3C03"/>
    <w:rsid w:val="7FCF0D85"/>
    <w:rsid w:val="7FDC3AE9"/>
    <w:rsid w:val="7FE40CF4"/>
    <w:rsid w:val="7FE47E50"/>
    <w:rsid w:val="7FFF1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nhideWhenUsed="0" w:uiPriority="0" w:semiHidden="0" w:name="heading 3" w:locked="1"/>
    <w:lsdException w:qFormat="1" w:unhideWhenUsed="0" w:uiPriority="0" w:semiHidden="0" w:name="heading 4" w:locked="1"/>
    <w:lsdException w:qFormat="1" w:uiPriority="0" w:semiHidden="0" w:name="heading 5" w:locked="1"/>
    <w:lsdException w:qFormat="1" w:uiPriority="0" w:semiHidden="0" w:name="heading 6" w:locked="1"/>
    <w:lsdException w:qFormat="1" w:uiPriority="0" w:name="heading 7" w:locked="1"/>
    <w:lsdException w:qFormat="1" w:uiPriority="0" w:name="heading 8" w:locked="1"/>
    <w:lsdException w:qFormat="1" w:uiPriority="0" w:name="heading 9" w:locked="1"/>
    <w:lsdException w:qFormat="1"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qFormat="1" w:uiPriority="39"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qFormat="1" w:unhideWhenUsed="0" w:uiPriority="0" w:semiHidden="0" w:name="index heading" w:locked="1"/>
    <w:lsdException w:qFormat="1" w:unhideWhenUsed="0" w:uiPriority="0" w:semiHidden="0" w:name="caption" w:locked="1"/>
    <w:lsdException w:unhideWhenUsed="0" w:uiPriority="0" w:semiHidden="0" w:name="table of figures" w:locked="1"/>
    <w:lsdException w:unhideWhenUsed="0" w:uiPriority="0" w:semiHidden="0" w:name="envelope address" w:locked="1"/>
    <w:lsdException w:qFormat="1"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99" w:semiHidden="0" w:name="Body Text First Indent" w:locked="1"/>
    <w:lsdException w:qFormat="1" w:unhideWhenUsed="0" w:uiPriority="0" w:semiHidden="0" w:name="Body Text First Indent 2" w:locked="1"/>
    <w:lsdException w:unhideWhenUsed="0" w:uiPriority="0" w:semiHidden="0" w:name="Note Heading" w:locked="1"/>
    <w:lsdException w:qFormat="1" w:uiPriority="99" w:semiHidden="0" w:name="Body Text 2" w:locked="1"/>
    <w:lsdException w:unhideWhenUsed="0" w:uiPriority="0" w:semiHidden="0" w:name="Body Text 3" w:locked="1"/>
    <w:lsdException w:qFormat="1" w:uiPriority="99"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iPriority="99"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qFormat="1" w:unhideWhenUsed="0" w:uiPriority="0" w:semiHidden="0" w:name="HTML Cite" w:locked="1"/>
    <w:lsdException w:qFormat="1" w:unhideWhenUsed="0" w:uiPriority="0" w:semiHidden="0" w:name="HTML Code" w:locked="1"/>
    <w:lsdException w:qFormat="1" w:unhideWhenUsed="0" w:uiPriority="0" w:semiHidden="0" w:name="HTML Definition" w:locked="1"/>
    <w:lsdException w:qFormat="1" w:unhideWhenUsed="0" w:uiPriority="0" w:semiHidden="0" w:name="HTML Keyboard" w:locked="1"/>
    <w:lsdException w:unhideWhenUsed="0" w:uiPriority="0" w:semiHidden="0" w:name="HTML Preformatted" w:locked="1"/>
    <w:lsdException w:qFormat="1" w:unhideWhenUsed="0" w:uiPriority="0" w:semiHidden="0" w:name="HTML Sample" w:locked="1"/>
    <w:lsdException w:unhideWhenUsed="0" w:uiPriority="0" w:semiHidden="0" w:name="HTML Typewriter" w:locked="1"/>
    <w:lsdException w:qFormat="1" w:unhideWhenUsed="0" w:uiPriority="0" w:semiHidden="0" w:name="HTML Variable" w:locked="1"/>
    <w:lsdException w:qFormat="1" w:uiPriority="99"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djustRightInd w:val="0"/>
      <w:snapToGrid w:val="0"/>
      <w:spacing w:line="440" w:lineRule="exact"/>
      <w:ind w:firstLine="720" w:firstLineChars="200"/>
      <w:jc w:val="both"/>
    </w:pPr>
    <w:rPr>
      <w:rFonts w:ascii="Times New Roman" w:hAnsi="Times New Roman" w:eastAsia="宋体" w:cs="Times New Roman"/>
      <w:kern w:val="2"/>
      <w:sz w:val="24"/>
      <w:szCs w:val="24"/>
      <w:lang w:val="en-US" w:eastAsia="zh-CN" w:bidi="ar-SA"/>
    </w:rPr>
  </w:style>
  <w:style w:type="paragraph" w:styleId="4">
    <w:name w:val="heading 1"/>
    <w:basedOn w:val="1"/>
    <w:next w:val="1"/>
    <w:autoRedefine/>
    <w:qFormat/>
    <w:locked/>
    <w:uiPriority w:val="99"/>
    <w:pPr>
      <w:keepNext/>
      <w:numPr>
        <w:ilvl w:val="0"/>
        <w:numId w:val="1"/>
      </w:numPr>
      <w:overflowPunct w:val="0"/>
      <w:ind w:left="0" w:firstLine="0" w:firstLineChars="0"/>
      <w:outlineLvl w:val="0"/>
    </w:pPr>
    <w:rPr>
      <w:rFonts w:eastAsia="黑体"/>
      <w:b/>
      <w:bCs/>
      <w:color w:val="000000"/>
      <w:kern w:val="44"/>
      <w:sz w:val="30"/>
      <w:szCs w:val="30"/>
    </w:rPr>
  </w:style>
  <w:style w:type="paragraph" w:styleId="5">
    <w:name w:val="heading 2"/>
    <w:basedOn w:val="1"/>
    <w:next w:val="1"/>
    <w:autoRedefine/>
    <w:qFormat/>
    <w:locked/>
    <w:uiPriority w:val="99"/>
    <w:pPr>
      <w:keepNext/>
      <w:numPr>
        <w:ilvl w:val="1"/>
        <w:numId w:val="1"/>
      </w:numPr>
      <w:spacing w:line="260" w:lineRule="exact"/>
      <w:ind w:firstLine="0" w:firstLineChars="0"/>
      <w:outlineLvl w:val="1"/>
    </w:pPr>
    <w:rPr>
      <w:rFonts w:hint="eastAsia"/>
      <w:sz w:val="28"/>
    </w:rPr>
  </w:style>
  <w:style w:type="paragraph" w:styleId="6">
    <w:name w:val="heading 3"/>
    <w:basedOn w:val="1"/>
    <w:next w:val="7"/>
    <w:autoRedefine/>
    <w:qFormat/>
    <w:locked/>
    <w:uiPriority w:val="0"/>
    <w:pPr>
      <w:keepNext/>
      <w:numPr>
        <w:ilvl w:val="2"/>
        <w:numId w:val="1"/>
      </w:numPr>
      <w:ind w:firstLine="0" w:firstLineChars="0"/>
      <w:outlineLvl w:val="2"/>
    </w:pPr>
    <w:rPr>
      <w:rFonts w:ascii="长城仿宋体" w:hAnsi="宋体" w:eastAsia="长城仿宋体"/>
      <w:b/>
      <w:szCs w:val="28"/>
    </w:rPr>
  </w:style>
  <w:style w:type="paragraph" w:styleId="8">
    <w:name w:val="heading 4"/>
    <w:basedOn w:val="1"/>
    <w:next w:val="7"/>
    <w:autoRedefine/>
    <w:qFormat/>
    <w:locked/>
    <w:uiPriority w:val="0"/>
    <w:pPr>
      <w:keepNext/>
      <w:keepLines/>
      <w:numPr>
        <w:ilvl w:val="3"/>
        <w:numId w:val="1"/>
      </w:numPr>
      <w:tabs>
        <w:tab w:val="left" w:pos="1048"/>
      </w:tabs>
      <w:spacing w:line="360" w:lineRule="auto"/>
      <w:ind w:firstLine="0" w:firstLineChars="0"/>
      <w:jc w:val="left"/>
      <w:outlineLvl w:val="3"/>
    </w:pPr>
    <w:rPr>
      <w:bCs/>
      <w:szCs w:val="28"/>
    </w:rPr>
  </w:style>
  <w:style w:type="paragraph" w:styleId="9">
    <w:name w:val="heading 5"/>
    <w:basedOn w:val="1"/>
    <w:next w:val="1"/>
    <w:unhideWhenUsed/>
    <w:qFormat/>
    <w:locked/>
    <w:uiPriority w:val="0"/>
    <w:pPr>
      <w:keepNext/>
      <w:keepLines/>
      <w:numPr>
        <w:ilvl w:val="4"/>
        <w:numId w:val="1"/>
      </w:numPr>
      <w:tabs>
        <w:tab w:val="left" w:pos="420"/>
      </w:tabs>
      <w:spacing w:before="280" w:after="290" w:line="372" w:lineRule="auto"/>
      <w:ind w:firstLine="0" w:firstLineChars="0"/>
      <w:outlineLvl w:val="4"/>
    </w:pPr>
    <w:rPr>
      <w:b/>
      <w:sz w:val="28"/>
    </w:rPr>
  </w:style>
  <w:style w:type="paragraph" w:styleId="10">
    <w:name w:val="heading 6"/>
    <w:basedOn w:val="1"/>
    <w:next w:val="1"/>
    <w:unhideWhenUsed/>
    <w:qFormat/>
    <w:locked/>
    <w:uiPriority w:val="0"/>
    <w:pPr>
      <w:keepNext/>
      <w:keepLines/>
      <w:numPr>
        <w:ilvl w:val="5"/>
        <w:numId w:val="1"/>
      </w:numPr>
      <w:spacing w:before="240" w:after="64" w:line="317" w:lineRule="auto"/>
      <w:ind w:firstLine="0" w:firstLineChars="0"/>
      <w:outlineLvl w:val="5"/>
    </w:pPr>
    <w:rPr>
      <w:rFonts w:ascii="Arial" w:hAnsi="Arial" w:eastAsia="黑体"/>
      <w:b/>
    </w:rPr>
  </w:style>
  <w:style w:type="paragraph" w:styleId="11">
    <w:name w:val="heading 7"/>
    <w:basedOn w:val="1"/>
    <w:next w:val="1"/>
    <w:semiHidden/>
    <w:unhideWhenUsed/>
    <w:qFormat/>
    <w:locked/>
    <w:uiPriority w:val="0"/>
    <w:pPr>
      <w:keepNext/>
      <w:keepLines/>
      <w:numPr>
        <w:ilvl w:val="6"/>
        <w:numId w:val="1"/>
      </w:numPr>
      <w:spacing w:before="240" w:after="64" w:line="317" w:lineRule="auto"/>
      <w:ind w:firstLine="0" w:firstLineChars="0"/>
      <w:outlineLvl w:val="6"/>
    </w:pPr>
    <w:rPr>
      <w:b/>
    </w:rPr>
  </w:style>
  <w:style w:type="paragraph" w:styleId="12">
    <w:name w:val="heading 8"/>
    <w:basedOn w:val="1"/>
    <w:next w:val="1"/>
    <w:semiHidden/>
    <w:unhideWhenUsed/>
    <w:qFormat/>
    <w:locked/>
    <w:uiPriority w:val="0"/>
    <w:pPr>
      <w:keepNext/>
      <w:keepLines/>
      <w:numPr>
        <w:ilvl w:val="7"/>
        <w:numId w:val="1"/>
      </w:numPr>
      <w:spacing w:before="240" w:after="64" w:line="317" w:lineRule="auto"/>
      <w:ind w:firstLine="0" w:firstLineChars="0"/>
      <w:outlineLvl w:val="7"/>
    </w:pPr>
    <w:rPr>
      <w:rFonts w:ascii="Arial" w:hAnsi="Arial" w:eastAsia="黑体"/>
    </w:rPr>
  </w:style>
  <w:style w:type="paragraph" w:styleId="13">
    <w:name w:val="heading 9"/>
    <w:basedOn w:val="1"/>
    <w:next w:val="1"/>
    <w:semiHidden/>
    <w:unhideWhenUsed/>
    <w:qFormat/>
    <w:locked/>
    <w:uiPriority w:val="0"/>
    <w:pPr>
      <w:keepNext/>
      <w:keepLines/>
      <w:numPr>
        <w:ilvl w:val="8"/>
        <w:numId w:val="1"/>
      </w:numPr>
      <w:spacing w:before="240" w:after="64" w:line="317" w:lineRule="auto"/>
      <w:ind w:firstLine="0" w:firstLineChars="0"/>
      <w:outlineLvl w:val="8"/>
    </w:pPr>
    <w:rPr>
      <w:rFonts w:ascii="Arial" w:hAnsi="Arial" w:eastAsia="黑体"/>
      <w:sz w:val="21"/>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customStyle="1" w:styleId="2">
    <w:name w:val="Default1"/>
    <w:basedOn w:val="3"/>
    <w:next w:val="1"/>
    <w:autoRedefine/>
    <w:qFormat/>
    <w:uiPriority w:val="0"/>
    <w:pPr>
      <w:autoSpaceDE w:val="0"/>
      <w:autoSpaceDN w:val="0"/>
    </w:pPr>
    <w:rPr>
      <w:rFonts w:ascii="宋体" w:cs="宋体"/>
      <w:color w:val="000000"/>
    </w:rPr>
  </w:style>
  <w:style w:type="paragraph" w:customStyle="1" w:styleId="3">
    <w:name w:val="Normal_14_0"/>
    <w:autoRedefine/>
    <w:qFormat/>
    <w:uiPriority w:val="0"/>
    <w:pPr>
      <w:spacing w:before="120" w:after="240"/>
      <w:jc w:val="both"/>
    </w:pPr>
    <w:rPr>
      <w:rFonts w:ascii="Calibri" w:hAnsi="Calibri" w:eastAsia="Calibri" w:cs="Times New Roman"/>
      <w:sz w:val="22"/>
      <w:szCs w:val="22"/>
      <w:lang w:val="ru-RU" w:eastAsia="en-US" w:bidi="ar-SA"/>
    </w:rPr>
  </w:style>
  <w:style w:type="paragraph" w:styleId="7">
    <w:name w:val="Normal Indent"/>
    <w:basedOn w:val="1"/>
    <w:next w:val="1"/>
    <w:autoRedefine/>
    <w:unhideWhenUsed/>
    <w:qFormat/>
    <w:locked/>
    <w:uiPriority w:val="0"/>
    <w:pPr>
      <w:ind w:firstLine="420"/>
    </w:pPr>
    <w:rPr>
      <w:sz w:val="20"/>
    </w:rPr>
  </w:style>
  <w:style w:type="paragraph" w:styleId="14">
    <w:name w:val="List 3"/>
    <w:basedOn w:val="1"/>
    <w:next w:val="1"/>
    <w:autoRedefine/>
    <w:qFormat/>
    <w:locked/>
    <w:uiPriority w:val="0"/>
    <w:pPr>
      <w:autoSpaceDE w:val="0"/>
      <w:autoSpaceDN w:val="0"/>
      <w:spacing w:line="288" w:lineRule="auto"/>
      <w:ind w:left="1260" w:hanging="420"/>
      <w:jc w:val="left"/>
      <w:textAlignment w:val="baseline"/>
    </w:pPr>
  </w:style>
  <w:style w:type="paragraph" w:styleId="15">
    <w:name w:val="caption"/>
    <w:basedOn w:val="1"/>
    <w:next w:val="16"/>
    <w:autoRedefine/>
    <w:qFormat/>
    <w:locked/>
    <w:uiPriority w:val="0"/>
    <w:rPr>
      <w:rFonts w:ascii="Calibri Light" w:hAnsi="Calibri Light" w:eastAsia="黑体"/>
      <w:sz w:val="20"/>
      <w:szCs w:val="20"/>
    </w:rPr>
  </w:style>
  <w:style w:type="paragraph" w:customStyle="1" w:styleId="16">
    <w:name w:val="报告正文"/>
    <w:basedOn w:val="1"/>
    <w:qFormat/>
    <w:uiPriority w:val="0"/>
    <w:pPr>
      <w:spacing w:line="360" w:lineRule="auto"/>
      <w:ind w:firstLine="482"/>
    </w:pPr>
    <w:rPr>
      <w:sz w:val="24"/>
    </w:rPr>
  </w:style>
  <w:style w:type="paragraph" w:styleId="17">
    <w:name w:val="annotation text"/>
    <w:basedOn w:val="1"/>
    <w:link w:val="77"/>
    <w:autoRedefine/>
    <w:semiHidden/>
    <w:qFormat/>
    <w:uiPriority w:val="0"/>
    <w:pPr>
      <w:jc w:val="left"/>
    </w:pPr>
    <w:rPr>
      <w:kern w:val="0"/>
      <w:szCs w:val="20"/>
    </w:rPr>
  </w:style>
  <w:style w:type="paragraph" w:styleId="18">
    <w:name w:val="Body Text"/>
    <w:basedOn w:val="1"/>
    <w:next w:val="1"/>
    <w:link w:val="78"/>
    <w:autoRedefine/>
    <w:qFormat/>
    <w:uiPriority w:val="0"/>
    <w:pPr>
      <w:widowControl/>
    </w:pPr>
    <w:rPr>
      <w:kern w:val="0"/>
    </w:rPr>
  </w:style>
  <w:style w:type="paragraph" w:styleId="19">
    <w:name w:val="Body Text Indent"/>
    <w:basedOn w:val="1"/>
    <w:next w:val="20"/>
    <w:link w:val="76"/>
    <w:autoRedefine/>
    <w:qFormat/>
    <w:uiPriority w:val="0"/>
    <w:pPr>
      <w:spacing w:after="120"/>
      <w:ind w:left="420" w:leftChars="200"/>
    </w:pPr>
    <w:rPr>
      <w:kern w:val="0"/>
      <w:szCs w:val="20"/>
    </w:rPr>
  </w:style>
  <w:style w:type="paragraph" w:customStyle="1" w:styleId="20">
    <w:name w:val="样式 标题 1一级标题 + 段前: 0.5 行 段后: 0.5 行"/>
    <w:basedOn w:val="4"/>
    <w:autoRedefine/>
    <w:qFormat/>
    <w:uiPriority w:val="99"/>
    <w:pPr>
      <w:spacing w:line="320" w:lineRule="exact"/>
      <w:outlineLvl w:val="9"/>
    </w:pPr>
    <w:rPr>
      <w:spacing w:val="-6"/>
      <w:sz w:val="21"/>
      <w:szCs w:val="21"/>
    </w:rPr>
  </w:style>
  <w:style w:type="paragraph" w:styleId="21">
    <w:name w:val="toc 5"/>
    <w:basedOn w:val="1"/>
    <w:next w:val="1"/>
    <w:autoRedefine/>
    <w:unhideWhenUsed/>
    <w:qFormat/>
    <w:locked/>
    <w:uiPriority w:val="39"/>
    <w:pPr>
      <w:adjustRightInd/>
      <w:snapToGrid/>
      <w:spacing w:line="240" w:lineRule="auto"/>
      <w:ind w:left="1680" w:leftChars="800" w:firstLine="0" w:firstLineChars="0"/>
    </w:pPr>
    <w:rPr>
      <w:rFonts w:ascii="Calibri" w:hAnsi="Calibri"/>
      <w:sz w:val="21"/>
    </w:rPr>
  </w:style>
  <w:style w:type="paragraph" w:styleId="22">
    <w:name w:val="Plain Text"/>
    <w:basedOn w:val="1"/>
    <w:next w:val="1"/>
    <w:autoRedefine/>
    <w:unhideWhenUsed/>
    <w:qFormat/>
    <w:locked/>
    <w:uiPriority w:val="99"/>
    <w:rPr>
      <w:rFonts w:ascii="宋体" w:hAnsi="Courier New" w:cs="Courier New"/>
      <w:sz w:val="21"/>
      <w:szCs w:val="21"/>
    </w:rPr>
  </w:style>
  <w:style w:type="paragraph" w:styleId="23">
    <w:name w:val="Date"/>
    <w:basedOn w:val="1"/>
    <w:next w:val="1"/>
    <w:link w:val="79"/>
    <w:autoRedefine/>
    <w:qFormat/>
    <w:uiPriority w:val="0"/>
    <w:pPr>
      <w:ind w:left="100" w:leftChars="2500"/>
    </w:pPr>
    <w:rPr>
      <w:kern w:val="0"/>
      <w:szCs w:val="20"/>
    </w:rPr>
  </w:style>
  <w:style w:type="paragraph" w:styleId="24">
    <w:name w:val="Body Text Indent 2"/>
    <w:basedOn w:val="1"/>
    <w:next w:val="25"/>
    <w:autoRedefine/>
    <w:unhideWhenUsed/>
    <w:qFormat/>
    <w:locked/>
    <w:uiPriority w:val="99"/>
    <w:pPr>
      <w:spacing w:after="120" w:line="480" w:lineRule="auto"/>
      <w:ind w:left="420" w:leftChars="200"/>
    </w:pPr>
  </w:style>
  <w:style w:type="paragraph" w:styleId="25">
    <w:name w:val="Body Text First Indent 2"/>
    <w:basedOn w:val="19"/>
    <w:next w:val="26"/>
    <w:autoRedefine/>
    <w:qFormat/>
    <w:locked/>
    <w:uiPriority w:val="0"/>
    <w:pPr>
      <w:ind w:firstLine="200"/>
    </w:pPr>
  </w:style>
  <w:style w:type="paragraph" w:styleId="26">
    <w:name w:val="Body Text First Indent"/>
    <w:basedOn w:val="18"/>
    <w:next w:val="1"/>
    <w:autoRedefine/>
    <w:qFormat/>
    <w:locked/>
    <w:uiPriority w:val="99"/>
    <w:pPr>
      <w:ind w:firstLine="420" w:firstLineChars="100"/>
    </w:pPr>
  </w:style>
  <w:style w:type="paragraph" w:styleId="27">
    <w:name w:val="Balloon Text"/>
    <w:basedOn w:val="1"/>
    <w:link w:val="80"/>
    <w:autoRedefine/>
    <w:semiHidden/>
    <w:qFormat/>
    <w:uiPriority w:val="0"/>
    <w:rPr>
      <w:kern w:val="0"/>
      <w:sz w:val="18"/>
      <w:szCs w:val="20"/>
    </w:rPr>
  </w:style>
  <w:style w:type="paragraph" w:styleId="28">
    <w:name w:val="footer"/>
    <w:basedOn w:val="1"/>
    <w:link w:val="81"/>
    <w:autoRedefine/>
    <w:qFormat/>
    <w:uiPriority w:val="99"/>
    <w:pPr>
      <w:tabs>
        <w:tab w:val="center" w:pos="4153"/>
        <w:tab w:val="right" w:pos="8306"/>
      </w:tabs>
      <w:jc w:val="left"/>
    </w:pPr>
    <w:rPr>
      <w:kern w:val="0"/>
      <w:sz w:val="18"/>
      <w:szCs w:val="20"/>
    </w:rPr>
  </w:style>
  <w:style w:type="paragraph" w:styleId="29">
    <w:name w:val="envelope return"/>
    <w:basedOn w:val="1"/>
    <w:qFormat/>
    <w:locked/>
    <w:uiPriority w:val="0"/>
    <w:rPr>
      <w:rFonts w:ascii="Arial" w:hAnsi="Arial" w:cs="Arial"/>
    </w:rPr>
  </w:style>
  <w:style w:type="paragraph" w:styleId="30">
    <w:name w:val="header"/>
    <w:basedOn w:val="1"/>
    <w:next w:val="31"/>
    <w:link w:val="82"/>
    <w:autoRedefine/>
    <w:qFormat/>
    <w:uiPriority w:val="0"/>
    <w:pPr>
      <w:pBdr>
        <w:bottom w:val="single" w:color="auto" w:sz="6" w:space="1"/>
      </w:pBdr>
      <w:tabs>
        <w:tab w:val="center" w:pos="4153"/>
        <w:tab w:val="right" w:pos="8306"/>
      </w:tabs>
      <w:jc w:val="center"/>
    </w:pPr>
    <w:rPr>
      <w:kern w:val="0"/>
      <w:sz w:val="18"/>
      <w:szCs w:val="20"/>
    </w:rPr>
  </w:style>
  <w:style w:type="paragraph" w:customStyle="1" w:styleId="31">
    <w:name w:val="样式5"/>
    <w:basedOn w:val="32"/>
    <w:autoRedefine/>
    <w:qFormat/>
    <w:uiPriority w:val="0"/>
    <w:pPr>
      <w:spacing w:line="360" w:lineRule="auto"/>
      <w:ind w:firstLine="510"/>
    </w:pPr>
    <w:rPr>
      <w:sz w:val="24"/>
    </w:rPr>
  </w:style>
  <w:style w:type="paragraph" w:customStyle="1" w:styleId="32">
    <w:name w:val="font5"/>
    <w:basedOn w:val="1"/>
    <w:autoRedefine/>
    <w:qFormat/>
    <w:uiPriority w:val="0"/>
    <w:pPr>
      <w:widowControl/>
      <w:spacing w:before="100" w:beforeAutospacing="1" w:after="100" w:afterAutospacing="1" w:line="520" w:lineRule="atLeast"/>
      <w:jc w:val="left"/>
    </w:pPr>
    <w:rPr>
      <w:rFonts w:hint="eastAsia" w:ascii="宋体" w:hAnsi="宋体" w:cs="Arial Unicode MS"/>
      <w:kern w:val="0"/>
      <w:sz w:val="18"/>
      <w:szCs w:val="18"/>
    </w:rPr>
  </w:style>
  <w:style w:type="paragraph" w:styleId="33">
    <w:name w:val="toc 1"/>
    <w:basedOn w:val="1"/>
    <w:next w:val="1"/>
    <w:qFormat/>
    <w:locked/>
    <w:uiPriority w:val="0"/>
  </w:style>
  <w:style w:type="paragraph" w:styleId="34">
    <w:name w:val="index heading"/>
    <w:basedOn w:val="1"/>
    <w:next w:val="35"/>
    <w:qFormat/>
    <w:locked/>
    <w:uiPriority w:val="0"/>
    <w:rPr>
      <w:rFonts w:ascii="Arial" w:hAnsi="Arial" w:cs="Arial"/>
      <w:b/>
      <w:bCs/>
    </w:rPr>
  </w:style>
  <w:style w:type="paragraph" w:styleId="35">
    <w:name w:val="index 1"/>
    <w:basedOn w:val="1"/>
    <w:next w:val="1"/>
    <w:qFormat/>
    <w:locked/>
    <w:uiPriority w:val="0"/>
    <w:pPr>
      <w:ind w:left="210" w:hanging="210"/>
      <w:jc w:val="center"/>
    </w:pPr>
    <w:rPr>
      <w:szCs w:val="21"/>
    </w:rPr>
  </w:style>
  <w:style w:type="paragraph" w:styleId="36">
    <w:name w:val="List"/>
    <w:basedOn w:val="1"/>
    <w:qFormat/>
    <w:locked/>
    <w:uiPriority w:val="0"/>
    <w:pPr>
      <w:ind w:left="200" w:hanging="200" w:hangingChars="200"/>
    </w:pPr>
  </w:style>
  <w:style w:type="paragraph" w:styleId="37">
    <w:name w:val="Body Text 2"/>
    <w:basedOn w:val="1"/>
    <w:autoRedefine/>
    <w:unhideWhenUsed/>
    <w:qFormat/>
    <w:locked/>
    <w:uiPriority w:val="99"/>
    <w:pPr>
      <w:spacing w:after="120" w:line="480" w:lineRule="auto"/>
    </w:pPr>
  </w:style>
  <w:style w:type="paragraph" w:styleId="38">
    <w:name w:val="Normal (Web)"/>
    <w:basedOn w:val="1"/>
    <w:link w:val="83"/>
    <w:autoRedefine/>
    <w:qFormat/>
    <w:uiPriority w:val="0"/>
    <w:pPr>
      <w:widowControl/>
      <w:spacing w:before="100" w:beforeAutospacing="1" w:after="100" w:afterAutospacing="1"/>
      <w:jc w:val="left"/>
    </w:pPr>
    <w:rPr>
      <w:rFonts w:ascii="宋体" w:hAnsi="宋体"/>
      <w:kern w:val="0"/>
      <w:szCs w:val="20"/>
    </w:rPr>
  </w:style>
  <w:style w:type="paragraph" w:styleId="39">
    <w:name w:val="Title"/>
    <w:basedOn w:val="1"/>
    <w:next w:val="1"/>
    <w:qFormat/>
    <w:locked/>
    <w:uiPriority w:val="0"/>
    <w:pPr>
      <w:spacing w:before="240" w:after="60"/>
      <w:jc w:val="center"/>
      <w:outlineLvl w:val="0"/>
    </w:pPr>
    <w:rPr>
      <w:rFonts w:ascii="Arial" w:hAnsi="Arial"/>
      <w:b/>
      <w:sz w:val="32"/>
    </w:rPr>
  </w:style>
  <w:style w:type="paragraph" w:styleId="40">
    <w:name w:val="annotation subject"/>
    <w:basedOn w:val="17"/>
    <w:next w:val="17"/>
    <w:link w:val="84"/>
    <w:autoRedefine/>
    <w:semiHidden/>
    <w:qFormat/>
    <w:uiPriority w:val="0"/>
    <w:rPr>
      <w:b/>
      <w:kern w:val="2"/>
    </w:rPr>
  </w:style>
  <w:style w:type="table" w:styleId="42">
    <w:name w:val="Table Grid"/>
    <w:basedOn w:val="4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basedOn w:val="43"/>
    <w:autoRedefine/>
    <w:qFormat/>
    <w:locked/>
    <w:uiPriority w:val="0"/>
    <w:rPr>
      <w:b/>
    </w:rPr>
  </w:style>
  <w:style w:type="character" w:styleId="45">
    <w:name w:val="page number"/>
    <w:basedOn w:val="43"/>
    <w:autoRedefine/>
    <w:qFormat/>
    <w:locked/>
    <w:uiPriority w:val="0"/>
  </w:style>
  <w:style w:type="character" w:styleId="46">
    <w:name w:val="FollowedHyperlink"/>
    <w:basedOn w:val="43"/>
    <w:qFormat/>
    <w:locked/>
    <w:uiPriority w:val="0"/>
    <w:rPr>
      <w:color w:val="333333"/>
      <w:u w:val="single"/>
    </w:rPr>
  </w:style>
  <w:style w:type="character" w:styleId="47">
    <w:name w:val="Emphasis"/>
    <w:basedOn w:val="43"/>
    <w:qFormat/>
    <w:locked/>
    <w:uiPriority w:val="0"/>
  </w:style>
  <w:style w:type="character" w:styleId="48">
    <w:name w:val="HTML Definition"/>
    <w:basedOn w:val="43"/>
    <w:qFormat/>
    <w:locked/>
    <w:uiPriority w:val="0"/>
  </w:style>
  <w:style w:type="character" w:styleId="49">
    <w:name w:val="HTML Variable"/>
    <w:basedOn w:val="43"/>
    <w:qFormat/>
    <w:locked/>
    <w:uiPriority w:val="0"/>
  </w:style>
  <w:style w:type="character" w:styleId="50">
    <w:name w:val="Hyperlink"/>
    <w:basedOn w:val="43"/>
    <w:autoRedefine/>
    <w:qFormat/>
    <w:locked/>
    <w:uiPriority w:val="0"/>
    <w:rPr>
      <w:color w:val="0000FF"/>
      <w:u w:val="single"/>
    </w:rPr>
  </w:style>
  <w:style w:type="character" w:styleId="51">
    <w:name w:val="HTML Code"/>
    <w:basedOn w:val="43"/>
    <w:qFormat/>
    <w:locked/>
    <w:uiPriority w:val="0"/>
    <w:rPr>
      <w:rFonts w:hint="default" w:ascii="Arial" w:hAnsi="Arial" w:cs="Arial"/>
      <w:sz w:val="20"/>
    </w:rPr>
  </w:style>
  <w:style w:type="character" w:styleId="52">
    <w:name w:val="annotation reference"/>
    <w:autoRedefine/>
    <w:semiHidden/>
    <w:qFormat/>
    <w:uiPriority w:val="0"/>
    <w:rPr>
      <w:sz w:val="21"/>
    </w:rPr>
  </w:style>
  <w:style w:type="character" w:styleId="53">
    <w:name w:val="HTML Cite"/>
    <w:basedOn w:val="43"/>
    <w:qFormat/>
    <w:locked/>
    <w:uiPriority w:val="0"/>
  </w:style>
  <w:style w:type="character" w:styleId="54">
    <w:name w:val="HTML Keyboard"/>
    <w:basedOn w:val="43"/>
    <w:qFormat/>
    <w:locked/>
    <w:uiPriority w:val="0"/>
    <w:rPr>
      <w:rFonts w:hint="default" w:ascii="Arial" w:hAnsi="Arial" w:cs="Arial"/>
      <w:sz w:val="20"/>
    </w:rPr>
  </w:style>
  <w:style w:type="character" w:styleId="55">
    <w:name w:val="HTML Sample"/>
    <w:basedOn w:val="43"/>
    <w:qFormat/>
    <w:locked/>
    <w:uiPriority w:val="0"/>
    <w:rPr>
      <w:rFonts w:hint="eastAsia" w:ascii="Arial" w:hAnsi="Arial" w:cs="Arial"/>
    </w:rPr>
  </w:style>
  <w:style w:type="paragraph" w:customStyle="1" w:styleId="56">
    <w:name w:val="表格"/>
    <w:basedOn w:val="57"/>
    <w:next w:val="1"/>
    <w:link w:val="58"/>
    <w:autoRedefine/>
    <w:qFormat/>
    <w:uiPriority w:val="0"/>
    <w:pPr>
      <w:spacing w:line="240" w:lineRule="auto"/>
      <w:ind w:firstLine="0" w:firstLineChars="0"/>
      <w:jc w:val="center"/>
    </w:pPr>
    <w:rPr>
      <w:rFonts w:ascii="Times New Roman" w:hAnsi="Times New Roman" w:eastAsia="宋体"/>
      <w:b w:val="0"/>
      <w:color w:val="auto"/>
      <w:kern w:val="0"/>
      <w:sz w:val="21"/>
    </w:rPr>
  </w:style>
  <w:style w:type="paragraph" w:customStyle="1" w:styleId="57">
    <w:name w:val="样式1"/>
    <w:basedOn w:val="34"/>
    <w:next w:val="1"/>
    <w:qFormat/>
    <w:uiPriority w:val="0"/>
    <w:pPr>
      <w:spacing w:line="360" w:lineRule="auto"/>
      <w:ind w:firstLine="425"/>
    </w:pPr>
    <w:rPr>
      <w:rFonts w:ascii="Times New Roman" w:hAnsi="Times New Roman" w:cs="Times New Roman"/>
      <w:kern w:val="44"/>
    </w:rPr>
  </w:style>
  <w:style w:type="character" w:customStyle="1" w:styleId="58">
    <w:name w:val="表格 Char"/>
    <w:link w:val="56"/>
    <w:autoRedefine/>
    <w:qFormat/>
    <w:locked/>
    <w:uiPriority w:val="0"/>
    <w:rPr>
      <w:rFonts w:ascii="Times New Roman" w:hAnsi="Times New Roman" w:eastAsia="宋体" w:cs="Times New Roman"/>
      <w:bCs/>
      <w:color w:val="auto"/>
      <w:kern w:val="0"/>
      <w:sz w:val="21"/>
      <w:szCs w:val="24"/>
      <w:lang w:val="en-US" w:eastAsia="zh-CN" w:bidi="ar-SA"/>
    </w:rPr>
  </w:style>
  <w:style w:type="paragraph" w:customStyle="1" w:styleId="59">
    <w:name w:val="表标题"/>
    <w:basedOn w:val="60"/>
    <w:next w:val="60"/>
    <w:autoRedefine/>
    <w:qFormat/>
    <w:uiPriority w:val="0"/>
    <w:pPr>
      <w:spacing w:line="240" w:lineRule="auto"/>
      <w:ind w:firstLine="0" w:firstLineChars="0"/>
      <w:jc w:val="center"/>
    </w:pPr>
    <w:rPr>
      <w:rFonts w:ascii="Times New Roman" w:hAnsi="Times New Roman" w:eastAsia="宋体"/>
      <w:sz w:val="21"/>
    </w:rPr>
  </w:style>
  <w:style w:type="paragraph" w:customStyle="1" w:styleId="60">
    <w:name w:val="正文文字"/>
    <w:basedOn w:val="61"/>
    <w:autoRedefine/>
    <w:qFormat/>
    <w:uiPriority w:val="0"/>
    <w:pPr>
      <w:spacing w:line="360" w:lineRule="auto"/>
      <w:ind w:firstLine="480"/>
    </w:pPr>
    <w:rPr>
      <w:sz w:val="24"/>
    </w:rPr>
  </w:style>
  <w:style w:type="paragraph" w:customStyle="1" w:styleId="61">
    <w:name w:val="正文缩进1"/>
    <w:basedOn w:val="1"/>
    <w:autoRedefine/>
    <w:qFormat/>
    <w:uiPriority w:val="0"/>
    <w:pPr>
      <w:ind w:firstLine="420"/>
    </w:pPr>
    <w:rPr>
      <w:rFonts w:eastAsia="仿宋_GB2312"/>
      <w:sz w:val="28"/>
    </w:rPr>
  </w:style>
  <w:style w:type="paragraph" w:customStyle="1" w:styleId="62">
    <w:name w:val="【】表头"/>
    <w:basedOn w:val="1"/>
    <w:autoRedefine/>
    <w:qFormat/>
    <w:uiPriority w:val="0"/>
    <w:pPr>
      <w:tabs>
        <w:tab w:val="left" w:pos="0"/>
      </w:tabs>
      <w:spacing w:line="360" w:lineRule="exact"/>
      <w:ind w:firstLine="0" w:firstLineChars="0"/>
      <w:jc w:val="center"/>
    </w:pPr>
    <w:rPr>
      <w:rFonts w:ascii="Times New Roman" w:hAnsi="Times New Roman" w:eastAsia="宋体"/>
      <w:b/>
      <w:sz w:val="21"/>
    </w:rPr>
  </w:style>
  <w:style w:type="paragraph" w:customStyle="1" w:styleId="63">
    <w:name w:val="xl27"/>
    <w:basedOn w:val="1"/>
    <w:autoRedefine/>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customStyle="1" w:styleId="64">
    <w:name w:val="样式 正文文本缩进 + 行距: 1.5 倍行距"/>
    <w:basedOn w:val="19"/>
    <w:qFormat/>
    <w:uiPriority w:val="0"/>
    <w:pPr>
      <w:snapToGrid/>
      <w:spacing w:before="0" w:after="120" w:line="360" w:lineRule="auto"/>
      <w:ind w:left="90" w:leftChars="32" w:firstLine="560" w:firstLineChars="200"/>
    </w:pPr>
    <w:rPr>
      <w:rFonts w:ascii="Times New Roman" w:eastAsia="宋体" w:cs="宋体"/>
    </w:rPr>
  </w:style>
  <w:style w:type="paragraph" w:customStyle="1" w:styleId="65">
    <w:name w:val="表内文本"/>
    <w:basedOn w:val="1"/>
    <w:next w:val="1"/>
    <w:autoRedefine/>
    <w:qFormat/>
    <w:uiPriority w:val="0"/>
    <w:pPr>
      <w:pBdr>
        <w:top w:val="none" w:color="auto" w:sz="0" w:space="1"/>
        <w:left w:val="none" w:color="auto" w:sz="0" w:space="4"/>
        <w:bottom w:val="none" w:color="auto" w:sz="0" w:space="1"/>
        <w:right w:val="none" w:color="auto" w:sz="0" w:space="4"/>
      </w:pBdr>
      <w:ind w:firstLine="0" w:firstLineChars="0"/>
      <w:jc w:val="center"/>
    </w:pPr>
    <w:rPr>
      <w:color w:val="000000" w:themeColor="text1"/>
      <w14:textFill>
        <w14:solidFill>
          <w14:schemeClr w14:val="tx1"/>
        </w14:solidFill>
      </w14:textFill>
    </w:rPr>
  </w:style>
  <w:style w:type="paragraph" w:customStyle="1" w:styleId="66">
    <w:name w:val="表格内文本-居中"/>
    <w:basedOn w:val="1"/>
    <w:qFormat/>
    <w:uiPriority w:val="0"/>
    <w:pPr>
      <w:spacing w:line="360" w:lineRule="exact"/>
      <w:ind w:firstLine="0" w:firstLineChars="0"/>
      <w:jc w:val="center"/>
    </w:pPr>
    <w:rPr>
      <w:sz w:val="21"/>
    </w:rPr>
  </w:style>
  <w:style w:type="paragraph" w:customStyle="1" w:styleId="67">
    <w:name w:val="表格标题"/>
    <w:basedOn w:val="15"/>
    <w:qFormat/>
    <w:uiPriority w:val="0"/>
    <w:pPr>
      <w:spacing w:line="360" w:lineRule="exact"/>
      <w:ind w:firstLine="480"/>
      <w:jc w:val="center"/>
    </w:pPr>
    <w:rPr>
      <w:rFonts w:eastAsiaTheme="minorEastAsia"/>
      <w:b/>
      <w:bCs/>
      <w:spacing w:val="-6"/>
    </w:rPr>
  </w:style>
  <w:style w:type="paragraph" w:customStyle="1" w:styleId="68">
    <w:name w:val="正文-玉山县业务用房"/>
    <w:basedOn w:val="1"/>
    <w:qFormat/>
    <w:uiPriority w:val="99"/>
    <w:pPr>
      <w:autoSpaceDE w:val="0"/>
      <w:autoSpaceDN w:val="0"/>
      <w:ind w:firstLine="560"/>
    </w:pPr>
    <w:rPr>
      <w:kern w:val="0"/>
      <w:szCs w:val="28"/>
    </w:rPr>
  </w:style>
  <w:style w:type="paragraph" w:customStyle="1" w:styleId="69">
    <w:name w:val="表格内表格正文"/>
    <w:basedOn w:val="70"/>
    <w:autoRedefine/>
    <w:qFormat/>
    <w:uiPriority w:val="0"/>
    <w:pPr>
      <w:spacing w:line="240" w:lineRule="auto"/>
      <w:ind w:firstLine="0"/>
      <w:jc w:val="center"/>
    </w:pPr>
    <w:rPr>
      <w:sz w:val="21"/>
      <w:szCs w:val="21"/>
    </w:rPr>
  </w:style>
  <w:style w:type="paragraph" w:customStyle="1" w:styleId="70">
    <w:name w:val="表格内正文"/>
    <w:basedOn w:val="1"/>
    <w:next w:val="71"/>
    <w:autoRedefine/>
    <w:qFormat/>
    <w:uiPriority w:val="0"/>
    <w:pPr>
      <w:spacing w:line="360" w:lineRule="auto"/>
      <w:ind w:firstLine="493"/>
    </w:pPr>
    <w:rPr>
      <w:rFonts w:ascii="宋体" w:hAnsi="宋体"/>
      <w:spacing w:val="4"/>
      <w:kern w:val="18"/>
    </w:rPr>
  </w:style>
  <w:style w:type="paragraph" w:customStyle="1" w:styleId="71">
    <w:name w:val="A 正文"/>
    <w:basedOn w:val="1"/>
    <w:next w:val="1"/>
    <w:autoRedefine/>
    <w:qFormat/>
    <w:uiPriority w:val="0"/>
    <w:pPr>
      <w:spacing w:line="360" w:lineRule="auto"/>
      <w:ind w:firstLine="200"/>
    </w:pPr>
  </w:style>
  <w:style w:type="paragraph" w:customStyle="1" w:styleId="72">
    <w:name w:val="表头"/>
    <w:basedOn w:val="7"/>
    <w:next w:val="1"/>
    <w:autoRedefine/>
    <w:qFormat/>
    <w:uiPriority w:val="0"/>
    <w:pPr>
      <w:tabs>
        <w:tab w:val="left" w:pos="1485"/>
        <w:tab w:val="center" w:pos="4113"/>
      </w:tabs>
      <w:spacing w:line="360" w:lineRule="exact"/>
      <w:ind w:firstLine="0" w:firstLineChars="0"/>
      <w:jc w:val="center"/>
    </w:pPr>
    <w:rPr>
      <w:rFonts w:hint="eastAsia"/>
      <w:b/>
      <w:spacing w:val="6"/>
      <w:position w:val="10"/>
      <w:sz w:val="24"/>
    </w:rPr>
  </w:style>
  <w:style w:type="paragraph" w:customStyle="1" w:styleId="73">
    <w:name w:val="toc 84"/>
    <w:next w:val="1"/>
    <w:autoRedefine/>
    <w:qFormat/>
    <w:uiPriority w:val="0"/>
    <w:pPr>
      <w:wordWrap w:val="0"/>
      <w:ind w:left="2975"/>
      <w:jc w:val="both"/>
    </w:pPr>
    <w:rPr>
      <w:rFonts w:ascii="Times New Roman" w:hAnsi="Times New Roman" w:eastAsia="宋体" w:cs="Times New Roman"/>
      <w:sz w:val="21"/>
      <w:szCs w:val="22"/>
      <w:lang w:val="en-US" w:eastAsia="zh-CN" w:bidi="ar-SA"/>
    </w:rPr>
  </w:style>
  <w:style w:type="paragraph" w:customStyle="1" w:styleId="74">
    <w:name w:val="Default"/>
    <w:basedOn w:val="75"/>
    <w:next w:val="1"/>
    <w:autoRedefine/>
    <w:qFormat/>
    <w:uiPriority w:val="0"/>
    <w:pPr>
      <w:autoSpaceDE w:val="0"/>
      <w:autoSpaceDN w:val="0"/>
      <w:adjustRightInd w:val="0"/>
    </w:pPr>
    <w:rPr>
      <w:rFonts w:ascii="宋体" w:cs="宋体"/>
      <w:sz w:val="24"/>
    </w:rPr>
  </w:style>
  <w:style w:type="paragraph" w:customStyle="1" w:styleId="75">
    <w:name w:val="批注文字1"/>
    <w:autoRedefine/>
    <w:qFormat/>
    <w:uiPriority w:val="0"/>
    <w:pPr>
      <w:widowControl w:val="0"/>
    </w:pPr>
    <w:rPr>
      <w:rFonts w:ascii="Times New Roman" w:hAnsi="Times New Roman" w:eastAsia="宋体" w:cs="Times New Roman"/>
      <w:color w:val="000000"/>
      <w:kern w:val="2"/>
      <w:sz w:val="21"/>
      <w:szCs w:val="24"/>
      <w:lang w:val="en-US" w:eastAsia="zh-CN" w:bidi="ar-SA"/>
    </w:rPr>
  </w:style>
  <w:style w:type="character" w:customStyle="1" w:styleId="76">
    <w:name w:val="正文文本缩进 Char"/>
    <w:link w:val="19"/>
    <w:autoRedefine/>
    <w:semiHidden/>
    <w:qFormat/>
    <w:locked/>
    <w:uiPriority w:val="0"/>
    <w:rPr>
      <w:rFonts w:ascii="Times New Roman" w:hAnsi="Times New Roman" w:eastAsia="宋体"/>
      <w:sz w:val="24"/>
    </w:rPr>
  </w:style>
  <w:style w:type="character" w:customStyle="1" w:styleId="77">
    <w:name w:val="批注文字 Char"/>
    <w:link w:val="17"/>
    <w:autoRedefine/>
    <w:qFormat/>
    <w:locked/>
    <w:uiPriority w:val="0"/>
    <w:rPr>
      <w:rFonts w:ascii="Times New Roman" w:hAnsi="Times New Roman" w:eastAsia="宋体"/>
      <w:sz w:val="24"/>
    </w:rPr>
  </w:style>
  <w:style w:type="character" w:customStyle="1" w:styleId="78">
    <w:name w:val="正文文本 Char"/>
    <w:link w:val="18"/>
    <w:autoRedefine/>
    <w:qFormat/>
    <w:locked/>
    <w:uiPriority w:val="0"/>
    <w:rPr>
      <w:rFonts w:ascii="Times New Roman" w:hAnsi="Times New Roman" w:eastAsia="宋体"/>
      <w:sz w:val="24"/>
      <w:szCs w:val="24"/>
    </w:rPr>
  </w:style>
  <w:style w:type="character" w:customStyle="1" w:styleId="79">
    <w:name w:val="日期 Char"/>
    <w:link w:val="23"/>
    <w:autoRedefine/>
    <w:qFormat/>
    <w:locked/>
    <w:uiPriority w:val="0"/>
    <w:rPr>
      <w:rFonts w:ascii="Times New Roman" w:hAnsi="Times New Roman" w:eastAsia="宋体"/>
      <w:sz w:val="24"/>
    </w:rPr>
  </w:style>
  <w:style w:type="character" w:customStyle="1" w:styleId="80">
    <w:name w:val="批注框文本 Char"/>
    <w:link w:val="27"/>
    <w:autoRedefine/>
    <w:semiHidden/>
    <w:qFormat/>
    <w:locked/>
    <w:uiPriority w:val="0"/>
    <w:rPr>
      <w:rFonts w:ascii="Times New Roman" w:hAnsi="Times New Roman" w:eastAsia="宋体"/>
      <w:sz w:val="18"/>
    </w:rPr>
  </w:style>
  <w:style w:type="character" w:customStyle="1" w:styleId="81">
    <w:name w:val="页脚 Char"/>
    <w:link w:val="28"/>
    <w:autoRedefine/>
    <w:qFormat/>
    <w:locked/>
    <w:uiPriority w:val="99"/>
    <w:rPr>
      <w:sz w:val="18"/>
    </w:rPr>
  </w:style>
  <w:style w:type="character" w:customStyle="1" w:styleId="82">
    <w:name w:val="页眉 Char"/>
    <w:link w:val="30"/>
    <w:autoRedefine/>
    <w:qFormat/>
    <w:locked/>
    <w:uiPriority w:val="0"/>
    <w:rPr>
      <w:sz w:val="18"/>
    </w:rPr>
  </w:style>
  <w:style w:type="character" w:customStyle="1" w:styleId="83">
    <w:name w:val="普通(网站) Char"/>
    <w:link w:val="38"/>
    <w:autoRedefine/>
    <w:qFormat/>
    <w:locked/>
    <w:uiPriority w:val="0"/>
    <w:rPr>
      <w:rFonts w:ascii="宋体" w:hAnsi="宋体" w:eastAsia="宋体"/>
      <w:sz w:val="24"/>
    </w:rPr>
  </w:style>
  <w:style w:type="character" w:customStyle="1" w:styleId="84">
    <w:name w:val="批注主题 Char"/>
    <w:link w:val="40"/>
    <w:autoRedefine/>
    <w:semiHidden/>
    <w:qFormat/>
    <w:locked/>
    <w:uiPriority w:val="0"/>
    <w:rPr>
      <w:rFonts w:ascii="Times New Roman" w:hAnsi="Times New Roman" w:eastAsia="宋体"/>
      <w:b/>
      <w:kern w:val="2"/>
      <w:sz w:val="24"/>
    </w:rPr>
  </w:style>
  <w:style w:type="paragraph" w:customStyle="1" w:styleId="85">
    <w:name w:val="标题4"/>
    <w:basedOn w:val="39"/>
    <w:next w:val="70"/>
    <w:autoRedefine/>
    <w:qFormat/>
    <w:uiPriority w:val="0"/>
    <w:pPr>
      <w:textAlignment w:val="baseline"/>
      <w:outlineLvl w:val="3"/>
    </w:pPr>
    <w:rPr>
      <w:bCs/>
      <w:snapToGrid w:val="0"/>
      <w:kern w:val="0"/>
      <w:szCs w:val="20"/>
    </w:rPr>
  </w:style>
  <w:style w:type="character" w:customStyle="1" w:styleId="86">
    <w:name w:val="批注文字 字符1"/>
    <w:autoRedefine/>
    <w:semiHidden/>
    <w:qFormat/>
    <w:uiPriority w:val="0"/>
    <w:rPr>
      <w:rFonts w:ascii="Times New Roman" w:hAnsi="Times New Roman" w:eastAsia="宋体"/>
      <w:sz w:val="24"/>
    </w:rPr>
  </w:style>
  <w:style w:type="character" w:customStyle="1" w:styleId="87">
    <w:name w:val="font41"/>
    <w:basedOn w:val="43"/>
    <w:autoRedefine/>
    <w:qFormat/>
    <w:uiPriority w:val="0"/>
    <w:rPr>
      <w:rFonts w:hint="default" w:ascii="Times New Roman" w:hAnsi="Times New Roman" w:cs="Times New Roman"/>
      <w:color w:val="FF0000"/>
      <w:sz w:val="20"/>
      <w:szCs w:val="20"/>
      <w:u w:val="none"/>
      <w:vertAlign w:val="superscript"/>
    </w:rPr>
  </w:style>
  <w:style w:type="character" w:customStyle="1" w:styleId="88">
    <w:name w:val="fontstyle01"/>
    <w:basedOn w:val="43"/>
    <w:autoRedefine/>
    <w:qFormat/>
    <w:uiPriority w:val="0"/>
    <w:rPr>
      <w:rFonts w:hint="eastAsia" w:ascii="宋体" w:hAnsi="宋体" w:eastAsia="宋体"/>
      <w:color w:val="000000"/>
      <w:sz w:val="24"/>
      <w:szCs w:val="24"/>
    </w:rPr>
  </w:style>
  <w:style w:type="character" w:customStyle="1" w:styleId="89">
    <w:name w:val="正文文本 字符1"/>
    <w:autoRedefine/>
    <w:semiHidden/>
    <w:qFormat/>
    <w:uiPriority w:val="0"/>
    <w:rPr>
      <w:rFonts w:ascii="Times New Roman" w:hAnsi="Times New Roman" w:eastAsia="宋体"/>
      <w:sz w:val="24"/>
    </w:rPr>
  </w:style>
  <w:style w:type="character" w:customStyle="1" w:styleId="90">
    <w:name w:val="页脚 字符"/>
    <w:basedOn w:val="43"/>
    <w:autoRedefine/>
    <w:qFormat/>
    <w:uiPriority w:val="99"/>
  </w:style>
  <w:style w:type="character" w:customStyle="1" w:styleId="91">
    <w:name w:val="日期 字符"/>
    <w:autoRedefine/>
    <w:semiHidden/>
    <w:qFormat/>
    <w:uiPriority w:val="0"/>
    <w:rPr>
      <w:rFonts w:ascii="Times New Roman" w:hAnsi="Times New Roman" w:eastAsia="宋体"/>
      <w:sz w:val="24"/>
    </w:rPr>
  </w:style>
  <w:style w:type="paragraph" w:customStyle="1" w:styleId="92">
    <w:name w:val="B正文"/>
    <w:basedOn w:val="1"/>
    <w:autoRedefine/>
    <w:qFormat/>
    <w:uiPriority w:val="0"/>
    <w:pPr>
      <w:spacing w:line="360" w:lineRule="auto"/>
      <w:ind w:firstLine="200"/>
    </w:pPr>
    <w:rPr>
      <w:kern w:val="0"/>
    </w:rPr>
  </w:style>
  <w:style w:type="paragraph" w:customStyle="1" w:styleId="93">
    <w:name w:val="正文12"/>
    <w:basedOn w:val="1"/>
    <w:autoRedefine/>
    <w:qFormat/>
    <w:uiPriority w:val="0"/>
    <w:pPr>
      <w:spacing w:line="360" w:lineRule="auto"/>
      <w:ind w:firstLine="200"/>
    </w:pPr>
  </w:style>
  <w:style w:type="paragraph" w:customStyle="1" w:styleId="94">
    <w:name w:val="表头ck"/>
    <w:autoRedefine/>
    <w:qFormat/>
    <w:uiPriority w:val="0"/>
    <w:pPr>
      <w:widowControl w:val="0"/>
      <w:numPr>
        <w:ilvl w:val="0"/>
        <w:numId w:val="2"/>
      </w:numPr>
      <w:ind w:hanging="130"/>
      <w:jc w:val="center"/>
    </w:pPr>
    <w:rPr>
      <w:rFonts w:ascii="Times New Roman" w:hAnsi="Times New Roman" w:eastAsia="宋体" w:cs="宋体"/>
      <w:b/>
      <w:color w:val="000000"/>
      <w:sz w:val="24"/>
      <w:szCs w:val="24"/>
      <w:lang w:val="en-US" w:eastAsia="zh-CN" w:bidi="ar-SA"/>
    </w:rPr>
  </w:style>
  <w:style w:type="paragraph" w:customStyle="1" w:styleId="95">
    <w:name w:val="06F图名表名"/>
    <w:basedOn w:val="96"/>
    <w:next w:val="96"/>
    <w:autoRedefine/>
    <w:qFormat/>
    <w:uiPriority w:val="0"/>
    <w:rPr>
      <w:b/>
    </w:rPr>
  </w:style>
  <w:style w:type="paragraph" w:customStyle="1" w:styleId="96">
    <w:name w:val="07F表格文字"/>
    <w:basedOn w:val="97"/>
    <w:next w:val="97"/>
    <w:autoRedefine/>
    <w:qFormat/>
    <w:uiPriority w:val="0"/>
    <w:pPr>
      <w:jc w:val="center"/>
    </w:pPr>
  </w:style>
  <w:style w:type="paragraph" w:customStyle="1" w:styleId="97">
    <w:name w:val="08F表格批注"/>
    <w:basedOn w:val="1"/>
    <w:next w:val="1"/>
    <w:autoRedefine/>
    <w:qFormat/>
    <w:uiPriority w:val="0"/>
    <w:pPr>
      <w:jc w:val="left"/>
    </w:pPr>
    <w:rPr>
      <w:szCs w:val="21"/>
    </w:rPr>
  </w:style>
  <w:style w:type="paragraph" w:customStyle="1" w:styleId="98">
    <w:name w:val="样式 标题 2"/>
    <w:basedOn w:val="5"/>
    <w:autoRedefine/>
    <w:qFormat/>
    <w:uiPriority w:val="0"/>
    <w:pPr>
      <w:textAlignment w:val="baseline"/>
    </w:pPr>
    <w:rPr>
      <w:rFonts w:ascii="Arial" w:hAnsi="Arial" w:cs="宋体"/>
      <w:sz w:val="32"/>
      <w:szCs w:val="32"/>
    </w:rPr>
  </w:style>
  <w:style w:type="paragraph" w:customStyle="1" w:styleId="99">
    <w:name w:val="表头3"/>
    <w:basedOn w:val="1"/>
    <w:autoRedefine/>
    <w:qFormat/>
    <w:uiPriority w:val="0"/>
    <w:pPr>
      <w:numPr>
        <w:ilvl w:val="0"/>
        <w:numId w:val="3"/>
      </w:numPr>
      <w:ind w:hanging="130"/>
    </w:pPr>
    <w:rPr>
      <w:rFonts w:hint="eastAsia"/>
      <w:b/>
    </w:rPr>
  </w:style>
  <w:style w:type="paragraph" w:customStyle="1" w:styleId="100">
    <w:name w:val="报告书正文"/>
    <w:basedOn w:val="26"/>
    <w:autoRedefine/>
    <w:qFormat/>
    <w:uiPriority w:val="0"/>
    <w:pPr>
      <w:spacing w:line="360" w:lineRule="auto"/>
      <w:ind w:firstLine="200" w:firstLineChars="200"/>
    </w:pPr>
  </w:style>
  <w:style w:type="paragraph" w:customStyle="1" w:styleId="101">
    <w:name w:val="A表内"/>
    <w:basedOn w:val="1"/>
    <w:autoRedefine/>
    <w:qFormat/>
    <w:uiPriority w:val="0"/>
    <w:pPr>
      <w:spacing w:line="0" w:lineRule="atLeast"/>
      <w:jc w:val="center"/>
    </w:pPr>
    <w:rPr>
      <w:rFonts w:cs="宋体"/>
      <w:szCs w:val="20"/>
    </w:rPr>
  </w:style>
  <w:style w:type="paragraph" w:customStyle="1" w:styleId="102">
    <w:name w:val="报告表 段"/>
    <w:basedOn w:val="1"/>
    <w:autoRedefine/>
    <w:qFormat/>
    <w:uiPriority w:val="0"/>
    <w:pPr>
      <w:spacing w:line="360" w:lineRule="auto"/>
      <w:ind w:firstLine="470" w:firstLineChars="196"/>
    </w:pPr>
    <w:rPr>
      <w:rFonts w:ascii="宋体" w:hAnsi="宋体"/>
      <w:bCs/>
    </w:rPr>
  </w:style>
  <w:style w:type="paragraph" w:customStyle="1" w:styleId="103">
    <w:name w:val="文本"/>
    <w:basedOn w:val="1"/>
    <w:autoRedefine/>
    <w:qFormat/>
    <w:uiPriority w:val="0"/>
    <w:pPr>
      <w:spacing w:line="360" w:lineRule="auto"/>
      <w:ind w:firstLine="480"/>
    </w:pPr>
  </w:style>
  <w:style w:type="paragraph" w:customStyle="1" w:styleId="104">
    <w:name w:val="列出段落1"/>
    <w:basedOn w:val="1"/>
    <w:autoRedefine/>
    <w:qFormat/>
    <w:uiPriority w:val="0"/>
    <w:pPr>
      <w:spacing w:line="160" w:lineRule="atLeast"/>
      <w:ind w:firstLine="420"/>
    </w:pPr>
    <w:rPr>
      <w:rFonts w:ascii="Calibri" w:hAnsi="Calibri"/>
      <w:szCs w:val="22"/>
    </w:rPr>
  </w:style>
  <w:style w:type="paragraph" w:customStyle="1" w:styleId="105">
    <w:name w:val="0正文"/>
    <w:basedOn w:val="1"/>
    <w:autoRedefine/>
    <w:qFormat/>
    <w:uiPriority w:val="0"/>
    <w:pPr>
      <w:spacing w:line="360" w:lineRule="auto"/>
      <w:ind w:firstLine="200"/>
    </w:pPr>
  </w:style>
  <w:style w:type="paragraph" w:customStyle="1" w:styleId="106">
    <w:name w:val="D表内0磅"/>
    <w:basedOn w:val="1"/>
    <w:autoRedefine/>
    <w:qFormat/>
    <w:uiPriority w:val="0"/>
    <w:pPr>
      <w:jc w:val="center"/>
    </w:pPr>
    <w:rPr>
      <w:rFonts w:ascii="仿宋_GB2312"/>
      <w:spacing w:val="4"/>
      <w:szCs w:val="21"/>
    </w:rPr>
  </w:style>
  <w:style w:type="paragraph" w:customStyle="1" w:styleId="107">
    <w:name w:val="aa正文"/>
    <w:basedOn w:val="1"/>
    <w:autoRedefine/>
    <w:qFormat/>
    <w:uiPriority w:val="0"/>
    <w:pPr>
      <w:ind w:firstLine="200"/>
    </w:pPr>
  </w:style>
  <w:style w:type="paragraph" w:customStyle="1" w:styleId="108">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9">
    <w:name w:val="05F凡式正文"/>
    <w:basedOn w:val="1"/>
    <w:autoRedefine/>
    <w:qFormat/>
    <w:uiPriority w:val="0"/>
    <w:pPr>
      <w:spacing w:line="360" w:lineRule="auto"/>
    </w:pPr>
    <w:rPr>
      <w:kern w:val="0"/>
      <w:szCs w:val="20"/>
    </w:rPr>
  </w:style>
  <w:style w:type="paragraph" w:customStyle="1" w:styleId="110">
    <w:name w:val="CJ 3"/>
    <w:basedOn w:val="6"/>
    <w:autoRedefine/>
    <w:qFormat/>
    <w:uiPriority w:val="0"/>
  </w:style>
  <w:style w:type="paragraph" w:customStyle="1" w:styleId="111">
    <w:name w:val="D表内"/>
    <w:basedOn w:val="1"/>
    <w:autoRedefine/>
    <w:qFormat/>
    <w:uiPriority w:val="0"/>
    <w:pPr>
      <w:spacing w:line="240" w:lineRule="auto"/>
      <w:jc w:val="center"/>
    </w:pPr>
    <w:rPr>
      <w:sz w:val="21"/>
      <w:szCs w:val="21"/>
    </w:rPr>
  </w:style>
  <w:style w:type="paragraph" w:customStyle="1" w:styleId="112">
    <w:name w:val="Table Paragraph"/>
    <w:basedOn w:val="1"/>
    <w:next w:val="22"/>
    <w:autoRedefine/>
    <w:qFormat/>
    <w:uiPriority w:val="1"/>
  </w:style>
  <w:style w:type="paragraph" w:customStyle="1" w:styleId="113">
    <w:name w:val="普通(网站)2"/>
    <w:basedOn w:val="1"/>
    <w:autoRedefine/>
    <w:qFormat/>
    <w:uiPriority w:val="0"/>
    <w:pPr>
      <w:widowControl/>
      <w:spacing w:before="100" w:beforeAutospacing="1" w:after="100" w:afterAutospacing="1"/>
      <w:jc w:val="left"/>
    </w:pPr>
    <w:rPr>
      <w:rFonts w:ascii="宋体" w:hAnsi="宋体"/>
      <w:szCs w:val="20"/>
    </w:rPr>
  </w:style>
  <w:style w:type="paragraph" w:customStyle="1" w:styleId="114">
    <w:name w:val="6表内容"/>
    <w:basedOn w:val="1"/>
    <w:autoRedefine/>
    <w:qFormat/>
    <w:uiPriority w:val="0"/>
    <w:pPr>
      <w:spacing w:line="340" w:lineRule="exact"/>
      <w:jc w:val="center"/>
    </w:pPr>
    <w:rPr>
      <w:rFonts w:cs="宋体"/>
      <w:color w:val="000000"/>
    </w:rPr>
  </w:style>
  <w:style w:type="paragraph" w:customStyle="1" w:styleId="115">
    <w:name w:val="江锂报告书正文"/>
    <w:basedOn w:val="1"/>
    <w:autoRedefine/>
    <w:qFormat/>
    <w:uiPriority w:val="0"/>
    <w:pPr>
      <w:spacing w:line="360" w:lineRule="auto"/>
      <w:ind w:firstLine="480"/>
    </w:pPr>
    <w:rPr>
      <w:color w:val="000000"/>
      <w:kern w:val="0"/>
    </w:rPr>
  </w:style>
  <w:style w:type="paragraph" w:customStyle="1" w:styleId="116">
    <w:name w:val="报告表正文"/>
    <w:basedOn w:val="1"/>
    <w:autoRedefine/>
    <w:qFormat/>
    <w:uiPriority w:val="0"/>
    <w:pPr>
      <w:jc w:val="left"/>
      <w:textAlignment w:val="baseline"/>
    </w:pPr>
    <w:rPr>
      <w:kern w:val="0"/>
    </w:rPr>
  </w:style>
  <w:style w:type="paragraph" w:customStyle="1" w:styleId="117">
    <w:name w:val="五表头"/>
    <w:basedOn w:val="1"/>
    <w:autoRedefine/>
    <w:qFormat/>
    <w:uiPriority w:val="0"/>
    <w:pPr>
      <w:spacing w:before="50" w:beforeLines="50"/>
      <w:ind w:firstLine="0" w:firstLineChars="0"/>
      <w:jc w:val="center"/>
    </w:pPr>
    <w:rPr>
      <w:rFonts w:eastAsia="黑体"/>
    </w:rPr>
  </w:style>
  <w:style w:type="paragraph" w:customStyle="1" w:styleId="118">
    <w:name w:val="正文小四"/>
    <w:basedOn w:val="1"/>
    <w:autoRedefine/>
    <w:qFormat/>
    <w:uiPriority w:val="0"/>
    <w:pPr>
      <w:spacing w:line="360" w:lineRule="auto"/>
      <w:ind w:firstLine="360" w:firstLineChars="150"/>
      <w:jc w:val="left"/>
    </w:pPr>
    <w:rPr>
      <w:rFonts w:eastAsia="Century Gothic"/>
      <w:szCs w:val="20"/>
    </w:rPr>
  </w:style>
  <w:style w:type="paragraph" w:customStyle="1" w:styleId="119">
    <w:name w:val="六表内容"/>
    <w:basedOn w:val="1"/>
    <w:autoRedefine/>
    <w:qFormat/>
    <w:uiPriority w:val="0"/>
    <w:pPr>
      <w:spacing w:line="340" w:lineRule="exact"/>
      <w:jc w:val="center"/>
    </w:pPr>
    <w:rPr>
      <w:rFonts w:ascii="Calibri" w:hAnsi="Calibri"/>
      <w:szCs w:val="21"/>
    </w:rPr>
  </w:style>
  <w:style w:type="paragraph" w:customStyle="1" w:styleId="120">
    <w:name w:val="样式 小四 行距: 1.5 倍行距"/>
    <w:basedOn w:val="1"/>
    <w:autoRedefine/>
    <w:qFormat/>
    <w:uiPriority w:val="0"/>
    <w:pPr>
      <w:ind w:firstLine="480"/>
    </w:pPr>
    <w:rPr>
      <w:rFonts w:cs="宋体"/>
    </w:rPr>
  </w:style>
  <w:style w:type="paragraph" w:customStyle="1" w:styleId="121">
    <w:name w:val="nd正文"/>
    <w:basedOn w:val="24"/>
    <w:autoRedefine/>
    <w:qFormat/>
    <w:uiPriority w:val="0"/>
    <w:pPr>
      <w:spacing w:after="0" w:line="360" w:lineRule="auto"/>
      <w:ind w:left="0" w:leftChars="0" w:firstLine="200"/>
    </w:pPr>
    <w:rPr>
      <w:rFonts w:hAnsi="宋体"/>
    </w:rPr>
  </w:style>
  <w:style w:type="paragraph" w:customStyle="1" w:styleId="122">
    <w:name w:val="D图表小四"/>
    <w:basedOn w:val="1"/>
    <w:autoRedefine/>
    <w:qFormat/>
    <w:uiPriority w:val="0"/>
    <w:pPr>
      <w:spacing w:before="120" w:after="120"/>
      <w:jc w:val="center"/>
    </w:pPr>
    <w:rPr>
      <w:b/>
    </w:rPr>
  </w:style>
  <w:style w:type="paragraph" w:customStyle="1" w:styleId="123">
    <w:name w:val="B表内"/>
    <w:basedOn w:val="1"/>
    <w:autoRedefine/>
    <w:qFormat/>
    <w:uiPriority w:val="0"/>
    <w:pPr>
      <w:spacing w:line="0" w:lineRule="atLeast"/>
      <w:jc w:val="center"/>
    </w:pPr>
    <w:rPr>
      <w:rFonts w:cs="宋体"/>
      <w:szCs w:val="20"/>
    </w:rPr>
  </w:style>
  <w:style w:type="paragraph" w:customStyle="1" w:styleId="124">
    <w:name w:val="【正文】"/>
    <w:basedOn w:val="1"/>
    <w:autoRedefine/>
    <w:qFormat/>
    <w:uiPriority w:val="0"/>
    <w:pPr>
      <w:spacing w:line="360" w:lineRule="auto"/>
      <w:ind w:firstLine="200"/>
      <w:jc w:val="left"/>
    </w:pPr>
  </w:style>
  <w:style w:type="paragraph" w:customStyle="1" w:styleId="125">
    <w:name w:val="纯文本1"/>
    <w:basedOn w:val="1"/>
    <w:autoRedefine/>
    <w:qFormat/>
    <w:uiPriority w:val="0"/>
    <w:rPr>
      <w:rFonts w:ascii="宋体" w:hAnsi="Courier New"/>
      <w:szCs w:val="20"/>
    </w:rPr>
  </w:style>
  <w:style w:type="paragraph" w:customStyle="1" w:styleId="126">
    <w:name w:val="表内容"/>
    <w:basedOn w:val="1"/>
    <w:autoRedefine/>
    <w:qFormat/>
    <w:uiPriority w:val="0"/>
    <w:pPr>
      <w:spacing w:line="240" w:lineRule="auto"/>
      <w:ind w:firstLine="0" w:firstLineChars="0"/>
      <w:jc w:val="center"/>
    </w:pPr>
    <w:rPr>
      <w:rFonts w:cs="黑体"/>
      <w:sz w:val="21"/>
    </w:rPr>
  </w:style>
  <w:style w:type="paragraph" w:customStyle="1" w:styleId="127">
    <w:name w:val="表格标题新"/>
    <w:basedOn w:val="1"/>
    <w:autoRedefine/>
    <w:qFormat/>
    <w:uiPriority w:val="0"/>
    <w:pPr>
      <w:tabs>
        <w:tab w:val="left" w:pos="0"/>
      </w:tabs>
      <w:spacing w:before="156" w:beforeLines="50"/>
      <w:ind w:left="-113" w:right="-113" w:firstLine="562"/>
      <w:jc w:val="center"/>
    </w:pPr>
    <w:rPr>
      <w:rFonts w:ascii="仿宋_GB2312" w:hAnsi="Calibri" w:eastAsia="黑体"/>
      <w:b/>
      <w:kern w:val="21"/>
    </w:rPr>
  </w:style>
  <w:style w:type="paragraph" w:customStyle="1" w:styleId="128">
    <w:name w:val="Char"/>
    <w:basedOn w:val="1"/>
    <w:autoRedefine/>
    <w:qFormat/>
    <w:uiPriority w:val="0"/>
    <w:rPr>
      <w:rFonts w:ascii="Calibri" w:hAnsi="Calibri"/>
    </w:rPr>
  </w:style>
  <w:style w:type="paragraph" w:customStyle="1" w:styleId="129">
    <w:name w:val="君邦正文"/>
    <w:basedOn w:val="1"/>
    <w:autoRedefine/>
    <w:qFormat/>
    <w:uiPriority w:val="0"/>
    <w:pPr>
      <w:spacing w:after="60" w:line="360" w:lineRule="auto"/>
      <w:ind w:firstLine="200"/>
    </w:pPr>
    <w:rPr>
      <w:szCs w:val="20"/>
    </w:rPr>
  </w:style>
  <w:style w:type="table" w:customStyle="1" w:styleId="130">
    <w:name w:val="表格标准格式"/>
    <w:basedOn w:val="41"/>
    <w:autoRedefine/>
    <w:qFormat/>
    <w:uiPriority w:val="99"/>
    <w:pPr>
      <w:jc w:val="center"/>
    </w:pPr>
    <w:tblPr>
      <w:tblBorders>
        <w:top w:val="single" w:color="auto" w:sz="12" w:space="0"/>
        <w:bottom w:val="single" w:color="auto" w:sz="12" w:space="0"/>
        <w:insideH w:val="single" w:color="auto" w:sz="6" w:space="0"/>
        <w:insideV w:val="single" w:color="auto" w:sz="6" w:space="0"/>
      </w:tblBorders>
    </w:tblPr>
    <w:tcPr>
      <w:vAlign w:val="center"/>
    </w:tcPr>
  </w:style>
  <w:style w:type="paragraph" w:customStyle="1" w:styleId="131">
    <w:name w:val="环评正文"/>
    <w:basedOn w:val="1"/>
    <w:autoRedefine/>
    <w:qFormat/>
    <w:uiPriority w:val="0"/>
    <w:pPr>
      <w:ind w:firstLine="200"/>
    </w:pPr>
    <w:rPr>
      <w:bCs/>
      <w:kern w:val="0"/>
    </w:rPr>
  </w:style>
  <w:style w:type="paragraph" w:customStyle="1" w:styleId="132">
    <w:name w:val="TT表格文字"/>
    <w:basedOn w:val="1"/>
    <w:autoRedefine/>
    <w:qFormat/>
    <w:uiPriority w:val="0"/>
    <w:pPr>
      <w:jc w:val="center"/>
    </w:pPr>
    <w:rPr>
      <w:rFonts w:cs="宋体"/>
      <w:szCs w:val="20"/>
    </w:rPr>
  </w:style>
  <w:style w:type="paragraph" w:customStyle="1" w:styleId="133">
    <w:name w:val="00正文"/>
    <w:basedOn w:val="1"/>
    <w:autoRedefine/>
    <w:qFormat/>
    <w:uiPriority w:val="0"/>
    <w:pPr>
      <w:spacing w:line="480" w:lineRule="exact"/>
      <w:ind w:firstLine="200"/>
    </w:pPr>
    <w:rPr>
      <w:rFonts w:ascii="Calibri" w:hAnsi="Calibri"/>
      <w:szCs w:val="22"/>
    </w:rPr>
  </w:style>
  <w:style w:type="paragraph" w:customStyle="1" w:styleId="134">
    <w:name w:val="图片名称"/>
    <w:basedOn w:val="1"/>
    <w:autoRedefine/>
    <w:qFormat/>
    <w:uiPriority w:val="0"/>
    <w:pPr>
      <w:widowControl/>
      <w:spacing w:afterLines="50"/>
      <w:jc w:val="center"/>
    </w:pPr>
    <w:rPr>
      <w:b/>
    </w:rPr>
  </w:style>
  <w:style w:type="paragraph" w:customStyle="1" w:styleId="135">
    <w:name w:val="表中表5号"/>
    <w:basedOn w:val="136"/>
    <w:next w:val="1"/>
    <w:autoRedefine/>
    <w:qFormat/>
    <w:uiPriority w:val="0"/>
    <w:rPr>
      <w:bCs/>
      <w:sz w:val="21"/>
      <w:szCs w:val="18"/>
    </w:rPr>
  </w:style>
  <w:style w:type="paragraph" w:customStyle="1" w:styleId="136">
    <w:name w:val="表格中文字"/>
    <w:basedOn w:val="1"/>
    <w:autoRedefine/>
    <w:qFormat/>
    <w:uiPriority w:val="0"/>
    <w:pPr>
      <w:jc w:val="center"/>
    </w:pPr>
    <w:rPr>
      <w:szCs w:val="21"/>
    </w:rPr>
  </w:style>
  <w:style w:type="table" w:customStyle="1" w:styleId="137">
    <w:name w:val="表中表"/>
    <w:basedOn w:val="41"/>
    <w:autoRedefine/>
    <w:qFormat/>
    <w:uiPriority w:val="99"/>
    <w:pPr>
      <w:jc w:val="center"/>
    </w:pPr>
    <w:rPr>
      <w:sz w:val="21"/>
    </w:rPr>
    <w:tblPr>
      <w:jc w:val="center"/>
      <w:tblBorders>
        <w:top w:val="single" w:color="auto" w:sz="12" w:space="0"/>
        <w:bottom w:val="single" w:color="auto" w:sz="12" w:space="0"/>
        <w:insideH w:val="single" w:color="auto" w:sz="4" w:space="0"/>
        <w:insideV w:val="single" w:color="auto" w:sz="4" w:space="0"/>
      </w:tblBorders>
      <w:tblCellMar>
        <w:left w:w="0" w:type="dxa"/>
        <w:right w:w="0" w:type="dxa"/>
      </w:tblCellMar>
    </w:tblPr>
    <w:trPr>
      <w:jc w:val="center"/>
    </w:trPr>
    <w:tcPr>
      <w:vAlign w:val="center"/>
    </w:tcPr>
    <w:tblStylePr w:type="firstRow">
      <w:pPr>
        <w:jc w:val="center"/>
      </w:pPr>
      <w:rPr>
        <w:rFonts w:ascii="Times New Roman" w:hAnsi="Times New Roman" w:eastAsia="宋体"/>
        <w:b/>
        <w:sz w:val="21"/>
      </w:rPr>
    </w:tblStylePr>
  </w:style>
  <w:style w:type="paragraph" w:customStyle="1" w:styleId="138">
    <w:name w:val="2-表格"/>
    <w:basedOn w:val="1"/>
    <w:autoRedefine/>
    <w:qFormat/>
    <w:uiPriority w:val="0"/>
    <w:pPr>
      <w:jc w:val="center"/>
    </w:pPr>
  </w:style>
  <w:style w:type="paragraph" w:customStyle="1" w:styleId="139">
    <w:name w:val="表头1"/>
    <w:basedOn w:val="1"/>
    <w:next w:val="1"/>
    <w:autoRedefine/>
    <w:qFormat/>
    <w:uiPriority w:val="0"/>
    <w:pPr>
      <w:jc w:val="center"/>
    </w:pPr>
    <w:rPr>
      <w:rFonts w:hint="eastAsia"/>
      <w:b/>
      <w:color w:val="000000" w:themeColor="text1"/>
      <w14:textFill>
        <w14:solidFill>
          <w14:schemeClr w14:val="tx1"/>
        </w14:solidFill>
      </w14:textFill>
    </w:rPr>
  </w:style>
  <w:style w:type="paragraph" w:customStyle="1" w:styleId="140">
    <w:name w:val="0000正文"/>
    <w:basedOn w:val="1"/>
    <w:autoRedefine/>
    <w:qFormat/>
    <w:uiPriority w:val="0"/>
    <w:pPr>
      <w:spacing w:line="360" w:lineRule="auto"/>
      <w:ind w:firstLine="422"/>
    </w:pPr>
  </w:style>
  <w:style w:type="paragraph" w:customStyle="1" w:styleId="141">
    <w:name w:val="1155图示-自动生成"/>
    <w:basedOn w:val="8"/>
    <w:next w:val="1"/>
    <w:autoRedefine/>
    <w:qFormat/>
    <w:uiPriority w:val="0"/>
    <w:rPr>
      <w:rFonts w:hint="eastAsia"/>
    </w:rPr>
  </w:style>
  <w:style w:type="paragraph" w:customStyle="1" w:styleId="142">
    <w:name w:val="WPSOffice手动目录 1"/>
    <w:qFormat/>
    <w:uiPriority w:val="0"/>
    <w:rPr>
      <w:rFonts w:ascii="Times New Roman" w:hAnsi="Times New Roman" w:eastAsia="宋体" w:cs="Times New Roman"/>
      <w:lang w:val="en-US" w:eastAsia="zh-CN" w:bidi="ar-SA"/>
    </w:rPr>
  </w:style>
  <w:style w:type="paragraph" w:customStyle="1" w:styleId="143">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44">
    <w:name w:val="Table Text"/>
    <w:basedOn w:val="1"/>
    <w:semiHidden/>
    <w:qFormat/>
    <w:uiPriority w:val="0"/>
    <w:rPr>
      <w:rFonts w:ascii="宋体" w:hAnsi="宋体" w:cs="宋体"/>
      <w:lang w:eastAsia="en-US"/>
    </w:rPr>
  </w:style>
  <w:style w:type="table" w:customStyle="1" w:styleId="145">
    <w:name w:val="Table Normal"/>
    <w:semiHidden/>
    <w:unhideWhenUsed/>
    <w:qFormat/>
    <w:uiPriority w:val="0"/>
    <w:tblPr>
      <w:tblCellMar>
        <w:top w:w="0" w:type="dxa"/>
        <w:left w:w="0" w:type="dxa"/>
        <w:bottom w:w="0" w:type="dxa"/>
        <w:right w:w="0" w:type="dxa"/>
      </w:tblCellMar>
    </w:tblPr>
  </w:style>
  <w:style w:type="paragraph" w:customStyle="1" w:styleId="146">
    <w:name w:val="li_正文"/>
    <w:basedOn w:val="1"/>
    <w:qFormat/>
    <w:uiPriority w:val="0"/>
    <w:pPr>
      <w:tabs>
        <w:tab w:val="left" w:pos="2574"/>
      </w:tabs>
      <w:overflowPunct w:val="0"/>
      <w:topLinePunct/>
      <w:ind w:firstLine="480"/>
      <w:jc w:val="left"/>
    </w:pPr>
    <w:rPr>
      <w:sz w:val="28"/>
      <w:szCs w:val="28"/>
    </w:rPr>
  </w:style>
  <w:style w:type="character" w:customStyle="1" w:styleId="147">
    <w:name w:val="font21"/>
    <w:basedOn w:val="43"/>
    <w:qFormat/>
    <w:uiPriority w:val="0"/>
    <w:rPr>
      <w:rFonts w:hint="eastAsia" w:ascii="宋体" w:hAnsi="宋体" w:eastAsia="宋体" w:cs="宋体"/>
      <w:color w:val="000000"/>
      <w:sz w:val="21"/>
      <w:szCs w:val="21"/>
      <w:u w:val="none"/>
    </w:rPr>
  </w:style>
  <w:style w:type="character" w:customStyle="1" w:styleId="148">
    <w:name w:val="font11"/>
    <w:basedOn w:val="43"/>
    <w:qFormat/>
    <w:uiPriority w:val="0"/>
    <w:rPr>
      <w:rFonts w:hint="default" w:ascii="Times New Roman" w:hAnsi="Times New Roman" w:cs="Times New Roman"/>
      <w:color w:val="000000"/>
      <w:sz w:val="21"/>
      <w:szCs w:val="21"/>
      <w:u w:val="none"/>
    </w:rPr>
  </w:style>
  <w:style w:type="paragraph" w:customStyle="1" w:styleId="149">
    <w:name w:val="正文文本222222"/>
    <w:qFormat/>
    <w:uiPriority w:val="0"/>
    <w:pPr>
      <w:spacing w:line="440" w:lineRule="exact"/>
      <w:ind w:firstLine="200" w:firstLineChars="200"/>
    </w:pPr>
    <w:rPr>
      <w:rFonts w:ascii="Times New Roman" w:hAnsi="Times New Roman" w:eastAsia="宋体" w:cs="Times New Roman"/>
      <w:sz w:val="24"/>
      <w:szCs w:val="24"/>
      <w:lang w:val="en-US" w:eastAsia="zh-CN" w:bidi="ar-SA"/>
    </w:rPr>
  </w:style>
  <w:style w:type="character" w:customStyle="1" w:styleId="150">
    <w:name w:val="a-desc"/>
    <w:basedOn w:val="43"/>
    <w:qFormat/>
    <w:uiPriority w:val="0"/>
    <w:rPr>
      <w:color w:val="315EFB"/>
    </w:rPr>
  </w:style>
  <w:style w:type="character" w:customStyle="1" w:styleId="151">
    <w:name w:val="num"/>
    <w:basedOn w:val="43"/>
    <w:qFormat/>
    <w:uiPriority w:val="0"/>
    <w:rPr>
      <w:b/>
      <w:bCs/>
      <w:color w:val="FF7800"/>
    </w:rPr>
  </w:style>
  <w:style w:type="character" w:customStyle="1" w:styleId="152">
    <w:name w:val="new-icon2"/>
    <w:basedOn w:val="43"/>
    <w:qFormat/>
    <w:uiPriority w:val="0"/>
  </w:style>
  <w:style w:type="character" w:customStyle="1" w:styleId="153">
    <w:name w:val="new-icon3"/>
    <w:basedOn w:val="43"/>
    <w:qFormat/>
    <w:uiPriority w:val="0"/>
  </w:style>
  <w:style w:type="character" w:customStyle="1" w:styleId="154">
    <w:name w:val="font31"/>
    <w:basedOn w:val="43"/>
    <w:qFormat/>
    <w:uiPriority w:val="0"/>
    <w:rPr>
      <w:rFonts w:hint="default" w:ascii="Times New Roman" w:hAnsi="Times New Roman" w:cs="Times New Roman"/>
      <w:color w:val="000000"/>
      <w:sz w:val="21"/>
      <w:szCs w:val="21"/>
      <w:u w:val="none"/>
      <w:vertAlign w:val="subscript"/>
    </w:rPr>
  </w:style>
  <w:style w:type="paragraph" w:customStyle="1" w:styleId="155">
    <w:name w:val="正文22222222222222222222"/>
    <w:basedOn w:val="1"/>
    <w:qFormat/>
    <w:uiPriority w:val="0"/>
    <w:pPr>
      <w:ind w:firstLine="200"/>
    </w:pPr>
    <w:rPr>
      <w:color w:val="000000"/>
    </w:rPr>
  </w:style>
  <w:style w:type="character" w:customStyle="1" w:styleId="156">
    <w:name w:val="font51"/>
    <w:basedOn w:val="43"/>
    <w:qFormat/>
    <w:uiPriority w:val="0"/>
    <w:rPr>
      <w:rFonts w:hint="eastAsia" w:ascii="宋体" w:hAnsi="宋体" w:eastAsia="宋体" w:cs="宋体"/>
      <w:color w:val="FF0000"/>
      <w:sz w:val="21"/>
      <w:szCs w:val="21"/>
      <w:u w:val="none"/>
    </w:rPr>
  </w:style>
  <w:style w:type="paragraph" w:customStyle="1" w:styleId="157">
    <w:name w:val="表--居中"/>
    <w:basedOn w:val="1"/>
    <w:next w:val="1"/>
    <w:autoRedefine/>
    <w:qFormat/>
    <w:uiPriority w:val="0"/>
    <w:pPr>
      <w:tabs>
        <w:tab w:val="left" w:pos="0"/>
      </w:tabs>
      <w:spacing w:line="240" w:lineRule="auto"/>
      <w:ind w:firstLine="0" w:firstLineChars="0"/>
      <w:jc w:val="center"/>
    </w:pPr>
    <w:rPr>
      <w:rFonts w:hint="eastAsia"/>
      <w:sz w:val="21"/>
    </w:rPr>
  </w:style>
  <w:style w:type="paragraph" w:customStyle="1" w:styleId="158">
    <w:name w:val="xl24"/>
    <w:basedOn w:val="1"/>
    <w:qFormat/>
    <w:uiPriority w:val="0"/>
    <w:pPr>
      <w:widowControl/>
      <w:spacing w:before="100" w:beforeAutospacing="1" w:after="100" w:afterAutospacing="1"/>
      <w:jc w:val="center"/>
    </w:pPr>
    <w:rPr>
      <w:rFonts w:ascii="Arial Unicode MS" w:hAnsi="Arial Unicode MS" w:eastAsia="Arial Unicode MS" w:cs="Arial Unicode MS"/>
      <w:kern w:val="0"/>
      <w:sz w:val="24"/>
      <w:szCs w:val="24"/>
    </w:rPr>
  </w:style>
  <w:style w:type="paragraph" w:customStyle="1" w:styleId="159">
    <w:name w:val="表内"/>
    <w:basedOn w:val="1"/>
    <w:qFormat/>
    <w:uiPriority w:val="0"/>
    <w:pPr>
      <w:widowControl/>
      <w:spacing w:line="320" w:lineRule="exact"/>
      <w:jc w:val="center"/>
    </w:pPr>
    <w:rPr>
      <w:snapToGrid w:val="0"/>
      <w:kern w:val="0"/>
      <w:szCs w:val="20"/>
    </w:rPr>
  </w:style>
  <w:style w:type="paragraph" w:customStyle="1" w:styleId="160">
    <w:name w:val="文本内容"/>
    <w:basedOn w:val="1"/>
    <w:qFormat/>
    <w:uiPriority w:val="0"/>
    <w:pPr>
      <w:adjustRightInd w:val="0"/>
      <w:snapToGrid w:val="0"/>
      <w:spacing w:line="520" w:lineRule="exact"/>
      <w:ind w:firstLine="200" w:firstLineChars="200"/>
    </w:pPr>
    <w:rPr>
      <w:rFonts w:ascii="宋体" w:hAnsi="宋体" w:cs="宋体"/>
      <w:kern w:val="0"/>
      <w:sz w:val="24"/>
      <w:szCs w:val="21"/>
    </w:rPr>
  </w:style>
  <w:style w:type="paragraph" w:customStyle="1" w:styleId="161">
    <w:name w:val="表格文字"/>
    <w:autoRedefine/>
    <w:qFormat/>
    <w:uiPriority w:val="0"/>
    <w:pPr>
      <w:widowControl w:val="0"/>
      <w:tabs>
        <w:tab w:val="left" w:pos="-2848"/>
      </w:tabs>
      <w:spacing w:before="40" w:after="40" w:line="240" w:lineRule="atLeast"/>
      <w:jc w:val="center"/>
    </w:pPr>
    <w:rPr>
      <w:rFonts w:ascii="Calibri" w:hAnsi="Calibri" w:eastAsia="Calibri" w:cs="Times New Roman"/>
      <w:kern w:val="2"/>
      <w:position w:val="-10"/>
      <w:sz w:val="21"/>
      <w:szCs w:val="20"/>
      <w:lang w:val="en-US" w:eastAsia="zh-CN" w:bidi="ar-SA"/>
    </w:rPr>
  </w:style>
  <w:style w:type="paragraph" w:customStyle="1" w:styleId="162">
    <w:name w:val="标题1"/>
    <w:basedOn w:val="1"/>
    <w:qFormat/>
    <w:uiPriority w:val="0"/>
    <w:pPr>
      <w:spacing w:after="120" w:line="360" w:lineRule="auto"/>
      <w:ind w:left="454"/>
      <w:outlineLvl w:val="0"/>
    </w:pPr>
    <w:rPr>
      <w:rFonts w:ascii="宋体" w:eastAsia="黑体" w:cs="宋体"/>
      <w:spacing w:val="4"/>
      <w:kern w:val="18"/>
      <w:sz w:val="28"/>
      <w:szCs w:val="28"/>
    </w:rPr>
  </w:style>
  <w:style w:type="paragraph" w:customStyle="1" w:styleId="163">
    <w:name w:val="表2内容"/>
    <w:basedOn w:val="1"/>
    <w:qFormat/>
    <w:uiPriority w:val="0"/>
    <w:pPr>
      <w:snapToGrid w:val="0"/>
      <w:spacing w:before="34" w:line="240" w:lineRule="exact"/>
      <w:ind w:firstLine="0" w:firstLineChars="0"/>
      <w:jc w:val="center"/>
    </w:pPr>
    <w:rPr>
      <w:rFonts w:ascii="Times New Roman" w:hAnsi="Times New Roman" w:eastAsia="宋体"/>
      <w:sz w:val="21"/>
    </w:rPr>
  </w:style>
  <w:style w:type="paragraph" w:customStyle="1" w:styleId="164">
    <w:name w:val="【表头】"/>
    <w:basedOn w:val="1"/>
    <w:qFormat/>
    <w:uiPriority w:val="0"/>
    <w:pPr>
      <w:adjustRightInd w:val="0"/>
      <w:snapToGrid w:val="0"/>
      <w:spacing w:before="50" w:beforeLines="50"/>
      <w:jc w:val="center"/>
      <w:textAlignment w:val="baseline"/>
    </w:pPr>
    <w:rPr>
      <w:rFonts w:cs="Arial"/>
      <w:b/>
      <w:sz w:val="24"/>
      <w:szCs w:val="20"/>
    </w:rPr>
  </w:style>
  <w:style w:type="paragraph" w:customStyle="1" w:styleId="165">
    <w:name w:val="00表文"/>
    <w:basedOn w:val="1"/>
    <w:qFormat/>
    <w:uiPriority w:val="0"/>
    <w:pPr>
      <w:adjustRightInd w:val="0"/>
      <w:snapToGrid w:val="0"/>
      <w:jc w:val="center"/>
    </w:pPr>
    <w:rPr>
      <w:snapToGrid w:val="0"/>
      <w:color w:val="000000"/>
      <w:kern w:val="0"/>
      <w:szCs w:val="21"/>
    </w:rPr>
  </w:style>
  <w:style w:type="character" w:customStyle="1" w:styleId="166">
    <w:name w:val="font61"/>
    <w:basedOn w:val="43"/>
    <w:qFormat/>
    <w:uiPriority w:val="0"/>
    <w:rPr>
      <w:rFonts w:hint="default" w:ascii="Times New Roman" w:hAnsi="Times New Roman" w:cs="Times New Roman"/>
      <w:b/>
      <w:bCs/>
      <w:color w:val="000000"/>
      <w:sz w:val="18"/>
      <w:szCs w:val="18"/>
      <w:u w:val="none"/>
      <w:vertAlign w:val="superscript"/>
    </w:rPr>
  </w:style>
  <w:style w:type="paragraph" w:customStyle="1" w:styleId="167">
    <w:name w:val="ZH正文"/>
    <w:basedOn w:val="1"/>
    <w:qFormat/>
    <w:uiPriority w:val="0"/>
    <w:rPr>
      <w:szCs w:val="24"/>
    </w:rPr>
  </w:style>
  <w:style w:type="paragraph" w:customStyle="1" w:styleId="168">
    <w:name w:val="D正文"/>
    <w:basedOn w:val="169"/>
    <w:autoRedefine/>
    <w:qFormat/>
    <w:uiPriority w:val="0"/>
    <w:pPr>
      <w:widowControl/>
      <w:spacing w:line="360" w:lineRule="auto"/>
      <w:ind w:firstLine="480" w:firstLineChars="200"/>
      <w:jc w:val="both"/>
    </w:pPr>
    <w:rPr>
      <w:rFonts w:hint="eastAsia" w:ascii="Times New Roman" w:hAnsi="Times New Roman" w:eastAsia="宋体" w:cs="Times New Roman"/>
      <w:kern w:val="0"/>
      <w:sz w:val="24"/>
      <w:szCs w:val="24"/>
      <w:lang w:val="en-US" w:eastAsia="en-US" w:bidi="en-US"/>
    </w:rPr>
  </w:style>
  <w:style w:type="paragraph" w:customStyle="1" w:styleId="169">
    <w:name w:val="正文对的"/>
    <w:autoRedefine/>
    <w:qFormat/>
    <w:uiPriority w:val="0"/>
    <w:pPr>
      <w:widowControl/>
      <w:spacing w:line="360" w:lineRule="auto"/>
      <w:ind w:firstLine="480"/>
      <w:jc w:val="left"/>
    </w:pPr>
    <w:rPr>
      <w:rFonts w:hint="eastAsia" w:ascii="Times New Roman" w:hAnsi="Times New Roman" w:eastAsia="宋体" w:cs="宋体"/>
      <w:kern w:val="2"/>
      <w:sz w:val="24"/>
      <w:szCs w:val="24"/>
      <w:lang w:val="en-US" w:eastAsia="en-US" w:bidi="en-US"/>
    </w:rPr>
  </w:style>
  <w:style w:type="paragraph" w:customStyle="1" w:styleId="170">
    <w:name w:val=" Char"/>
    <w:autoRedefine/>
    <w:qFormat/>
    <w:uiPriority w:val="0"/>
    <w:pPr>
      <w:widowControl w:val="0"/>
      <w:jc w:val="both"/>
    </w:pPr>
    <w:rPr>
      <w:rFonts w:ascii="Times New Roman" w:hAnsi="Times New Roman" w:eastAsia="宋体" w:cs="Times New Roman"/>
      <w:kern w:val="2"/>
      <w:sz w:val="24"/>
      <w:szCs w:val="24"/>
      <w:lang w:val="en-US" w:eastAsia="zh-CN" w:bidi="ar-SA"/>
    </w:rPr>
  </w:style>
  <w:style w:type="paragraph" w:customStyle="1" w:styleId="171">
    <w:name w:val="表格内容"/>
    <w:basedOn w:val="67"/>
    <w:autoRedefine/>
    <w:qFormat/>
    <w:uiPriority w:val="0"/>
    <w:pPr>
      <w:widowControl w:val="0"/>
      <w:jc w:val="center"/>
    </w:pPr>
    <w:rPr>
      <w:rFonts w:hint="eastAsia" w:ascii="Times New Roman" w:hAnsi="Times New Roman" w:eastAsia="宋体" w:cs="Times New Roman"/>
      <w:kern w:val="2"/>
      <w:sz w:val="21"/>
      <w:szCs w:val="21"/>
      <w:lang w:val="en-US" w:eastAsia="zh-CN" w:bidi="ar-SA"/>
    </w:rPr>
  </w:style>
  <w:style w:type="paragraph" w:customStyle="1" w:styleId="172">
    <w:name w:val="表格样式居中型"/>
    <w:basedOn w:val="1"/>
    <w:qFormat/>
    <w:uiPriority w:val="0"/>
    <w:pPr>
      <w:pBdr>
        <w:top w:val="none" w:color="auto" w:sz="0" w:space="1"/>
        <w:left w:val="none" w:color="auto" w:sz="0" w:space="4"/>
        <w:bottom w:val="none" w:color="auto" w:sz="0" w:space="1"/>
        <w:right w:val="none" w:color="auto" w:sz="0" w:space="4"/>
      </w:pBdr>
      <w:adjustRightInd w:val="0"/>
      <w:snapToGrid w:val="0"/>
      <w:jc w:val="center"/>
    </w:pPr>
  </w:style>
  <w:style w:type="paragraph" w:customStyle="1" w:styleId="173">
    <w:name w:val="表格名称"/>
    <w:basedOn w:val="1"/>
    <w:next w:val="1"/>
    <w:autoRedefine/>
    <w:qFormat/>
    <w:uiPriority w:val="0"/>
    <w:pPr>
      <w:keepNext/>
      <w:keepLines/>
      <w:widowControl/>
      <w:tabs>
        <w:tab w:val="left" w:pos="993"/>
        <w:tab w:val="center" w:pos="4112"/>
      </w:tabs>
      <w:topLinePunct/>
      <w:autoSpaceDE w:val="0"/>
      <w:autoSpaceDN w:val="0"/>
      <w:adjustRightInd w:val="0"/>
      <w:spacing w:before="156" w:beforeLines="50" w:line="360" w:lineRule="auto"/>
      <w:jc w:val="left"/>
      <w:outlineLvl w:val="8"/>
    </w:pPr>
    <w:rPr>
      <w:rFonts w:eastAsia="楷体_GB2312"/>
      <w:sz w:val="24"/>
    </w:rPr>
  </w:style>
  <w:style w:type="paragraph" w:customStyle="1" w:styleId="174">
    <w:name w:val="填表内容"/>
    <w:basedOn w:val="1"/>
    <w:qFormat/>
    <w:uiPriority w:val="0"/>
    <w:pPr>
      <w:adjustRightInd w:val="0"/>
      <w:spacing w:line="480" w:lineRule="exact"/>
      <w:ind w:firstLine="560" w:firstLineChars="200"/>
      <w:jc w:val="left"/>
      <w:textAlignment w:val="baseline"/>
    </w:pPr>
    <w:rPr>
      <w:rFonts w:ascii="楷体_GB2312" w:eastAsia="楷体_GB2312"/>
      <w:sz w:val="28"/>
      <w:szCs w:val="20"/>
    </w:rPr>
  </w:style>
  <w:style w:type="paragraph" w:customStyle="1" w:styleId="175">
    <w:name w:val="04F报告表小标题"/>
    <w:basedOn w:val="176"/>
    <w:next w:val="109"/>
    <w:qFormat/>
    <w:uiPriority w:val="0"/>
    <w:pPr>
      <w:ind w:firstLine="720" w:firstLineChars="200"/>
    </w:pPr>
    <w:rPr>
      <w:rFonts w:ascii="Times New Roman" w:hAnsi="Times New Roman" w:eastAsia="宋体"/>
      <w:sz w:val="24"/>
      <w:szCs w:val="24"/>
    </w:rPr>
  </w:style>
  <w:style w:type="paragraph" w:customStyle="1" w:styleId="176">
    <w:name w:val="03F报告表顶格标题"/>
    <w:basedOn w:val="109"/>
    <w:next w:val="175"/>
    <w:qFormat/>
    <w:uiPriority w:val="0"/>
    <w:pPr>
      <w:ind w:firstLine="0" w:firstLineChars="0"/>
      <w:jc w:val="left"/>
    </w:pPr>
    <w:rPr>
      <w:rFonts w:eastAsia="宋体"/>
      <w:b/>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8" Type="http://schemas.openxmlformats.org/officeDocument/2006/relationships/fontTable" Target="fontTable.xml"/><Relationship Id="rId47" Type="http://schemas.microsoft.com/office/2006/relationships/keyMapCustomizations" Target="customizations.xml"/><Relationship Id="rId46" Type="http://schemas.openxmlformats.org/officeDocument/2006/relationships/numbering" Target="numbering.xml"/><Relationship Id="rId45" Type="http://schemas.openxmlformats.org/officeDocument/2006/relationships/customXml" Target="../customXml/item1.xml"/><Relationship Id="rId44" Type="http://schemas.openxmlformats.org/officeDocument/2006/relationships/image" Target="media/image26.png"/><Relationship Id="rId43" Type="http://schemas.openxmlformats.org/officeDocument/2006/relationships/image" Target="media/image25.png"/><Relationship Id="rId42" Type="http://schemas.openxmlformats.org/officeDocument/2006/relationships/image" Target="media/image24.png"/><Relationship Id="rId41" Type="http://schemas.openxmlformats.org/officeDocument/2006/relationships/image" Target="media/image23.png"/><Relationship Id="rId40" Type="http://schemas.openxmlformats.org/officeDocument/2006/relationships/image" Target="media/image22.png"/><Relationship Id="rId4" Type="http://schemas.openxmlformats.org/officeDocument/2006/relationships/endnotes" Target="endnotes.xml"/><Relationship Id="rId39" Type="http://schemas.openxmlformats.org/officeDocument/2006/relationships/image" Target="media/image21.png"/><Relationship Id="rId38" Type="http://schemas.openxmlformats.org/officeDocument/2006/relationships/image" Target="media/image20.png"/><Relationship Id="rId37" Type="http://schemas.openxmlformats.org/officeDocument/2006/relationships/image" Target="media/image19.png"/><Relationship Id="rId36" Type="http://schemas.openxmlformats.org/officeDocument/2006/relationships/image" Target="media/image18.png"/><Relationship Id="rId35" Type="http://schemas.openxmlformats.org/officeDocument/2006/relationships/image" Target="media/image17.wmf"/><Relationship Id="rId34" Type="http://schemas.openxmlformats.org/officeDocument/2006/relationships/oleObject" Target="embeddings/oleObject7.bin"/><Relationship Id="rId33" Type="http://schemas.openxmlformats.org/officeDocument/2006/relationships/image" Target="media/image16.wmf"/><Relationship Id="rId32" Type="http://schemas.openxmlformats.org/officeDocument/2006/relationships/oleObject" Target="embeddings/oleObject6.bin"/><Relationship Id="rId31" Type="http://schemas.openxmlformats.org/officeDocument/2006/relationships/image" Target="media/image15.wmf"/><Relationship Id="rId30" Type="http://schemas.openxmlformats.org/officeDocument/2006/relationships/oleObject" Target="embeddings/oleObject5.bin"/><Relationship Id="rId3" Type="http://schemas.openxmlformats.org/officeDocument/2006/relationships/footnotes" Target="footnotes.xml"/><Relationship Id="rId29" Type="http://schemas.openxmlformats.org/officeDocument/2006/relationships/image" Target="media/image14.wmf"/><Relationship Id="rId28" Type="http://schemas.openxmlformats.org/officeDocument/2006/relationships/oleObject" Target="embeddings/oleObject4.bin"/><Relationship Id="rId27" Type="http://schemas.openxmlformats.org/officeDocument/2006/relationships/image" Target="media/image13.png"/><Relationship Id="rId26" Type="http://schemas.openxmlformats.org/officeDocument/2006/relationships/image" Target="media/image12.wmf"/><Relationship Id="rId25" Type="http://schemas.openxmlformats.org/officeDocument/2006/relationships/oleObject" Target="embeddings/oleObject3.bin"/><Relationship Id="rId24" Type="http://schemas.openxmlformats.org/officeDocument/2006/relationships/image" Target="media/image11.wmf"/><Relationship Id="rId23" Type="http://schemas.openxmlformats.org/officeDocument/2006/relationships/oleObject" Target="embeddings/oleObject2.bin"/><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emf"/><Relationship Id="rId17" Type="http://schemas.openxmlformats.org/officeDocument/2006/relationships/oleObject" Target="embeddings/oleObject1.bin"/><Relationship Id="rId16" Type="http://schemas.openxmlformats.org/officeDocument/2006/relationships/image" Target="media/image5.png"/><Relationship Id="rId15" Type="http://schemas.openxmlformats.org/officeDocument/2006/relationships/image" Target="media/image4.jpeg"/><Relationship Id="rId14" Type="http://schemas.openxmlformats.org/officeDocument/2006/relationships/image" Target="media/image3.jpeg"/><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Pages>78</Pages>
  <Words>15116</Words>
  <Characters>15902</Characters>
  <Lines>1</Lines>
  <Paragraphs>1</Paragraphs>
  <TotalTime>11</TotalTime>
  <ScaleCrop>false</ScaleCrop>
  <LinksUpToDate>false</LinksUpToDate>
  <CharactersWithSpaces>15981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尚云环境</dc:creator>
  <cp:lastModifiedBy>Touch</cp:lastModifiedBy>
  <cp:lastPrinted>2024-12-03T23:45:00Z</cp:lastPrinted>
  <dcterms:modified xsi:type="dcterms:W3CDTF">2025-12-08T08:08:58Z</dcterms:modified>
  <dc:title>建设项目环境影响报告表（污染影响类）</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AD63256B71A34B029D85EF16678133EA_13</vt:lpwstr>
  </property>
  <property fmtid="{D5CDD505-2E9C-101B-9397-08002B2CF9AE}" pid="4" name="KSOTemplateDocerSaveRecord">
    <vt:lpwstr>eyJoZGlkIjoiMzZiODczMTVjY2Y5YzJjMDE5NWU2MDNiYTg2NmZiY2QiLCJ1c2VySWQiOiIyODc0OTY5NTEifQ==</vt:lpwstr>
  </property>
</Properties>
</file>