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宋体" w:hAnsi="宋体" w:eastAsia="宋体" w:cs="Times New Roman"/>
          <w:b/>
          <w:bCs/>
          <w:color w:val="auto"/>
          <w:kern w:val="2"/>
          <w:sz w:val="21"/>
          <w:szCs w:val="24"/>
          <w:lang w:val="en-US" w:eastAsia="zh-CN" w:bidi="ar-SA"/>
        </w:rPr>
        <w:id w:val="147451940"/>
        <w15:color w:val="DBDBDB"/>
        <w:docPartObj>
          <w:docPartGallery w:val="Table of Contents"/>
          <w:docPartUnique/>
        </w:docPartObj>
      </w:sdtPr>
      <w:sdtEndPr>
        <w:rPr>
          <w:rFonts w:hint="default" w:ascii="黑体" w:hAnsi="黑体" w:eastAsia="黑体" w:cs="Times New Roman"/>
          <w:b/>
          <w:bCs/>
          <w:snapToGrid w:val="0"/>
          <w:color w:val="auto"/>
          <w:kern w:val="0"/>
          <w:sz w:val="24"/>
          <w:szCs w:val="30"/>
          <w:lang w:val="en-US" w:eastAsia="zh-CN" w:bidi="ar-SA"/>
        </w:rPr>
      </w:sdtEndPr>
      <w:sdtContent>
        <w:p w14:paraId="0EF73112">
          <w:pPr>
            <w:spacing w:before="0" w:beforeLines="0" w:after="0" w:afterLines="0" w:line="240" w:lineRule="auto"/>
            <w:ind w:left="0" w:leftChars="0" w:right="0" w:rightChars="0" w:firstLine="0" w:firstLineChars="0"/>
            <w:jc w:val="center"/>
            <w:rPr>
              <w:b/>
              <w:bCs/>
              <w:color w:val="auto"/>
            </w:rPr>
          </w:pPr>
          <w:r>
            <w:rPr>
              <w:rFonts w:ascii="宋体" w:hAnsi="宋体" w:eastAsia="宋体"/>
              <w:b/>
              <w:bCs/>
              <w:color w:val="auto"/>
              <w:sz w:val="21"/>
            </w:rPr>
            <w:t>目录</w:t>
          </w:r>
        </w:p>
        <w:p w14:paraId="767FE364">
          <w:pPr>
            <w:pStyle w:val="20"/>
            <w:tabs>
              <w:tab w:val="right" w:leader="dot" w:pos="8306"/>
            </w:tabs>
            <w:rPr>
              <w:color w:val="auto"/>
            </w:rPr>
          </w:pPr>
          <w:r>
            <w:rPr>
              <w:rFonts w:hint="default" w:ascii="黑体" w:hAnsi="黑体" w:eastAsia="黑体" w:cs="Times New Roman"/>
              <w:snapToGrid w:val="0"/>
              <w:color w:val="auto"/>
              <w:kern w:val="0"/>
              <w:sz w:val="24"/>
              <w:szCs w:val="30"/>
              <w:lang w:val="en-US" w:eastAsia="zh-CN" w:bidi="ar-SA"/>
            </w:rPr>
            <w:fldChar w:fldCharType="begin"/>
          </w:r>
          <w:r>
            <w:rPr>
              <w:rFonts w:hint="default" w:ascii="黑体" w:hAnsi="黑体" w:eastAsia="黑体" w:cs="Times New Roman"/>
              <w:snapToGrid w:val="0"/>
              <w:color w:val="auto"/>
              <w:kern w:val="0"/>
              <w:sz w:val="24"/>
              <w:szCs w:val="30"/>
              <w:lang w:val="en-US" w:eastAsia="zh-CN" w:bidi="ar-SA"/>
            </w:rPr>
            <w:instrText xml:space="preserve">TOC \o "1-1" \h \u </w:instrText>
          </w:r>
          <w:r>
            <w:rPr>
              <w:rFonts w:hint="default" w:ascii="黑体" w:hAnsi="黑体" w:eastAsia="黑体" w:cs="Times New Roman"/>
              <w:snapToGrid w:val="0"/>
              <w:color w:val="auto"/>
              <w:kern w:val="0"/>
              <w:sz w:val="24"/>
              <w:szCs w:val="30"/>
              <w:lang w:val="en-US" w:eastAsia="zh-CN" w:bidi="ar-SA"/>
            </w:rPr>
            <w:fldChar w:fldCharType="separate"/>
          </w:r>
          <w:r>
            <w:rPr>
              <w:rFonts w:hint="default" w:ascii="黑体" w:hAnsi="黑体" w:eastAsia="黑体" w:cs="Times New Roman"/>
              <w:snapToGrid w:val="0"/>
              <w:color w:val="auto"/>
              <w:kern w:val="0"/>
              <w:szCs w:val="30"/>
              <w:lang w:val="en-US" w:eastAsia="zh-CN" w:bidi="ar-SA"/>
            </w:rPr>
            <w:fldChar w:fldCharType="begin"/>
          </w:r>
          <w:r>
            <w:rPr>
              <w:rFonts w:hint="default" w:ascii="黑体" w:hAnsi="黑体" w:eastAsia="黑体" w:cs="Times New Roman"/>
              <w:snapToGrid w:val="0"/>
              <w:color w:val="auto"/>
              <w:kern w:val="0"/>
              <w:szCs w:val="30"/>
              <w:lang w:val="en-US" w:eastAsia="zh-CN" w:bidi="ar-SA"/>
            </w:rPr>
            <w:instrText xml:space="preserve"> HYPERLINK \l _Toc3430 </w:instrText>
          </w:r>
          <w:r>
            <w:rPr>
              <w:rFonts w:hint="default" w:ascii="黑体" w:hAnsi="黑体" w:eastAsia="黑体" w:cs="Times New Roman"/>
              <w:snapToGrid w:val="0"/>
              <w:color w:val="auto"/>
              <w:kern w:val="0"/>
              <w:szCs w:val="30"/>
              <w:lang w:val="en-US" w:eastAsia="zh-CN" w:bidi="ar-SA"/>
            </w:rPr>
            <w:fldChar w:fldCharType="separate"/>
          </w:r>
          <w:r>
            <w:rPr>
              <w:rFonts w:hint="eastAsia" w:ascii="黑体" w:hAnsi="黑体" w:eastAsia="黑体"/>
              <w:snapToGrid w:val="0"/>
              <w:color w:val="auto"/>
              <w:szCs w:val="30"/>
            </w:rPr>
            <w:t>一、建设项目基本情况</w:t>
          </w:r>
          <w:r>
            <w:rPr>
              <w:color w:val="auto"/>
            </w:rPr>
            <w:tab/>
          </w:r>
          <w:r>
            <w:rPr>
              <w:color w:val="auto"/>
            </w:rPr>
            <w:fldChar w:fldCharType="begin"/>
          </w:r>
          <w:r>
            <w:rPr>
              <w:color w:val="auto"/>
            </w:rPr>
            <w:instrText xml:space="preserve"> PAGEREF _Toc3430 \h </w:instrText>
          </w:r>
          <w:r>
            <w:rPr>
              <w:color w:val="auto"/>
            </w:rPr>
            <w:fldChar w:fldCharType="separate"/>
          </w:r>
          <w:r>
            <w:rPr>
              <w:color w:val="auto"/>
            </w:rPr>
            <w:t>1</w:t>
          </w:r>
          <w:r>
            <w:rPr>
              <w:color w:val="auto"/>
            </w:rPr>
            <w:fldChar w:fldCharType="end"/>
          </w:r>
          <w:r>
            <w:rPr>
              <w:rFonts w:hint="default" w:ascii="黑体" w:hAnsi="黑体" w:eastAsia="黑体" w:cs="Times New Roman"/>
              <w:snapToGrid w:val="0"/>
              <w:color w:val="auto"/>
              <w:kern w:val="0"/>
              <w:szCs w:val="30"/>
              <w:lang w:val="en-US" w:eastAsia="zh-CN" w:bidi="ar-SA"/>
            </w:rPr>
            <w:fldChar w:fldCharType="end"/>
          </w:r>
        </w:p>
        <w:p w14:paraId="787C5505">
          <w:pPr>
            <w:pStyle w:val="20"/>
            <w:tabs>
              <w:tab w:val="right" w:leader="dot" w:pos="8306"/>
            </w:tabs>
            <w:rPr>
              <w:color w:val="auto"/>
            </w:rPr>
          </w:pPr>
          <w:r>
            <w:rPr>
              <w:rFonts w:hint="default" w:ascii="黑体" w:hAnsi="黑体" w:eastAsia="黑体" w:cs="Times New Roman"/>
              <w:snapToGrid w:val="0"/>
              <w:color w:val="auto"/>
              <w:kern w:val="0"/>
              <w:szCs w:val="30"/>
              <w:lang w:val="en-US" w:eastAsia="zh-CN" w:bidi="ar-SA"/>
            </w:rPr>
            <w:fldChar w:fldCharType="begin"/>
          </w:r>
          <w:r>
            <w:rPr>
              <w:rFonts w:hint="default" w:ascii="黑体" w:hAnsi="黑体" w:eastAsia="黑体" w:cs="Times New Roman"/>
              <w:snapToGrid w:val="0"/>
              <w:color w:val="auto"/>
              <w:kern w:val="0"/>
              <w:szCs w:val="30"/>
              <w:lang w:val="en-US" w:eastAsia="zh-CN" w:bidi="ar-SA"/>
            </w:rPr>
            <w:instrText xml:space="preserve"> HYPERLINK \l _Toc16076 </w:instrText>
          </w:r>
          <w:r>
            <w:rPr>
              <w:rFonts w:hint="default" w:ascii="黑体" w:hAnsi="黑体" w:eastAsia="黑体" w:cs="Times New Roman"/>
              <w:snapToGrid w:val="0"/>
              <w:color w:val="auto"/>
              <w:kern w:val="0"/>
              <w:szCs w:val="30"/>
              <w:lang w:val="en-US" w:eastAsia="zh-CN" w:bidi="ar-SA"/>
            </w:rPr>
            <w:fldChar w:fldCharType="separate"/>
          </w:r>
          <w:r>
            <w:rPr>
              <w:rFonts w:hint="eastAsia" w:ascii="黑体" w:hAnsi="黑体" w:eastAsia="黑体" w:cs="Times New Roman"/>
              <w:snapToGrid w:val="0"/>
              <w:color w:val="auto"/>
              <w:kern w:val="0"/>
              <w:szCs w:val="30"/>
              <w:lang w:val="en-US" w:eastAsia="zh-CN" w:bidi="ar-SA"/>
            </w:rPr>
            <w:t>二、</w:t>
          </w:r>
          <w:r>
            <w:rPr>
              <w:rFonts w:hint="eastAsia" w:ascii="黑体" w:hAnsi="黑体" w:eastAsia="黑体" w:cs="Times New Roman"/>
              <w:snapToGrid w:val="0"/>
              <w:color w:val="auto"/>
              <w:szCs w:val="30"/>
            </w:rPr>
            <w:t>建设项目工程分析</w:t>
          </w:r>
          <w:r>
            <w:rPr>
              <w:color w:val="auto"/>
            </w:rPr>
            <w:tab/>
          </w:r>
          <w:r>
            <w:rPr>
              <w:color w:val="auto"/>
            </w:rPr>
            <w:fldChar w:fldCharType="begin"/>
          </w:r>
          <w:r>
            <w:rPr>
              <w:color w:val="auto"/>
            </w:rPr>
            <w:instrText xml:space="preserve"> PAGEREF _Toc16076 \h </w:instrText>
          </w:r>
          <w:r>
            <w:rPr>
              <w:color w:val="auto"/>
            </w:rPr>
            <w:fldChar w:fldCharType="separate"/>
          </w:r>
          <w:r>
            <w:rPr>
              <w:color w:val="auto"/>
            </w:rPr>
            <w:t>21</w:t>
          </w:r>
          <w:r>
            <w:rPr>
              <w:color w:val="auto"/>
            </w:rPr>
            <w:fldChar w:fldCharType="end"/>
          </w:r>
          <w:r>
            <w:rPr>
              <w:rFonts w:hint="default" w:ascii="黑体" w:hAnsi="黑体" w:eastAsia="黑体" w:cs="Times New Roman"/>
              <w:snapToGrid w:val="0"/>
              <w:color w:val="auto"/>
              <w:kern w:val="0"/>
              <w:szCs w:val="30"/>
              <w:lang w:val="en-US" w:eastAsia="zh-CN" w:bidi="ar-SA"/>
            </w:rPr>
            <w:fldChar w:fldCharType="end"/>
          </w:r>
        </w:p>
        <w:p w14:paraId="0678C5B7">
          <w:pPr>
            <w:pStyle w:val="20"/>
            <w:tabs>
              <w:tab w:val="right" w:leader="dot" w:pos="8306"/>
            </w:tabs>
            <w:rPr>
              <w:color w:val="auto"/>
            </w:rPr>
          </w:pPr>
          <w:r>
            <w:rPr>
              <w:rFonts w:hint="default" w:ascii="黑体" w:hAnsi="黑体" w:eastAsia="黑体" w:cs="Times New Roman"/>
              <w:snapToGrid w:val="0"/>
              <w:color w:val="auto"/>
              <w:kern w:val="0"/>
              <w:szCs w:val="30"/>
              <w:lang w:val="en-US" w:eastAsia="zh-CN" w:bidi="ar-SA"/>
            </w:rPr>
            <w:fldChar w:fldCharType="begin"/>
          </w:r>
          <w:r>
            <w:rPr>
              <w:rFonts w:hint="default" w:ascii="黑体" w:hAnsi="黑体" w:eastAsia="黑体" w:cs="Times New Roman"/>
              <w:snapToGrid w:val="0"/>
              <w:color w:val="auto"/>
              <w:kern w:val="0"/>
              <w:szCs w:val="30"/>
              <w:lang w:val="en-US" w:eastAsia="zh-CN" w:bidi="ar-SA"/>
            </w:rPr>
            <w:instrText xml:space="preserve"> HYPERLINK \l _Toc24934 </w:instrText>
          </w:r>
          <w:r>
            <w:rPr>
              <w:rFonts w:hint="default" w:ascii="黑体" w:hAnsi="黑体" w:eastAsia="黑体" w:cs="Times New Roman"/>
              <w:snapToGrid w:val="0"/>
              <w:color w:val="auto"/>
              <w:kern w:val="0"/>
              <w:szCs w:val="30"/>
              <w:lang w:val="en-US" w:eastAsia="zh-CN" w:bidi="ar-SA"/>
            </w:rPr>
            <w:fldChar w:fldCharType="separate"/>
          </w:r>
          <w:r>
            <w:rPr>
              <w:rFonts w:hint="eastAsia" w:ascii="黑体" w:hAnsi="黑体" w:eastAsia="黑体"/>
              <w:snapToGrid w:val="0"/>
              <w:color w:val="auto"/>
              <w:szCs w:val="30"/>
            </w:rPr>
            <w:t>三、区域环境质量现状、环境保护目标及评价标准</w:t>
          </w:r>
          <w:r>
            <w:rPr>
              <w:color w:val="auto"/>
            </w:rPr>
            <w:tab/>
          </w:r>
          <w:r>
            <w:rPr>
              <w:color w:val="auto"/>
            </w:rPr>
            <w:fldChar w:fldCharType="begin"/>
          </w:r>
          <w:r>
            <w:rPr>
              <w:color w:val="auto"/>
            </w:rPr>
            <w:instrText xml:space="preserve"> PAGEREF _Toc24934 \h </w:instrText>
          </w:r>
          <w:r>
            <w:rPr>
              <w:color w:val="auto"/>
            </w:rPr>
            <w:fldChar w:fldCharType="separate"/>
          </w:r>
          <w:r>
            <w:rPr>
              <w:color w:val="auto"/>
            </w:rPr>
            <w:t>39</w:t>
          </w:r>
          <w:r>
            <w:rPr>
              <w:color w:val="auto"/>
            </w:rPr>
            <w:fldChar w:fldCharType="end"/>
          </w:r>
          <w:r>
            <w:rPr>
              <w:rFonts w:hint="default" w:ascii="黑体" w:hAnsi="黑体" w:eastAsia="黑体" w:cs="Times New Roman"/>
              <w:snapToGrid w:val="0"/>
              <w:color w:val="auto"/>
              <w:kern w:val="0"/>
              <w:szCs w:val="30"/>
              <w:lang w:val="en-US" w:eastAsia="zh-CN" w:bidi="ar-SA"/>
            </w:rPr>
            <w:fldChar w:fldCharType="end"/>
          </w:r>
        </w:p>
        <w:p w14:paraId="5A2CA3C3">
          <w:pPr>
            <w:pStyle w:val="20"/>
            <w:tabs>
              <w:tab w:val="right" w:leader="dot" w:pos="8306"/>
            </w:tabs>
            <w:rPr>
              <w:color w:val="auto"/>
            </w:rPr>
          </w:pPr>
          <w:r>
            <w:rPr>
              <w:rFonts w:hint="default" w:ascii="黑体" w:hAnsi="黑体" w:eastAsia="黑体" w:cs="Times New Roman"/>
              <w:snapToGrid w:val="0"/>
              <w:color w:val="auto"/>
              <w:kern w:val="0"/>
              <w:szCs w:val="30"/>
              <w:lang w:val="en-US" w:eastAsia="zh-CN" w:bidi="ar-SA"/>
            </w:rPr>
            <w:fldChar w:fldCharType="begin"/>
          </w:r>
          <w:r>
            <w:rPr>
              <w:rFonts w:hint="default" w:ascii="黑体" w:hAnsi="黑体" w:eastAsia="黑体" w:cs="Times New Roman"/>
              <w:snapToGrid w:val="0"/>
              <w:color w:val="auto"/>
              <w:kern w:val="0"/>
              <w:szCs w:val="30"/>
              <w:lang w:val="en-US" w:eastAsia="zh-CN" w:bidi="ar-SA"/>
            </w:rPr>
            <w:instrText xml:space="preserve"> HYPERLINK \l _Toc28769 </w:instrText>
          </w:r>
          <w:r>
            <w:rPr>
              <w:rFonts w:hint="default" w:ascii="黑体" w:hAnsi="黑体" w:eastAsia="黑体" w:cs="Times New Roman"/>
              <w:snapToGrid w:val="0"/>
              <w:color w:val="auto"/>
              <w:kern w:val="0"/>
              <w:szCs w:val="30"/>
              <w:lang w:val="en-US" w:eastAsia="zh-CN" w:bidi="ar-SA"/>
            </w:rPr>
            <w:fldChar w:fldCharType="separate"/>
          </w:r>
          <w:r>
            <w:rPr>
              <w:rFonts w:hint="eastAsia" w:ascii="黑体" w:hAnsi="黑体" w:eastAsia="黑体" w:cs="Times New Roman"/>
              <w:snapToGrid w:val="0"/>
              <w:color w:val="auto"/>
              <w:kern w:val="0"/>
              <w:szCs w:val="30"/>
              <w:lang w:val="en-US" w:eastAsia="zh-CN" w:bidi="ar-SA"/>
            </w:rPr>
            <w:t>四、主要环境影响和保护措施</w:t>
          </w:r>
          <w:r>
            <w:rPr>
              <w:color w:val="auto"/>
            </w:rPr>
            <w:tab/>
          </w:r>
          <w:r>
            <w:rPr>
              <w:color w:val="auto"/>
            </w:rPr>
            <w:fldChar w:fldCharType="begin"/>
          </w:r>
          <w:r>
            <w:rPr>
              <w:color w:val="auto"/>
            </w:rPr>
            <w:instrText xml:space="preserve"> PAGEREF _Toc28769 \h </w:instrText>
          </w:r>
          <w:r>
            <w:rPr>
              <w:color w:val="auto"/>
            </w:rPr>
            <w:fldChar w:fldCharType="separate"/>
          </w:r>
          <w:r>
            <w:rPr>
              <w:color w:val="auto"/>
            </w:rPr>
            <w:t>45</w:t>
          </w:r>
          <w:r>
            <w:rPr>
              <w:color w:val="auto"/>
            </w:rPr>
            <w:fldChar w:fldCharType="end"/>
          </w:r>
          <w:r>
            <w:rPr>
              <w:rFonts w:hint="default" w:ascii="黑体" w:hAnsi="黑体" w:eastAsia="黑体" w:cs="Times New Roman"/>
              <w:snapToGrid w:val="0"/>
              <w:color w:val="auto"/>
              <w:kern w:val="0"/>
              <w:szCs w:val="30"/>
              <w:lang w:val="en-US" w:eastAsia="zh-CN" w:bidi="ar-SA"/>
            </w:rPr>
            <w:fldChar w:fldCharType="end"/>
          </w:r>
        </w:p>
        <w:p w14:paraId="35E96F40">
          <w:pPr>
            <w:pStyle w:val="20"/>
            <w:tabs>
              <w:tab w:val="right" w:leader="dot" w:pos="8306"/>
            </w:tabs>
            <w:rPr>
              <w:color w:val="auto"/>
            </w:rPr>
          </w:pPr>
          <w:r>
            <w:rPr>
              <w:rFonts w:hint="default" w:ascii="黑体" w:hAnsi="黑体" w:eastAsia="黑体" w:cs="Times New Roman"/>
              <w:snapToGrid w:val="0"/>
              <w:color w:val="auto"/>
              <w:kern w:val="0"/>
              <w:szCs w:val="30"/>
              <w:lang w:val="en-US" w:eastAsia="zh-CN" w:bidi="ar-SA"/>
            </w:rPr>
            <w:fldChar w:fldCharType="begin"/>
          </w:r>
          <w:r>
            <w:rPr>
              <w:rFonts w:hint="default" w:ascii="黑体" w:hAnsi="黑体" w:eastAsia="黑体" w:cs="Times New Roman"/>
              <w:snapToGrid w:val="0"/>
              <w:color w:val="auto"/>
              <w:kern w:val="0"/>
              <w:szCs w:val="30"/>
              <w:lang w:val="en-US" w:eastAsia="zh-CN" w:bidi="ar-SA"/>
            </w:rPr>
            <w:instrText xml:space="preserve"> HYPERLINK \l _Toc19846 </w:instrText>
          </w:r>
          <w:r>
            <w:rPr>
              <w:rFonts w:hint="default" w:ascii="黑体" w:hAnsi="黑体" w:eastAsia="黑体" w:cs="Times New Roman"/>
              <w:snapToGrid w:val="0"/>
              <w:color w:val="auto"/>
              <w:kern w:val="0"/>
              <w:szCs w:val="30"/>
              <w:lang w:val="en-US" w:eastAsia="zh-CN" w:bidi="ar-SA"/>
            </w:rPr>
            <w:fldChar w:fldCharType="separate"/>
          </w:r>
          <w:r>
            <w:rPr>
              <w:rFonts w:hint="eastAsia" w:ascii="黑体" w:hAnsi="黑体" w:eastAsia="黑体"/>
              <w:snapToGrid w:val="0"/>
              <w:color w:val="auto"/>
              <w:szCs w:val="30"/>
            </w:rPr>
            <w:t>五、环境保护措施监督检查清单</w:t>
          </w:r>
          <w:r>
            <w:rPr>
              <w:color w:val="auto"/>
            </w:rPr>
            <w:tab/>
          </w:r>
          <w:r>
            <w:rPr>
              <w:color w:val="auto"/>
            </w:rPr>
            <w:fldChar w:fldCharType="begin"/>
          </w:r>
          <w:r>
            <w:rPr>
              <w:color w:val="auto"/>
            </w:rPr>
            <w:instrText xml:space="preserve"> PAGEREF _Toc19846 \h </w:instrText>
          </w:r>
          <w:r>
            <w:rPr>
              <w:color w:val="auto"/>
            </w:rPr>
            <w:fldChar w:fldCharType="separate"/>
          </w:r>
          <w:r>
            <w:rPr>
              <w:color w:val="auto"/>
            </w:rPr>
            <w:t>74</w:t>
          </w:r>
          <w:r>
            <w:rPr>
              <w:color w:val="auto"/>
            </w:rPr>
            <w:fldChar w:fldCharType="end"/>
          </w:r>
          <w:r>
            <w:rPr>
              <w:rFonts w:hint="default" w:ascii="黑体" w:hAnsi="黑体" w:eastAsia="黑体" w:cs="Times New Roman"/>
              <w:snapToGrid w:val="0"/>
              <w:color w:val="auto"/>
              <w:kern w:val="0"/>
              <w:szCs w:val="30"/>
              <w:lang w:val="en-US" w:eastAsia="zh-CN" w:bidi="ar-SA"/>
            </w:rPr>
            <w:fldChar w:fldCharType="end"/>
          </w:r>
        </w:p>
        <w:p w14:paraId="5D16307C">
          <w:pPr>
            <w:pStyle w:val="20"/>
            <w:tabs>
              <w:tab w:val="right" w:leader="dot" w:pos="8306"/>
            </w:tabs>
            <w:rPr>
              <w:color w:val="auto"/>
            </w:rPr>
          </w:pPr>
          <w:r>
            <w:rPr>
              <w:rFonts w:hint="default" w:ascii="黑体" w:hAnsi="黑体" w:eastAsia="黑体" w:cs="Times New Roman"/>
              <w:snapToGrid w:val="0"/>
              <w:color w:val="auto"/>
              <w:kern w:val="0"/>
              <w:szCs w:val="30"/>
              <w:lang w:val="en-US" w:eastAsia="zh-CN" w:bidi="ar-SA"/>
            </w:rPr>
            <w:fldChar w:fldCharType="begin"/>
          </w:r>
          <w:r>
            <w:rPr>
              <w:rFonts w:hint="default" w:ascii="黑体" w:hAnsi="黑体" w:eastAsia="黑体" w:cs="Times New Roman"/>
              <w:snapToGrid w:val="0"/>
              <w:color w:val="auto"/>
              <w:kern w:val="0"/>
              <w:szCs w:val="30"/>
              <w:lang w:val="en-US" w:eastAsia="zh-CN" w:bidi="ar-SA"/>
            </w:rPr>
            <w:instrText xml:space="preserve"> HYPERLINK \l _Toc3207 </w:instrText>
          </w:r>
          <w:r>
            <w:rPr>
              <w:rFonts w:hint="default" w:ascii="黑体" w:hAnsi="黑体" w:eastAsia="黑体" w:cs="Times New Roman"/>
              <w:snapToGrid w:val="0"/>
              <w:color w:val="auto"/>
              <w:kern w:val="0"/>
              <w:szCs w:val="30"/>
              <w:lang w:val="en-US" w:eastAsia="zh-CN" w:bidi="ar-SA"/>
            </w:rPr>
            <w:fldChar w:fldCharType="separate"/>
          </w:r>
          <w:r>
            <w:rPr>
              <w:rFonts w:hint="eastAsia" w:ascii="黑体" w:hAnsi="黑体" w:eastAsia="黑体"/>
              <w:snapToGrid w:val="0"/>
              <w:color w:val="auto"/>
              <w:szCs w:val="30"/>
            </w:rPr>
            <w:t>六、结论</w:t>
          </w:r>
          <w:r>
            <w:rPr>
              <w:color w:val="auto"/>
            </w:rPr>
            <w:tab/>
          </w:r>
          <w:r>
            <w:rPr>
              <w:color w:val="auto"/>
            </w:rPr>
            <w:fldChar w:fldCharType="begin"/>
          </w:r>
          <w:r>
            <w:rPr>
              <w:color w:val="auto"/>
            </w:rPr>
            <w:instrText xml:space="preserve"> PAGEREF _Toc3207 \h </w:instrText>
          </w:r>
          <w:r>
            <w:rPr>
              <w:color w:val="auto"/>
            </w:rPr>
            <w:fldChar w:fldCharType="separate"/>
          </w:r>
          <w:r>
            <w:rPr>
              <w:color w:val="auto"/>
            </w:rPr>
            <w:t>76</w:t>
          </w:r>
          <w:r>
            <w:rPr>
              <w:color w:val="auto"/>
            </w:rPr>
            <w:fldChar w:fldCharType="end"/>
          </w:r>
          <w:r>
            <w:rPr>
              <w:rFonts w:hint="default" w:ascii="黑体" w:hAnsi="黑体" w:eastAsia="黑体" w:cs="Times New Roman"/>
              <w:snapToGrid w:val="0"/>
              <w:color w:val="auto"/>
              <w:kern w:val="0"/>
              <w:szCs w:val="30"/>
              <w:lang w:val="en-US" w:eastAsia="zh-CN" w:bidi="ar-SA"/>
            </w:rPr>
            <w:fldChar w:fldCharType="end"/>
          </w:r>
        </w:p>
        <w:p w14:paraId="687BB24D">
          <w:pPr>
            <w:pStyle w:val="20"/>
            <w:tabs>
              <w:tab w:val="right" w:leader="dot" w:pos="8306"/>
            </w:tabs>
            <w:rPr>
              <w:color w:val="auto"/>
            </w:rPr>
          </w:pPr>
          <w:r>
            <w:rPr>
              <w:rFonts w:hint="default" w:ascii="黑体" w:hAnsi="黑体" w:eastAsia="黑体" w:cs="Times New Roman"/>
              <w:snapToGrid w:val="0"/>
              <w:color w:val="auto"/>
              <w:kern w:val="0"/>
              <w:szCs w:val="30"/>
              <w:lang w:val="en-US" w:eastAsia="zh-CN" w:bidi="ar-SA"/>
            </w:rPr>
            <w:fldChar w:fldCharType="begin"/>
          </w:r>
          <w:r>
            <w:rPr>
              <w:rFonts w:hint="default" w:ascii="黑体" w:hAnsi="黑体" w:eastAsia="黑体" w:cs="Times New Roman"/>
              <w:snapToGrid w:val="0"/>
              <w:color w:val="auto"/>
              <w:kern w:val="0"/>
              <w:szCs w:val="30"/>
              <w:lang w:val="en-US" w:eastAsia="zh-CN" w:bidi="ar-SA"/>
            </w:rPr>
            <w:instrText xml:space="preserve"> HYPERLINK \l _Toc11814 </w:instrText>
          </w:r>
          <w:r>
            <w:rPr>
              <w:rFonts w:hint="default" w:ascii="黑体" w:hAnsi="黑体" w:eastAsia="黑体" w:cs="Times New Roman"/>
              <w:snapToGrid w:val="0"/>
              <w:color w:val="auto"/>
              <w:kern w:val="0"/>
              <w:szCs w:val="30"/>
              <w:lang w:val="en-US" w:eastAsia="zh-CN" w:bidi="ar-SA"/>
            </w:rPr>
            <w:fldChar w:fldCharType="separate"/>
          </w:r>
          <w:r>
            <w:rPr>
              <w:rFonts w:hint="eastAsia" w:ascii="方正小标宋_GBK" w:hAnsi="黑体" w:eastAsia="方正小标宋_GBK"/>
              <w:snapToGrid w:val="0"/>
              <w:color w:val="auto"/>
              <w:szCs w:val="38"/>
              <w:lang w:eastAsia="zh-CN"/>
            </w:rPr>
            <w:t>附表</w:t>
          </w:r>
          <w:r>
            <w:rPr>
              <w:color w:val="auto"/>
            </w:rPr>
            <w:tab/>
          </w:r>
          <w:r>
            <w:rPr>
              <w:color w:val="auto"/>
            </w:rPr>
            <w:fldChar w:fldCharType="begin"/>
          </w:r>
          <w:r>
            <w:rPr>
              <w:color w:val="auto"/>
            </w:rPr>
            <w:instrText xml:space="preserve"> PAGEREF _Toc11814 \h </w:instrText>
          </w:r>
          <w:r>
            <w:rPr>
              <w:color w:val="auto"/>
            </w:rPr>
            <w:fldChar w:fldCharType="separate"/>
          </w:r>
          <w:r>
            <w:rPr>
              <w:color w:val="auto"/>
            </w:rPr>
            <w:t>77</w:t>
          </w:r>
          <w:r>
            <w:rPr>
              <w:color w:val="auto"/>
            </w:rPr>
            <w:fldChar w:fldCharType="end"/>
          </w:r>
          <w:r>
            <w:rPr>
              <w:rFonts w:hint="default" w:ascii="黑体" w:hAnsi="黑体" w:eastAsia="黑体" w:cs="Times New Roman"/>
              <w:snapToGrid w:val="0"/>
              <w:color w:val="auto"/>
              <w:kern w:val="0"/>
              <w:szCs w:val="30"/>
              <w:lang w:val="en-US" w:eastAsia="zh-CN" w:bidi="ar-SA"/>
            </w:rPr>
            <w:fldChar w:fldCharType="end"/>
          </w:r>
        </w:p>
        <w:p w14:paraId="5E7745CC">
          <w:pPr>
            <w:pStyle w:val="24"/>
            <w:jc w:val="center"/>
            <w:outlineLvl w:val="9"/>
            <w:rPr>
              <w:rFonts w:hint="default" w:ascii="黑体" w:hAnsi="黑体" w:eastAsia="黑体" w:cs="Times New Roman"/>
              <w:snapToGrid w:val="0"/>
              <w:color w:val="auto"/>
              <w:kern w:val="0"/>
              <w:sz w:val="24"/>
              <w:szCs w:val="30"/>
              <w:lang w:val="en-US" w:eastAsia="zh-CN" w:bidi="ar-SA"/>
            </w:rPr>
          </w:pPr>
          <w:r>
            <w:rPr>
              <w:rFonts w:hint="default" w:ascii="黑体" w:hAnsi="黑体" w:eastAsia="黑体" w:cs="Times New Roman"/>
              <w:snapToGrid w:val="0"/>
              <w:color w:val="auto"/>
              <w:kern w:val="0"/>
              <w:szCs w:val="30"/>
              <w:lang w:val="en-US" w:eastAsia="zh-CN" w:bidi="ar-SA"/>
            </w:rPr>
            <w:fldChar w:fldCharType="end"/>
          </w:r>
        </w:p>
      </w:sdtContent>
    </w:sdt>
    <w:p w14:paraId="620A7E94">
      <w:pPr>
        <w:pStyle w:val="24"/>
        <w:jc w:val="center"/>
        <w:outlineLvl w:val="0"/>
        <w:rPr>
          <w:rFonts w:hint="default" w:ascii="黑体" w:hAnsi="黑体" w:eastAsia="黑体" w:cs="Times New Roman"/>
          <w:snapToGrid w:val="0"/>
          <w:color w:val="auto"/>
          <w:kern w:val="0"/>
          <w:sz w:val="24"/>
          <w:szCs w:val="30"/>
          <w:lang w:val="en-US" w:eastAsia="zh-CN" w:bidi="ar-SA"/>
        </w:rPr>
        <w:sectPr>
          <w:footerReference r:id="rId5" w:type="default"/>
          <w:pgSz w:w="11906" w:h="16838"/>
          <w:pgMar w:top="1440" w:right="1800" w:bottom="1440" w:left="1800" w:header="851" w:footer="1077" w:gutter="0"/>
          <w:pgBorders w:offsetFrom="page">
            <w:top w:val="none" w:sz="0" w:space="0"/>
            <w:left w:val="none" w:sz="0" w:space="0"/>
            <w:bottom w:val="none" w:sz="0" w:space="0"/>
            <w:right w:val="none" w:sz="0" w:space="0"/>
          </w:pgBorders>
          <w:cols w:space="720" w:num="1"/>
          <w:docGrid w:linePitch="312" w:charSpace="0"/>
        </w:sectPr>
      </w:pPr>
    </w:p>
    <w:p w14:paraId="622080FD">
      <w:pPr>
        <w:pStyle w:val="24"/>
        <w:jc w:val="center"/>
        <w:outlineLvl w:val="0"/>
        <w:rPr>
          <w:rFonts w:hint="eastAsia" w:ascii="黑体" w:hAnsi="黑体" w:eastAsia="黑体"/>
          <w:snapToGrid w:val="0"/>
          <w:color w:val="auto"/>
          <w:sz w:val="30"/>
          <w:szCs w:val="30"/>
        </w:rPr>
      </w:pPr>
      <w:bookmarkStart w:id="0" w:name="_Toc3430"/>
      <w:r>
        <w:rPr>
          <w:rFonts w:hint="eastAsia" w:ascii="黑体" w:hAnsi="黑体" w:eastAsia="黑体"/>
          <w:snapToGrid w:val="0"/>
          <w:color w:val="auto"/>
          <w:sz w:val="30"/>
          <w:szCs w:val="30"/>
        </w:rPr>
        <w:t>一、建设项目基本情况</w:t>
      </w:r>
      <w:bookmarkEnd w:id="0"/>
    </w:p>
    <w:tbl>
      <w:tblPr>
        <w:tblStyle w:val="28"/>
        <w:tblW w:w="6094"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906"/>
        <w:gridCol w:w="456"/>
        <w:gridCol w:w="2687"/>
        <w:gridCol w:w="1720"/>
        <w:gridCol w:w="4287"/>
        <w:gridCol w:w="91"/>
      </w:tblGrid>
      <w:tr w14:paraId="7CA4941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36" w:type="pct"/>
          <w:trHeight w:val="497" w:hRule="atLeast"/>
          <w:jc w:val="center"/>
        </w:trPr>
        <w:tc>
          <w:tcPr>
            <w:tcW w:w="1409" w:type="pct"/>
            <w:gridSpan w:val="2"/>
            <w:noWrap w:val="0"/>
            <w:tcMar>
              <w:top w:w="16" w:type="dxa"/>
              <w:left w:w="16" w:type="dxa"/>
              <w:right w:w="16" w:type="dxa"/>
            </w:tcMar>
            <w:vAlign w:val="center"/>
          </w:tcPr>
          <w:p w14:paraId="090A4B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建设项目名称</w:t>
            </w:r>
          </w:p>
        </w:tc>
        <w:tc>
          <w:tcPr>
            <w:tcW w:w="3553" w:type="pct"/>
            <w:gridSpan w:val="3"/>
            <w:noWrap w:val="0"/>
            <w:vAlign w:val="center"/>
          </w:tcPr>
          <w:p w14:paraId="0ED337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eastAsia="zh-CN"/>
              </w:rPr>
              <w:t>江西中源再生资源利用有限公司一般工业固废再生利用建设项目</w:t>
            </w:r>
            <w:r>
              <w:rPr>
                <w:rFonts w:hint="eastAsia" w:cs="Times New Roman"/>
                <w:color w:val="auto"/>
                <w:sz w:val="24"/>
                <w:lang w:eastAsia="zh-CN"/>
              </w:rPr>
              <w:t>（</w:t>
            </w:r>
            <w:r>
              <w:rPr>
                <w:rFonts w:hint="eastAsia" w:cs="Times New Roman"/>
                <w:color w:val="auto"/>
                <w:sz w:val="24"/>
                <w:lang w:val="en-US" w:eastAsia="zh-CN"/>
              </w:rPr>
              <w:t>重大变动）</w:t>
            </w:r>
          </w:p>
        </w:tc>
      </w:tr>
      <w:tr w14:paraId="09124DE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36" w:type="pct"/>
          <w:trHeight w:val="497" w:hRule="atLeast"/>
          <w:jc w:val="center"/>
        </w:trPr>
        <w:tc>
          <w:tcPr>
            <w:tcW w:w="1409" w:type="pct"/>
            <w:gridSpan w:val="2"/>
            <w:noWrap w:val="0"/>
            <w:tcMar>
              <w:top w:w="16" w:type="dxa"/>
              <w:left w:w="16" w:type="dxa"/>
              <w:right w:w="16" w:type="dxa"/>
            </w:tcMar>
            <w:vAlign w:val="center"/>
          </w:tcPr>
          <w:p w14:paraId="7C4F31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项目代码</w:t>
            </w:r>
          </w:p>
        </w:tc>
        <w:tc>
          <w:tcPr>
            <w:tcW w:w="3553" w:type="pct"/>
            <w:gridSpan w:val="3"/>
            <w:noWrap w:val="0"/>
            <w:vAlign w:val="center"/>
          </w:tcPr>
          <w:p w14:paraId="5B89A8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lang w:eastAsia="zh-CN"/>
              </w:rPr>
              <w:t>2411-360983-04-05-442021</w:t>
            </w:r>
          </w:p>
        </w:tc>
      </w:tr>
      <w:tr w14:paraId="31691C5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36" w:type="pct"/>
          <w:trHeight w:val="603" w:hRule="atLeast"/>
          <w:jc w:val="center"/>
        </w:trPr>
        <w:tc>
          <w:tcPr>
            <w:tcW w:w="1409" w:type="pct"/>
            <w:gridSpan w:val="2"/>
            <w:noWrap w:val="0"/>
            <w:tcMar>
              <w:top w:w="16" w:type="dxa"/>
              <w:left w:w="16" w:type="dxa"/>
              <w:right w:w="16" w:type="dxa"/>
            </w:tcMar>
            <w:vAlign w:val="center"/>
          </w:tcPr>
          <w:p w14:paraId="784798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建设单位联系人</w:t>
            </w:r>
          </w:p>
        </w:tc>
        <w:tc>
          <w:tcPr>
            <w:tcW w:w="1098" w:type="pct"/>
            <w:noWrap w:val="0"/>
            <w:vAlign w:val="center"/>
          </w:tcPr>
          <w:p w14:paraId="5C2A96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lang w:val="en-US" w:eastAsia="zh-CN"/>
              </w:rPr>
            </w:pPr>
          </w:p>
        </w:tc>
        <w:tc>
          <w:tcPr>
            <w:tcW w:w="703" w:type="pct"/>
            <w:noWrap w:val="0"/>
            <w:vAlign w:val="center"/>
          </w:tcPr>
          <w:p w14:paraId="1096A6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联系方式</w:t>
            </w:r>
          </w:p>
        </w:tc>
        <w:tc>
          <w:tcPr>
            <w:tcW w:w="1750" w:type="pct"/>
            <w:noWrap w:val="0"/>
            <w:vAlign w:val="center"/>
          </w:tcPr>
          <w:p w14:paraId="69D811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lang w:eastAsia="zh-CN"/>
              </w:rPr>
            </w:pPr>
            <w:bookmarkStart w:id="20" w:name="_GoBack"/>
            <w:bookmarkEnd w:id="20"/>
          </w:p>
        </w:tc>
      </w:tr>
      <w:tr w14:paraId="5F87837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36" w:type="pct"/>
          <w:trHeight w:val="497" w:hRule="atLeast"/>
          <w:jc w:val="center"/>
        </w:trPr>
        <w:tc>
          <w:tcPr>
            <w:tcW w:w="1409" w:type="pct"/>
            <w:gridSpan w:val="2"/>
            <w:noWrap w:val="0"/>
            <w:tcMar>
              <w:top w:w="16" w:type="dxa"/>
              <w:left w:w="16" w:type="dxa"/>
              <w:right w:w="16" w:type="dxa"/>
            </w:tcMar>
            <w:vAlign w:val="center"/>
          </w:tcPr>
          <w:p w14:paraId="13D619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建设地点</w:t>
            </w:r>
          </w:p>
        </w:tc>
        <w:tc>
          <w:tcPr>
            <w:tcW w:w="3553" w:type="pct"/>
            <w:gridSpan w:val="3"/>
            <w:noWrap w:val="0"/>
            <w:vAlign w:val="center"/>
          </w:tcPr>
          <w:p w14:paraId="2B0612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u w:val="none"/>
                <w:lang w:val="zh-CN"/>
              </w:rPr>
              <w:t>高安市高新产业园江西省建筑陶瓷产业基地</w:t>
            </w:r>
          </w:p>
        </w:tc>
      </w:tr>
      <w:tr w14:paraId="2EA7007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36" w:type="pct"/>
          <w:trHeight w:val="497" w:hRule="atLeast"/>
          <w:jc w:val="center"/>
        </w:trPr>
        <w:tc>
          <w:tcPr>
            <w:tcW w:w="1409" w:type="pct"/>
            <w:gridSpan w:val="2"/>
            <w:noWrap w:val="0"/>
            <w:tcMar>
              <w:top w:w="16" w:type="dxa"/>
              <w:left w:w="16" w:type="dxa"/>
              <w:right w:w="16" w:type="dxa"/>
            </w:tcMar>
            <w:vAlign w:val="center"/>
          </w:tcPr>
          <w:p w14:paraId="13FC98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地理坐标</w:t>
            </w:r>
          </w:p>
        </w:tc>
        <w:tc>
          <w:tcPr>
            <w:tcW w:w="3553" w:type="pct"/>
            <w:gridSpan w:val="3"/>
            <w:noWrap w:val="0"/>
            <w:vAlign w:val="center"/>
          </w:tcPr>
          <w:p w14:paraId="026D2F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经度</w:t>
            </w:r>
            <w:r>
              <w:rPr>
                <w:rFonts w:hint="default" w:ascii="Times New Roman" w:hAnsi="Times New Roman" w:cs="Times New Roman"/>
                <w:color w:val="auto"/>
                <w:sz w:val="24"/>
                <w:u w:val="single"/>
              </w:rPr>
              <w:t xml:space="preserve"> 115</w:t>
            </w:r>
            <w:r>
              <w:rPr>
                <w:rFonts w:hint="default" w:ascii="Times New Roman" w:hAnsi="Times New Roman" w:cs="Times New Roman"/>
                <w:color w:val="auto"/>
                <w:sz w:val="24"/>
              </w:rPr>
              <w:t>度</w:t>
            </w:r>
            <w:r>
              <w:rPr>
                <w:rFonts w:hint="default" w:ascii="Times New Roman" w:hAnsi="Times New Roman" w:cs="Times New Roman"/>
                <w:color w:val="auto"/>
                <w:sz w:val="24"/>
                <w:u w:val="single"/>
              </w:rPr>
              <w:t xml:space="preserve"> </w:t>
            </w:r>
            <w:r>
              <w:rPr>
                <w:rFonts w:hint="default" w:ascii="Times New Roman" w:hAnsi="Times New Roman" w:cs="Times New Roman"/>
                <w:color w:val="auto"/>
                <w:sz w:val="24"/>
                <w:u w:val="single"/>
                <w:lang w:val="en-US" w:eastAsia="zh-CN"/>
              </w:rPr>
              <w:t>25</w:t>
            </w:r>
            <w:r>
              <w:rPr>
                <w:rFonts w:hint="default" w:ascii="Times New Roman" w:hAnsi="Times New Roman" w:cs="Times New Roman"/>
                <w:color w:val="auto"/>
                <w:sz w:val="24"/>
              </w:rPr>
              <w:t>分</w:t>
            </w:r>
            <w:r>
              <w:rPr>
                <w:rFonts w:hint="default" w:ascii="Times New Roman" w:hAnsi="Times New Roman" w:cs="Times New Roman"/>
                <w:color w:val="auto"/>
                <w:sz w:val="24"/>
                <w:u w:val="single"/>
              </w:rPr>
              <w:t xml:space="preserve"> </w:t>
            </w:r>
            <w:r>
              <w:rPr>
                <w:rFonts w:hint="default" w:ascii="Times New Roman" w:hAnsi="Times New Roman" w:cs="Times New Roman"/>
                <w:color w:val="auto"/>
                <w:sz w:val="24"/>
                <w:u w:val="single"/>
                <w:lang w:val="en-US" w:eastAsia="zh-CN"/>
              </w:rPr>
              <w:t>28.13</w:t>
            </w:r>
            <w:r>
              <w:rPr>
                <w:rFonts w:hint="eastAsia" w:cs="Times New Roman"/>
                <w:color w:val="auto"/>
                <w:sz w:val="24"/>
                <w:u w:val="single"/>
                <w:lang w:val="en-US" w:eastAsia="zh-CN"/>
              </w:rPr>
              <w:t>8</w:t>
            </w:r>
            <w:r>
              <w:rPr>
                <w:rFonts w:hint="default" w:ascii="Times New Roman" w:hAnsi="Times New Roman" w:cs="Times New Roman"/>
                <w:color w:val="auto"/>
                <w:sz w:val="24"/>
              </w:rPr>
              <w:t>秒，</w:t>
            </w:r>
            <w:r>
              <w:rPr>
                <w:rFonts w:hint="default" w:ascii="Times New Roman" w:hAnsi="Times New Roman" w:cs="Times New Roman"/>
                <w:color w:val="auto"/>
                <w:sz w:val="24"/>
                <w:lang w:val="en-US" w:eastAsia="zh-CN"/>
              </w:rPr>
              <w:t>纬度</w:t>
            </w:r>
            <w:r>
              <w:rPr>
                <w:rFonts w:hint="default" w:ascii="Times New Roman" w:hAnsi="Times New Roman" w:cs="Times New Roman"/>
                <w:color w:val="auto"/>
                <w:sz w:val="24"/>
                <w:u w:val="single"/>
              </w:rPr>
              <w:t xml:space="preserve"> 28</w:t>
            </w:r>
            <w:r>
              <w:rPr>
                <w:rFonts w:hint="default" w:ascii="Times New Roman" w:hAnsi="Times New Roman" w:cs="Times New Roman"/>
                <w:color w:val="auto"/>
                <w:sz w:val="24"/>
              </w:rPr>
              <w:t>度</w:t>
            </w:r>
            <w:r>
              <w:rPr>
                <w:rFonts w:hint="default" w:ascii="Times New Roman" w:hAnsi="Times New Roman" w:cs="Times New Roman"/>
                <w:color w:val="auto"/>
                <w:sz w:val="24"/>
                <w:u w:val="single"/>
              </w:rPr>
              <w:t xml:space="preserve"> </w:t>
            </w:r>
            <w:r>
              <w:rPr>
                <w:rFonts w:hint="default" w:ascii="Times New Roman" w:hAnsi="Times New Roman" w:cs="Times New Roman"/>
                <w:color w:val="auto"/>
                <w:sz w:val="24"/>
                <w:u w:val="single"/>
                <w:lang w:val="en-US" w:eastAsia="zh-CN"/>
              </w:rPr>
              <w:t>10</w:t>
            </w:r>
            <w:r>
              <w:rPr>
                <w:rFonts w:hint="default" w:ascii="Times New Roman" w:hAnsi="Times New Roman" w:cs="Times New Roman"/>
                <w:color w:val="auto"/>
                <w:sz w:val="24"/>
              </w:rPr>
              <w:t>分</w:t>
            </w:r>
            <w:r>
              <w:rPr>
                <w:rFonts w:hint="eastAsia" w:cs="Times New Roman"/>
                <w:color w:val="auto"/>
                <w:sz w:val="24"/>
                <w:lang w:val="en-US" w:eastAsia="zh-CN"/>
              </w:rPr>
              <w:t>26</w:t>
            </w:r>
            <w:r>
              <w:rPr>
                <w:rFonts w:hint="default" w:ascii="Times New Roman" w:hAnsi="Times New Roman" w:cs="Times New Roman"/>
                <w:color w:val="auto"/>
                <w:sz w:val="24"/>
                <w:lang w:val="en-US" w:eastAsia="zh-CN"/>
              </w:rPr>
              <w:t>.</w:t>
            </w:r>
            <w:r>
              <w:rPr>
                <w:rFonts w:hint="eastAsia" w:cs="Times New Roman"/>
                <w:color w:val="auto"/>
                <w:sz w:val="24"/>
                <w:lang w:val="en-US" w:eastAsia="zh-CN"/>
              </w:rPr>
              <w:t>06</w:t>
            </w:r>
            <w:r>
              <w:rPr>
                <w:rFonts w:hint="default" w:ascii="Times New Roman" w:hAnsi="Times New Roman" w:cs="Times New Roman"/>
                <w:color w:val="auto"/>
                <w:sz w:val="24"/>
              </w:rPr>
              <w:t>秒）</w:t>
            </w:r>
          </w:p>
        </w:tc>
      </w:tr>
      <w:tr w14:paraId="070AF1E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36" w:type="pct"/>
          <w:trHeight w:val="561" w:hRule="atLeast"/>
          <w:jc w:val="center"/>
        </w:trPr>
        <w:tc>
          <w:tcPr>
            <w:tcW w:w="1409" w:type="pct"/>
            <w:gridSpan w:val="2"/>
            <w:noWrap w:val="0"/>
            <w:tcMar>
              <w:top w:w="16" w:type="dxa"/>
              <w:left w:w="16" w:type="dxa"/>
              <w:right w:w="16" w:type="dxa"/>
            </w:tcMar>
            <w:vAlign w:val="center"/>
          </w:tcPr>
          <w:p w14:paraId="5DAAAA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国民经济</w:t>
            </w:r>
          </w:p>
          <w:p w14:paraId="28552B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行业类别</w:t>
            </w:r>
          </w:p>
        </w:tc>
        <w:tc>
          <w:tcPr>
            <w:tcW w:w="1098" w:type="pct"/>
            <w:noWrap w:val="0"/>
            <w:vAlign w:val="center"/>
          </w:tcPr>
          <w:p w14:paraId="303B67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left"/>
              <w:textAlignment w:val="auto"/>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N</w:t>
            </w:r>
            <w:r>
              <w:rPr>
                <w:rFonts w:hint="default" w:ascii="Times New Roman" w:hAnsi="Times New Roman" w:cs="Times New Roman"/>
                <w:color w:val="auto"/>
                <w:sz w:val="24"/>
              </w:rPr>
              <w:t>7723固体废物治理</w:t>
            </w:r>
          </w:p>
          <w:p w14:paraId="25758A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left"/>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C3031粘土砖瓦及建筑砌块制造</w:t>
            </w:r>
          </w:p>
        </w:tc>
        <w:tc>
          <w:tcPr>
            <w:tcW w:w="703" w:type="pct"/>
            <w:noWrap w:val="0"/>
            <w:vAlign w:val="center"/>
          </w:tcPr>
          <w:p w14:paraId="20DA068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bookmarkStart w:id="1" w:name="_Hlk49843745"/>
            <w:r>
              <w:rPr>
                <w:rFonts w:hint="default" w:ascii="Times New Roman" w:hAnsi="Times New Roman" w:cs="Times New Roman"/>
                <w:color w:val="auto"/>
                <w:sz w:val="24"/>
              </w:rPr>
              <w:t>建设项目</w:t>
            </w:r>
          </w:p>
          <w:p w14:paraId="0D8136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行业类别</w:t>
            </w:r>
            <w:bookmarkEnd w:id="1"/>
          </w:p>
        </w:tc>
        <w:tc>
          <w:tcPr>
            <w:tcW w:w="1750" w:type="pct"/>
            <w:noWrap w:val="0"/>
            <w:vAlign w:val="center"/>
          </w:tcPr>
          <w:p w14:paraId="6050F4B3">
            <w:pPr>
              <w:pStyle w:val="12"/>
              <w:keepNext w:val="0"/>
              <w:keepLines w:val="0"/>
              <w:suppressLineNumbers w:val="0"/>
              <w:spacing w:before="0" w:beforeAutospacing="0" w:after="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sz w:val="24"/>
                <w:lang w:val="zh-CN"/>
              </w:rPr>
              <w:t>四十七、生态保护和环境治理业；103一般工业固体废物（含污水处理污泥）、建筑施工废弃物处置及综合利用</w:t>
            </w:r>
            <w:r>
              <w:rPr>
                <w:rFonts w:hint="default" w:ascii="Times New Roman" w:hAnsi="Times New Roman" w:cs="Times New Roman"/>
                <w:color w:val="auto"/>
                <w:sz w:val="24"/>
                <w:lang w:val="en-US" w:eastAsia="zh-CN"/>
              </w:rPr>
              <w:t>-</w:t>
            </w:r>
            <w:r>
              <w:rPr>
                <w:rFonts w:hint="default" w:ascii="Times New Roman" w:hAnsi="Times New Roman" w:cs="Times New Roman"/>
                <w:color w:val="auto"/>
                <w:sz w:val="24"/>
                <w:lang w:val="zh-CN"/>
              </w:rPr>
              <w:t>其他</w:t>
            </w:r>
            <w:r>
              <w:rPr>
                <w:rFonts w:hint="eastAsia" w:ascii="Times New Roman" w:cs="Times New Roman"/>
                <w:color w:val="auto"/>
                <w:sz w:val="24"/>
                <w:lang w:val="zh-CN"/>
              </w:rPr>
              <w:t>；</w:t>
            </w:r>
            <w:r>
              <w:rPr>
                <w:rFonts w:hint="default" w:ascii="Times New Roman" w:hAnsi="Times New Roman" w:cs="Times New Roman"/>
                <w:color w:val="auto"/>
                <w:sz w:val="24"/>
                <w:lang w:val="en-US" w:eastAsia="zh-CN"/>
              </w:rPr>
              <w:t>二</w:t>
            </w:r>
            <w:r>
              <w:rPr>
                <w:rFonts w:hint="default" w:ascii="Times New Roman" w:hAnsi="Times New Roman" w:cs="Times New Roman"/>
                <w:color w:val="auto"/>
                <w:sz w:val="24"/>
                <w:lang w:val="zh-CN"/>
              </w:rPr>
              <w:t>十七、非金属矿物制品业；56砖瓦、石材等建筑材料制造</w:t>
            </w:r>
            <w:r>
              <w:rPr>
                <w:rFonts w:hint="default" w:ascii="Times New Roman" w:hAnsi="Times New Roman" w:cs="Times New Roman"/>
                <w:color w:val="auto"/>
                <w:sz w:val="24"/>
                <w:lang w:val="en-US" w:eastAsia="zh-CN"/>
              </w:rPr>
              <w:t>303-粘土砖瓦及建筑砌块制造；</w:t>
            </w:r>
          </w:p>
        </w:tc>
      </w:tr>
      <w:tr w14:paraId="221BDEF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36" w:type="pct"/>
          <w:trHeight w:val="1219" w:hRule="atLeast"/>
          <w:jc w:val="center"/>
        </w:trPr>
        <w:tc>
          <w:tcPr>
            <w:tcW w:w="1409" w:type="pct"/>
            <w:gridSpan w:val="2"/>
            <w:noWrap w:val="0"/>
            <w:tcMar>
              <w:top w:w="16" w:type="dxa"/>
              <w:left w:w="16" w:type="dxa"/>
              <w:right w:w="16" w:type="dxa"/>
            </w:tcMar>
            <w:vAlign w:val="center"/>
          </w:tcPr>
          <w:p w14:paraId="12218D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建设性质</w:t>
            </w:r>
          </w:p>
        </w:tc>
        <w:tc>
          <w:tcPr>
            <w:tcW w:w="1098" w:type="pct"/>
            <w:noWrap w:val="0"/>
            <w:vAlign w:val="center"/>
          </w:tcPr>
          <w:p w14:paraId="411B16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left"/>
              <w:textAlignment w:val="auto"/>
              <w:rPr>
                <w:rFonts w:hint="default" w:ascii="Times New Roman" w:hAnsi="Times New Roman" w:cs="Times New Roman"/>
                <w:color w:val="auto"/>
                <w:sz w:val="24"/>
              </w:rPr>
            </w:pPr>
            <w:r>
              <w:rPr>
                <w:rFonts w:hint="default" w:ascii="Times New Roman" w:hAnsi="Times New Roman" w:cs="Times New Roman"/>
                <w:color w:val="auto"/>
                <w:sz w:val="24"/>
              </w:rPr>
              <w:t>☑新建（迁建）</w:t>
            </w:r>
          </w:p>
          <w:p w14:paraId="4359B1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left"/>
              <w:textAlignment w:val="auto"/>
              <w:rPr>
                <w:rFonts w:hint="default" w:ascii="Times New Roman" w:hAnsi="Times New Roman" w:cs="Times New Roman"/>
                <w:color w:val="auto"/>
                <w:sz w:val="24"/>
              </w:rPr>
            </w:pPr>
            <w:r>
              <w:rPr>
                <w:rFonts w:hint="default" w:ascii="Times New Roman" w:hAnsi="Times New Roman" w:cs="Times New Roman"/>
                <w:color w:val="auto"/>
                <w:sz w:val="24"/>
              </w:rPr>
              <w:t>□改建</w:t>
            </w:r>
          </w:p>
          <w:p w14:paraId="2FA978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left"/>
              <w:textAlignment w:val="auto"/>
              <w:rPr>
                <w:rFonts w:hint="default" w:ascii="Times New Roman" w:hAnsi="Times New Roman" w:cs="Times New Roman"/>
                <w:color w:val="auto"/>
                <w:sz w:val="24"/>
              </w:rPr>
            </w:pPr>
            <w:r>
              <w:rPr>
                <w:rFonts w:hint="default" w:ascii="Times New Roman" w:hAnsi="Times New Roman" w:cs="Times New Roman"/>
                <w:color w:val="auto"/>
                <w:sz w:val="24"/>
              </w:rPr>
              <w:t>□扩建</w:t>
            </w:r>
          </w:p>
          <w:p w14:paraId="685AA5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left"/>
              <w:textAlignment w:val="auto"/>
              <w:rPr>
                <w:rFonts w:hint="default" w:ascii="Times New Roman" w:hAnsi="Times New Roman" w:cs="Times New Roman"/>
                <w:color w:val="auto"/>
                <w:sz w:val="24"/>
              </w:rPr>
            </w:pPr>
            <w:r>
              <w:rPr>
                <w:rFonts w:hint="default" w:ascii="Times New Roman" w:hAnsi="Times New Roman" w:cs="Times New Roman"/>
                <w:color w:val="auto"/>
                <w:sz w:val="24"/>
              </w:rPr>
              <w:t>□技术改造</w:t>
            </w:r>
          </w:p>
        </w:tc>
        <w:tc>
          <w:tcPr>
            <w:tcW w:w="703" w:type="pct"/>
            <w:noWrap w:val="0"/>
            <w:vAlign w:val="center"/>
          </w:tcPr>
          <w:p w14:paraId="0D872F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建设项目</w:t>
            </w:r>
          </w:p>
          <w:p w14:paraId="7FAB94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申报情形</w:t>
            </w:r>
          </w:p>
        </w:tc>
        <w:tc>
          <w:tcPr>
            <w:tcW w:w="1750" w:type="pct"/>
            <w:noWrap w:val="0"/>
            <w:vAlign w:val="center"/>
          </w:tcPr>
          <w:p w14:paraId="03F0D4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left"/>
              <w:textAlignment w:val="auto"/>
              <w:rPr>
                <w:rFonts w:hint="default" w:ascii="Times New Roman" w:hAnsi="Times New Roman" w:cs="Times New Roman"/>
                <w:color w:val="auto"/>
                <w:sz w:val="24"/>
              </w:rPr>
            </w:pPr>
            <w:r>
              <w:rPr>
                <w:rFonts w:hint="eastAsia" w:cs="Times New Roman"/>
                <w:color w:val="auto"/>
                <w:sz w:val="24"/>
                <w:lang w:eastAsia="zh-CN"/>
              </w:rPr>
              <w:t>□</w:t>
            </w:r>
            <w:r>
              <w:rPr>
                <w:rFonts w:hint="default" w:ascii="Times New Roman" w:hAnsi="Times New Roman" w:cs="Times New Roman"/>
                <w:color w:val="auto"/>
                <w:sz w:val="24"/>
              </w:rPr>
              <w:t>首次申报项目</w:t>
            </w:r>
          </w:p>
          <w:p w14:paraId="1D9D55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left"/>
              <w:textAlignment w:val="auto"/>
              <w:rPr>
                <w:rFonts w:hint="default" w:ascii="Times New Roman" w:hAnsi="Times New Roman" w:cs="Times New Roman"/>
                <w:color w:val="auto"/>
                <w:sz w:val="24"/>
              </w:rPr>
            </w:pPr>
            <w:r>
              <w:rPr>
                <w:rFonts w:hint="default" w:ascii="Times New Roman" w:hAnsi="Times New Roman" w:cs="Times New Roman"/>
                <w:color w:val="auto"/>
                <w:sz w:val="24"/>
              </w:rPr>
              <w:t>□不予批准后再次申报项目</w:t>
            </w:r>
          </w:p>
          <w:p w14:paraId="74EBD78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left"/>
              <w:textAlignment w:val="auto"/>
              <w:rPr>
                <w:rFonts w:hint="default" w:ascii="Times New Roman" w:hAnsi="Times New Roman" w:cs="Times New Roman"/>
                <w:color w:val="auto"/>
                <w:sz w:val="24"/>
              </w:rPr>
            </w:pPr>
            <w:r>
              <w:rPr>
                <w:rFonts w:hint="default" w:ascii="Times New Roman" w:hAnsi="Times New Roman" w:cs="Times New Roman"/>
                <w:color w:val="auto"/>
                <w:sz w:val="24"/>
              </w:rPr>
              <w:t>□超五年重新审核项目</w:t>
            </w:r>
          </w:p>
          <w:p w14:paraId="1A7DE2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left"/>
              <w:textAlignment w:val="auto"/>
              <w:rPr>
                <w:rFonts w:hint="default" w:ascii="Times New Roman" w:hAnsi="Times New Roman" w:cs="Times New Roman"/>
                <w:color w:val="auto"/>
                <w:sz w:val="24"/>
              </w:rPr>
            </w:pPr>
            <w:r>
              <w:rPr>
                <w:rFonts w:hint="eastAsia" w:cs="Times New Roman"/>
                <w:color w:val="auto"/>
                <w:sz w:val="24"/>
                <w:lang w:eastAsia="zh-CN"/>
              </w:rPr>
              <w:t>☑</w:t>
            </w:r>
            <w:r>
              <w:rPr>
                <w:rFonts w:hint="default" w:ascii="Times New Roman" w:hAnsi="Times New Roman" w:cs="Times New Roman"/>
                <w:color w:val="auto"/>
                <w:sz w:val="24"/>
              </w:rPr>
              <w:t>重大变动重新报批项目</w:t>
            </w:r>
          </w:p>
        </w:tc>
      </w:tr>
      <w:tr w14:paraId="4A828E3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36" w:type="pct"/>
          <w:trHeight w:val="851" w:hRule="atLeast"/>
          <w:jc w:val="center"/>
        </w:trPr>
        <w:tc>
          <w:tcPr>
            <w:tcW w:w="1409" w:type="pct"/>
            <w:gridSpan w:val="2"/>
            <w:noWrap w:val="0"/>
            <w:tcMar>
              <w:top w:w="16" w:type="dxa"/>
              <w:left w:w="16" w:type="dxa"/>
              <w:right w:w="16" w:type="dxa"/>
            </w:tcMar>
            <w:vAlign w:val="center"/>
          </w:tcPr>
          <w:p w14:paraId="55FC9E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项目审批（核准/备案）部门（选填）</w:t>
            </w:r>
          </w:p>
        </w:tc>
        <w:tc>
          <w:tcPr>
            <w:tcW w:w="1098" w:type="pct"/>
            <w:noWrap w:val="0"/>
            <w:vAlign w:val="center"/>
          </w:tcPr>
          <w:p w14:paraId="0FA8D6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高安市发展和</w:t>
            </w:r>
          </w:p>
          <w:p w14:paraId="257F96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改革委员会</w:t>
            </w:r>
          </w:p>
        </w:tc>
        <w:tc>
          <w:tcPr>
            <w:tcW w:w="703" w:type="pct"/>
            <w:noWrap w:val="0"/>
            <w:vAlign w:val="center"/>
          </w:tcPr>
          <w:p w14:paraId="038987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项目审批（核准/备案）文号（选填）</w:t>
            </w:r>
          </w:p>
        </w:tc>
        <w:tc>
          <w:tcPr>
            <w:tcW w:w="1750" w:type="pct"/>
            <w:noWrap w:val="0"/>
            <w:vAlign w:val="center"/>
          </w:tcPr>
          <w:p w14:paraId="79040D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lang w:eastAsia="zh-CN"/>
              </w:rPr>
              <w:t>2411-360983-04-05-442021</w:t>
            </w:r>
          </w:p>
        </w:tc>
      </w:tr>
      <w:tr w14:paraId="68A348E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36" w:type="pct"/>
          <w:trHeight w:val="497" w:hRule="atLeast"/>
          <w:jc w:val="center"/>
        </w:trPr>
        <w:tc>
          <w:tcPr>
            <w:tcW w:w="1409" w:type="pct"/>
            <w:gridSpan w:val="2"/>
            <w:noWrap w:val="0"/>
            <w:tcMar>
              <w:top w:w="16" w:type="dxa"/>
              <w:left w:w="16" w:type="dxa"/>
              <w:right w:w="16" w:type="dxa"/>
            </w:tcMar>
            <w:vAlign w:val="center"/>
          </w:tcPr>
          <w:p w14:paraId="5D749CA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总投资（万元）</w:t>
            </w:r>
          </w:p>
        </w:tc>
        <w:tc>
          <w:tcPr>
            <w:tcW w:w="1098" w:type="pct"/>
            <w:noWrap w:val="0"/>
            <w:vAlign w:val="center"/>
          </w:tcPr>
          <w:p w14:paraId="1D071F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3000</w:t>
            </w:r>
          </w:p>
        </w:tc>
        <w:tc>
          <w:tcPr>
            <w:tcW w:w="703" w:type="pct"/>
            <w:noWrap w:val="0"/>
            <w:tcMar>
              <w:top w:w="16" w:type="dxa"/>
              <w:left w:w="16" w:type="dxa"/>
              <w:right w:w="16" w:type="dxa"/>
            </w:tcMar>
            <w:vAlign w:val="center"/>
          </w:tcPr>
          <w:p w14:paraId="661D84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环保投资（万元）</w:t>
            </w:r>
          </w:p>
        </w:tc>
        <w:tc>
          <w:tcPr>
            <w:tcW w:w="1750" w:type="pct"/>
            <w:noWrap w:val="0"/>
            <w:vAlign w:val="center"/>
          </w:tcPr>
          <w:p w14:paraId="41FFCA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0</w:t>
            </w:r>
          </w:p>
        </w:tc>
      </w:tr>
      <w:tr w14:paraId="6D34FB1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36" w:type="pct"/>
          <w:trHeight w:val="497" w:hRule="atLeast"/>
          <w:jc w:val="center"/>
        </w:trPr>
        <w:tc>
          <w:tcPr>
            <w:tcW w:w="1409" w:type="pct"/>
            <w:gridSpan w:val="2"/>
            <w:noWrap w:val="0"/>
            <w:tcMar>
              <w:top w:w="16" w:type="dxa"/>
              <w:left w:w="16" w:type="dxa"/>
              <w:right w:w="16" w:type="dxa"/>
            </w:tcMar>
            <w:vAlign w:val="center"/>
          </w:tcPr>
          <w:p w14:paraId="4C8699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环保投资占比（%）</w:t>
            </w:r>
          </w:p>
        </w:tc>
        <w:tc>
          <w:tcPr>
            <w:tcW w:w="1098" w:type="pct"/>
            <w:noWrap w:val="0"/>
            <w:vAlign w:val="center"/>
          </w:tcPr>
          <w:p w14:paraId="53BC3A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0</w:t>
            </w:r>
          </w:p>
        </w:tc>
        <w:tc>
          <w:tcPr>
            <w:tcW w:w="703" w:type="pct"/>
            <w:noWrap w:val="0"/>
            <w:tcMar>
              <w:top w:w="16" w:type="dxa"/>
              <w:left w:w="16" w:type="dxa"/>
              <w:right w:w="16" w:type="dxa"/>
            </w:tcMar>
            <w:vAlign w:val="center"/>
          </w:tcPr>
          <w:p w14:paraId="45D0AF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施工工期</w:t>
            </w:r>
          </w:p>
        </w:tc>
        <w:tc>
          <w:tcPr>
            <w:tcW w:w="1750" w:type="pct"/>
            <w:noWrap w:val="0"/>
            <w:vAlign w:val="center"/>
          </w:tcPr>
          <w:p w14:paraId="2CB580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hAnsi="Times New Roman" w:eastAsia="宋体" w:cs="Times New Roman"/>
                <w:color w:val="auto"/>
                <w:sz w:val="24"/>
                <w:lang w:val="en-US" w:eastAsia="zh-CN"/>
              </w:rPr>
            </w:pPr>
            <w:r>
              <w:rPr>
                <w:rFonts w:hint="eastAsia" w:cs="Times New Roman"/>
                <w:color w:val="auto"/>
                <w:sz w:val="24"/>
                <w:lang w:val="en-US" w:eastAsia="zh-CN"/>
              </w:rPr>
              <w:t>无</w:t>
            </w:r>
          </w:p>
        </w:tc>
      </w:tr>
      <w:tr w14:paraId="693DBB9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gridAfter w:val="1"/>
          <w:wAfter w:w="36" w:type="pct"/>
          <w:trHeight w:val="497" w:hRule="atLeast"/>
          <w:jc w:val="center"/>
        </w:trPr>
        <w:tc>
          <w:tcPr>
            <w:tcW w:w="1409" w:type="pct"/>
            <w:gridSpan w:val="2"/>
            <w:noWrap w:val="0"/>
            <w:tcMar>
              <w:top w:w="16" w:type="dxa"/>
              <w:left w:w="16" w:type="dxa"/>
              <w:right w:w="16" w:type="dxa"/>
            </w:tcMar>
            <w:vAlign w:val="center"/>
          </w:tcPr>
          <w:p w14:paraId="79AA81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是否开工建设</w:t>
            </w:r>
          </w:p>
        </w:tc>
        <w:tc>
          <w:tcPr>
            <w:tcW w:w="1098" w:type="pct"/>
            <w:noWrap w:val="0"/>
            <w:vAlign w:val="center"/>
          </w:tcPr>
          <w:p w14:paraId="5FCFC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☑否</w:t>
            </w:r>
          </w:p>
          <w:p w14:paraId="799D29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是</w:t>
            </w:r>
          </w:p>
        </w:tc>
        <w:tc>
          <w:tcPr>
            <w:tcW w:w="703" w:type="pct"/>
            <w:noWrap w:val="0"/>
            <w:tcMar>
              <w:top w:w="16" w:type="dxa"/>
              <w:left w:w="16" w:type="dxa"/>
              <w:right w:w="16" w:type="dxa"/>
            </w:tcMar>
            <w:vAlign w:val="center"/>
          </w:tcPr>
          <w:p w14:paraId="6A9D73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pacing w:val="-6"/>
                <w:sz w:val="24"/>
              </w:rPr>
            </w:pPr>
            <w:r>
              <w:rPr>
                <w:rFonts w:hint="default" w:ascii="Times New Roman" w:hAnsi="Times New Roman" w:cs="Times New Roman"/>
                <w:color w:val="auto"/>
                <w:spacing w:val="-6"/>
                <w:sz w:val="24"/>
              </w:rPr>
              <w:t>用地（用海）</w:t>
            </w:r>
          </w:p>
          <w:p w14:paraId="1E872C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pacing w:val="-6"/>
                <w:sz w:val="24"/>
              </w:rPr>
              <w:t>面积（</w:t>
            </w:r>
            <w:r>
              <w:rPr>
                <w:rFonts w:hint="default" w:ascii="Times New Roman" w:hAnsi="Times New Roman" w:cs="Times New Roman"/>
                <w:color w:val="auto"/>
                <w:spacing w:val="-6"/>
                <w:sz w:val="24"/>
                <w:lang w:eastAsia="zh-CN"/>
              </w:rPr>
              <w:t>㎡</w:t>
            </w:r>
            <w:r>
              <w:rPr>
                <w:rFonts w:hint="default" w:ascii="Times New Roman" w:hAnsi="Times New Roman" w:cs="Times New Roman"/>
                <w:color w:val="auto"/>
                <w:spacing w:val="-6"/>
                <w:sz w:val="24"/>
              </w:rPr>
              <w:t>）</w:t>
            </w:r>
          </w:p>
        </w:tc>
        <w:tc>
          <w:tcPr>
            <w:tcW w:w="1750" w:type="pct"/>
            <w:noWrap w:val="0"/>
            <w:vAlign w:val="center"/>
          </w:tcPr>
          <w:p w14:paraId="1286B8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12000</w:t>
            </w:r>
            <w:r>
              <w:rPr>
                <w:rFonts w:hint="eastAsia"/>
                <w:color w:val="auto"/>
                <w:lang w:eastAsia="zh-CN"/>
              </w:rPr>
              <w:t>（</w:t>
            </w:r>
            <w:r>
              <w:rPr>
                <w:rFonts w:hint="eastAsia"/>
                <w:color w:val="auto"/>
                <w:lang w:val="en-US" w:eastAsia="zh-CN"/>
              </w:rPr>
              <w:t>不新增用地）</w:t>
            </w:r>
          </w:p>
        </w:tc>
      </w:tr>
      <w:tr w14:paraId="4D60446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36" w:type="pct"/>
          <w:trHeight w:val="465" w:hRule="atLeast"/>
          <w:jc w:val="center"/>
        </w:trPr>
        <w:tc>
          <w:tcPr>
            <w:tcW w:w="1409" w:type="pct"/>
            <w:gridSpan w:val="2"/>
            <w:noWrap w:val="0"/>
            <w:vAlign w:val="center"/>
          </w:tcPr>
          <w:p w14:paraId="3401AC03">
            <w:pPr>
              <w:keepNext w:val="0"/>
              <w:keepLines w:val="0"/>
              <w:suppressLineNumbers w:val="0"/>
              <w:autoSpaceDE w:val="0"/>
              <w:autoSpaceDN w:val="0"/>
              <w:adjustRightInd w:val="0"/>
              <w:snapToGrid w:val="0"/>
              <w:spacing w:before="0" w:beforeAutospacing="0" w:after="0" w:afterAutospacing="0"/>
              <w:ind w:left="0" w:leftChars="0" w:right="0" w:firstLine="0" w:firstLineChars="0"/>
              <w:jc w:val="both"/>
              <w:rPr>
                <w:rFonts w:hint="default" w:ascii="Times New Roman" w:hAnsi="Times New Roman" w:cs="Times New Roman"/>
                <w:color w:val="auto"/>
                <w:kern w:val="0"/>
                <w:sz w:val="24"/>
              </w:rPr>
            </w:pPr>
            <w:r>
              <w:rPr>
                <w:rFonts w:hint="default" w:ascii="Times New Roman" w:hAnsi="Times New Roman" w:cs="Times New Roman"/>
                <w:color w:val="auto"/>
                <w:kern w:val="0"/>
                <w:sz w:val="24"/>
              </w:rPr>
              <w:t>专项评价设置情况</w:t>
            </w:r>
          </w:p>
        </w:tc>
        <w:tc>
          <w:tcPr>
            <w:tcW w:w="3553" w:type="pct"/>
            <w:gridSpan w:val="3"/>
            <w:noWrap w:val="0"/>
            <w:vAlign w:val="center"/>
          </w:tcPr>
          <w:p w14:paraId="1BC6FD5F">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专项评价设置原则表</w:t>
            </w:r>
          </w:p>
          <w:tbl>
            <w:tblPr>
              <w:tblStyle w:val="28"/>
              <w:tblW w:w="4941"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1159"/>
              <w:gridCol w:w="4412"/>
              <w:gridCol w:w="2802"/>
            </w:tblGrid>
            <w:tr w14:paraId="3EDE491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42" w:hRule="atLeast"/>
                <w:jc w:val="center"/>
              </w:trPr>
              <w:tc>
                <w:tcPr>
                  <w:tcW w:w="692" w:type="pct"/>
                  <w:tcBorders>
                    <w:tl2br w:val="nil"/>
                    <w:tr2bl w:val="nil"/>
                  </w:tcBorders>
                  <w:noWrap w:val="0"/>
                  <w:vAlign w:val="center"/>
                </w:tcPr>
                <w:p w14:paraId="43D724C9">
                  <w:pPr>
                    <w:pStyle w:val="56"/>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专项评价</w:t>
                  </w:r>
                </w:p>
                <w:p w14:paraId="07B0FCF3">
                  <w:pPr>
                    <w:pStyle w:val="56"/>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的类别</w:t>
                  </w:r>
                </w:p>
              </w:tc>
              <w:tc>
                <w:tcPr>
                  <w:tcW w:w="2634" w:type="pct"/>
                  <w:tcBorders>
                    <w:tl2br w:val="nil"/>
                    <w:tr2bl w:val="nil"/>
                  </w:tcBorders>
                  <w:noWrap w:val="0"/>
                  <w:vAlign w:val="center"/>
                </w:tcPr>
                <w:p w14:paraId="008C7C9E">
                  <w:pPr>
                    <w:pStyle w:val="56"/>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设置原则</w:t>
                  </w:r>
                </w:p>
              </w:tc>
              <w:tc>
                <w:tcPr>
                  <w:tcW w:w="1673" w:type="pct"/>
                  <w:tcBorders>
                    <w:tl2br w:val="nil"/>
                    <w:tr2bl w:val="nil"/>
                  </w:tcBorders>
                  <w:noWrap w:val="0"/>
                  <w:vAlign w:val="center"/>
                </w:tcPr>
                <w:p w14:paraId="423DB286">
                  <w:pPr>
                    <w:pStyle w:val="56"/>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本项目</w:t>
                  </w:r>
                </w:p>
              </w:tc>
            </w:tr>
            <w:tr w14:paraId="61634D6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97" w:hRule="atLeast"/>
                <w:jc w:val="center"/>
              </w:trPr>
              <w:tc>
                <w:tcPr>
                  <w:tcW w:w="692" w:type="pct"/>
                  <w:tcBorders>
                    <w:tl2br w:val="nil"/>
                    <w:tr2bl w:val="nil"/>
                  </w:tcBorders>
                  <w:noWrap w:val="0"/>
                  <w:vAlign w:val="center"/>
                </w:tcPr>
                <w:p w14:paraId="3380EA8C">
                  <w:pPr>
                    <w:pStyle w:val="56"/>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大气</w:t>
                  </w:r>
                </w:p>
              </w:tc>
              <w:tc>
                <w:tcPr>
                  <w:tcW w:w="2634" w:type="pct"/>
                  <w:tcBorders>
                    <w:tl2br w:val="nil"/>
                    <w:tr2bl w:val="nil"/>
                  </w:tcBorders>
                  <w:noWrap w:val="0"/>
                  <w:vAlign w:val="center"/>
                </w:tcPr>
                <w:p w14:paraId="5E6D0531">
                  <w:pPr>
                    <w:pStyle w:val="56"/>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排放废气含有毒有害污染物</w:t>
                  </w:r>
                  <w:r>
                    <w:rPr>
                      <w:rFonts w:hint="default" w:ascii="Times New Roman" w:hAnsi="Times New Roman" w:cs="Times New Roman"/>
                      <w:color w:val="auto"/>
                      <w:lang w:val="en-US" w:eastAsia="zh-CN"/>
                    </w:rPr>
                    <w:t>1</w:t>
                  </w:r>
                  <w:r>
                    <w:rPr>
                      <w:rFonts w:hint="default" w:ascii="Times New Roman" w:hAnsi="Times New Roman" w:cs="Times New Roman"/>
                      <w:color w:val="auto"/>
                    </w:rPr>
                    <w:t>、二噁英、苯并[a]芘、氰化物、氯气且厂界外500米范围内有环境空气保护目标</w:t>
                  </w:r>
                  <w:r>
                    <w:rPr>
                      <w:rFonts w:hint="default" w:ascii="Times New Roman" w:hAnsi="Times New Roman" w:cs="Times New Roman"/>
                      <w:color w:val="auto"/>
                      <w:lang w:val="en-US" w:eastAsia="zh-CN"/>
                    </w:rPr>
                    <w:t>2</w:t>
                  </w:r>
                  <w:r>
                    <w:rPr>
                      <w:rFonts w:hint="default" w:ascii="Times New Roman" w:hAnsi="Times New Roman" w:cs="Times New Roman"/>
                      <w:color w:val="auto"/>
                    </w:rPr>
                    <w:t>的建设项目</w:t>
                  </w:r>
                </w:p>
              </w:tc>
              <w:tc>
                <w:tcPr>
                  <w:tcW w:w="1673" w:type="pct"/>
                  <w:tcBorders>
                    <w:tl2br w:val="nil"/>
                    <w:tr2bl w:val="nil"/>
                  </w:tcBorders>
                  <w:noWrap w:val="0"/>
                  <w:vAlign w:val="center"/>
                </w:tcPr>
                <w:p w14:paraId="55B966BB">
                  <w:pPr>
                    <w:pStyle w:val="56"/>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本项目排放废气不涉及有毒有害污染物，故不设置</w:t>
                  </w:r>
                </w:p>
              </w:tc>
            </w:tr>
            <w:tr w14:paraId="443E057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42" w:hRule="atLeast"/>
                <w:jc w:val="center"/>
              </w:trPr>
              <w:tc>
                <w:tcPr>
                  <w:tcW w:w="692" w:type="pct"/>
                  <w:tcBorders>
                    <w:tl2br w:val="nil"/>
                    <w:tr2bl w:val="nil"/>
                  </w:tcBorders>
                  <w:noWrap w:val="0"/>
                  <w:vAlign w:val="center"/>
                </w:tcPr>
                <w:p w14:paraId="53D4920F">
                  <w:pPr>
                    <w:pStyle w:val="56"/>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地表水</w:t>
                  </w:r>
                </w:p>
              </w:tc>
              <w:tc>
                <w:tcPr>
                  <w:tcW w:w="2634" w:type="pct"/>
                  <w:tcBorders>
                    <w:tl2br w:val="nil"/>
                    <w:tr2bl w:val="nil"/>
                  </w:tcBorders>
                  <w:noWrap w:val="0"/>
                  <w:vAlign w:val="center"/>
                </w:tcPr>
                <w:p w14:paraId="0C52F467">
                  <w:pPr>
                    <w:pStyle w:val="56"/>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新增工业废水直排建设项目（槽罐车外送污水处理厂的除外）；新增废水直排的污水集中处理厂</w:t>
                  </w:r>
                </w:p>
              </w:tc>
              <w:tc>
                <w:tcPr>
                  <w:tcW w:w="1673" w:type="pct"/>
                  <w:tcBorders>
                    <w:tl2br w:val="nil"/>
                    <w:tr2bl w:val="nil"/>
                  </w:tcBorders>
                  <w:noWrap w:val="0"/>
                  <w:vAlign w:val="center"/>
                </w:tcPr>
                <w:p w14:paraId="740E0EB2">
                  <w:pPr>
                    <w:pStyle w:val="56"/>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lang w:val="zh-CN"/>
                    </w:rPr>
                    <w:t>本项目不属于新增工业废水直排建设项目；不属于污水集中处理）</w:t>
                  </w:r>
                </w:p>
              </w:tc>
            </w:tr>
            <w:tr w14:paraId="7FDA15A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64" w:hRule="atLeast"/>
                <w:jc w:val="center"/>
              </w:trPr>
              <w:tc>
                <w:tcPr>
                  <w:tcW w:w="692" w:type="pct"/>
                  <w:tcBorders>
                    <w:tl2br w:val="nil"/>
                    <w:tr2bl w:val="nil"/>
                  </w:tcBorders>
                  <w:noWrap w:val="0"/>
                  <w:vAlign w:val="center"/>
                </w:tcPr>
                <w:p w14:paraId="41658E63">
                  <w:pPr>
                    <w:pStyle w:val="56"/>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环境风险</w:t>
                  </w:r>
                </w:p>
              </w:tc>
              <w:tc>
                <w:tcPr>
                  <w:tcW w:w="2634" w:type="pct"/>
                  <w:tcBorders>
                    <w:tl2br w:val="nil"/>
                    <w:tr2bl w:val="nil"/>
                  </w:tcBorders>
                  <w:noWrap w:val="0"/>
                  <w:vAlign w:val="center"/>
                </w:tcPr>
                <w:p w14:paraId="46F3EDAC">
                  <w:pPr>
                    <w:pStyle w:val="56"/>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有毒有害和易燃易爆危险物质存储量超过临界量</w:t>
                  </w:r>
                  <w:r>
                    <w:rPr>
                      <w:rFonts w:hint="default" w:ascii="Times New Roman" w:hAnsi="Times New Roman" w:cs="Times New Roman"/>
                      <w:color w:val="auto"/>
                      <w:lang w:val="en-US" w:eastAsia="zh-CN"/>
                    </w:rPr>
                    <w:t>3</w:t>
                  </w:r>
                  <w:r>
                    <w:rPr>
                      <w:rFonts w:hint="default" w:ascii="Times New Roman" w:hAnsi="Times New Roman" w:cs="Times New Roman"/>
                      <w:color w:val="auto"/>
                    </w:rPr>
                    <w:t>的建设项目</w:t>
                  </w:r>
                </w:p>
              </w:tc>
              <w:tc>
                <w:tcPr>
                  <w:tcW w:w="1673" w:type="pct"/>
                  <w:tcBorders>
                    <w:tl2br w:val="nil"/>
                    <w:tr2bl w:val="nil"/>
                  </w:tcBorders>
                  <w:noWrap w:val="0"/>
                  <w:vAlign w:val="center"/>
                </w:tcPr>
                <w:p w14:paraId="1F78433C">
                  <w:pPr>
                    <w:pStyle w:val="56"/>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本项目危险物质存储量</w:t>
                  </w:r>
                  <w:r>
                    <w:rPr>
                      <w:rFonts w:hint="default" w:ascii="Times New Roman" w:hAnsi="Times New Roman" w:cs="Times New Roman"/>
                      <w:color w:val="auto"/>
                      <w:lang w:val="en-US" w:eastAsia="zh-CN"/>
                    </w:rPr>
                    <w:t>未</w:t>
                  </w:r>
                  <w:r>
                    <w:rPr>
                      <w:rFonts w:hint="default" w:ascii="Times New Roman" w:hAnsi="Times New Roman" w:cs="Times New Roman"/>
                      <w:color w:val="auto"/>
                    </w:rPr>
                    <w:t>超过临界量，故不设置</w:t>
                  </w:r>
                </w:p>
              </w:tc>
            </w:tr>
            <w:tr w14:paraId="4BC7106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120" w:hRule="atLeast"/>
                <w:jc w:val="center"/>
              </w:trPr>
              <w:tc>
                <w:tcPr>
                  <w:tcW w:w="692" w:type="pct"/>
                  <w:tcBorders>
                    <w:tl2br w:val="nil"/>
                    <w:tr2bl w:val="nil"/>
                  </w:tcBorders>
                  <w:noWrap w:val="0"/>
                  <w:vAlign w:val="center"/>
                </w:tcPr>
                <w:p w14:paraId="6A0209EF">
                  <w:pPr>
                    <w:pStyle w:val="56"/>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生态</w:t>
                  </w:r>
                </w:p>
              </w:tc>
              <w:tc>
                <w:tcPr>
                  <w:tcW w:w="2634" w:type="pct"/>
                  <w:tcBorders>
                    <w:tl2br w:val="nil"/>
                    <w:tr2bl w:val="nil"/>
                  </w:tcBorders>
                  <w:noWrap w:val="0"/>
                  <w:vAlign w:val="center"/>
                </w:tcPr>
                <w:p w14:paraId="6CBAF196">
                  <w:pPr>
                    <w:pStyle w:val="56"/>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取水口下游500米范围内有重要水生生物的自然产卵场、索饵场、越冬场和洄游通道的新增河道取水的污染类建设项目</w:t>
                  </w:r>
                </w:p>
              </w:tc>
              <w:tc>
                <w:tcPr>
                  <w:tcW w:w="1673" w:type="pct"/>
                  <w:tcBorders>
                    <w:tl2br w:val="nil"/>
                    <w:tr2bl w:val="nil"/>
                  </w:tcBorders>
                  <w:noWrap w:val="0"/>
                  <w:vAlign w:val="center"/>
                </w:tcPr>
                <w:p w14:paraId="26C73DFF">
                  <w:pPr>
                    <w:pStyle w:val="56"/>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不涉及，故不设置</w:t>
                  </w:r>
                </w:p>
              </w:tc>
            </w:tr>
            <w:tr w14:paraId="6D7BDE1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574" w:hRule="atLeast"/>
                <w:jc w:val="center"/>
              </w:trPr>
              <w:tc>
                <w:tcPr>
                  <w:tcW w:w="692" w:type="pct"/>
                  <w:tcBorders>
                    <w:tl2br w:val="nil"/>
                    <w:tr2bl w:val="nil"/>
                  </w:tcBorders>
                  <w:noWrap w:val="0"/>
                  <w:vAlign w:val="center"/>
                </w:tcPr>
                <w:p w14:paraId="1990A709">
                  <w:pPr>
                    <w:pStyle w:val="56"/>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海洋</w:t>
                  </w:r>
                </w:p>
              </w:tc>
              <w:tc>
                <w:tcPr>
                  <w:tcW w:w="2634" w:type="pct"/>
                  <w:tcBorders>
                    <w:tl2br w:val="nil"/>
                    <w:tr2bl w:val="nil"/>
                  </w:tcBorders>
                  <w:noWrap w:val="0"/>
                  <w:vAlign w:val="center"/>
                </w:tcPr>
                <w:p w14:paraId="3A66B19A">
                  <w:pPr>
                    <w:pStyle w:val="56"/>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直接向海排放污染物的海洋工程建设项目</w:t>
                  </w:r>
                </w:p>
              </w:tc>
              <w:tc>
                <w:tcPr>
                  <w:tcW w:w="1673" w:type="pct"/>
                  <w:tcBorders>
                    <w:tl2br w:val="nil"/>
                    <w:tr2bl w:val="nil"/>
                  </w:tcBorders>
                  <w:noWrap w:val="0"/>
                  <w:vAlign w:val="center"/>
                </w:tcPr>
                <w:p w14:paraId="0B8855BD">
                  <w:pPr>
                    <w:pStyle w:val="56"/>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不涉及，故不设置</w:t>
                  </w:r>
                </w:p>
              </w:tc>
            </w:tr>
          </w:tbl>
          <w:p w14:paraId="787622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注：1.废气中有毒有害污染物指纳入《有毒有害大气污染物名录》的污染物</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不包括无排放标准的污染物</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w:t>
            </w:r>
          </w:p>
          <w:p w14:paraId="64CDA9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2.环境空气保护目标指自然保护区、风景名胜区、居住区、文化区和农村地区中人群较集中的区域。</w:t>
            </w:r>
          </w:p>
          <w:p w14:paraId="37E3DE0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3.临界量及其计算方法可参考《建设项目环境风险评价技术导则》</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HJ169</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附录B、附录C。</w:t>
            </w:r>
          </w:p>
          <w:p w14:paraId="44862E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80" w:firstLineChars="200"/>
              <w:textAlignment w:val="auto"/>
              <w:rPr>
                <w:rFonts w:hint="default" w:ascii="Times New Roman" w:hAnsi="Times New Roman" w:cs="Times New Roman"/>
                <w:color w:val="auto"/>
                <w:kern w:val="0"/>
              </w:rPr>
            </w:pPr>
            <w:r>
              <w:rPr>
                <w:rFonts w:hint="default" w:ascii="Times New Roman" w:hAnsi="Times New Roman" w:cs="Times New Roman"/>
                <w:color w:val="auto"/>
              </w:rPr>
              <w:t>参照《建设项目环境影响报告表编制技术指南（污染影响类）（试行）》中</w:t>
            </w:r>
            <w:r>
              <w:rPr>
                <w:rFonts w:hint="default" w:ascii="Times New Roman" w:hAnsi="Times New Roman" w:cs="Times New Roman"/>
                <w:color w:val="auto"/>
                <w:lang w:eastAsia="zh-CN"/>
              </w:rPr>
              <w:t>“</w:t>
            </w:r>
            <w:r>
              <w:rPr>
                <w:rFonts w:hint="default" w:ascii="Times New Roman" w:hAnsi="Times New Roman" w:cs="Times New Roman"/>
                <w:color w:val="auto"/>
              </w:rPr>
              <w:t>专项评价设置原则表</w:t>
            </w:r>
            <w:r>
              <w:rPr>
                <w:rFonts w:hint="default" w:ascii="Times New Roman" w:hAnsi="Times New Roman" w:cs="Times New Roman"/>
                <w:color w:val="auto"/>
                <w:lang w:eastAsia="zh-CN"/>
              </w:rPr>
              <w:t>”</w:t>
            </w:r>
            <w:r>
              <w:rPr>
                <w:rFonts w:hint="default" w:ascii="Times New Roman" w:hAnsi="Times New Roman" w:cs="Times New Roman"/>
                <w:color w:val="auto"/>
              </w:rPr>
              <w:t>，本项目不开展环境专项评价。</w:t>
            </w:r>
          </w:p>
        </w:tc>
      </w:tr>
      <w:tr w14:paraId="1A1C6E7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36" w:type="pct"/>
          <w:trHeight w:val="1042" w:hRule="atLeast"/>
          <w:jc w:val="center"/>
        </w:trPr>
        <w:tc>
          <w:tcPr>
            <w:tcW w:w="1409" w:type="pct"/>
            <w:gridSpan w:val="2"/>
            <w:noWrap w:val="0"/>
            <w:vAlign w:val="center"/>
          </w:tcPr>
          <w:p w14:paraId="1C84145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kern w:val="0"/>
                <w:sz w:val="24"/>
              </w:rPr>
            </w:pPr>
            <w:r>
              <w:rPr>
                <w:rFonts w:hint="default" w:ascii="Times New Roman" w:hAnsi="Times New Roman" w:cs="Times New Roman"/>
                <w:color w:val="auto"/>
                <w:sz w:val="24"/>
              </w:rPr>
              <w:t>规划情况</w:t>
            </w:r>
          </w:p>
        </w:tc>
        <w:tc>
          <w:tcPr>
            <w:tcW w:w="3553" w:type="pct"/>
            <w:gridSpan w:val="3"/>
            <w:noWrap w:val="0"/>
            <w:vAlign w:val="center"/>
          </w:tcPr>
          <w:p w14:paraId="7178B49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40" w:lineRule="exact"/>
              <w:ind w:left="0" w:right="0" w:firstLine="0" w:firstLineChars="0"/>
              <w:jc w:val="left"/>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（1）《高安高新技术产业园区调区规划》；</w:t>
            </w:r>
          </w:p>
          <w:p w14:paraId="4A38208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40" w:lineRule="exact"/>
              <w:ind w:left="0" w:right="0" w:firstLine="0" w:firstLineChars="0"/>
              <w:jc w:val="left"/>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r>
              <w:rPr>
                <w:rFonts w:hint="eastAsia" w:cs="Times New Roman"/>
                <w:color w:val="auto"/>
                <w:lang w:val="en-US" w:eastAsia="zh-CN"/>
              </w:rPr>
              <w:t>2</w:t>
            </w:r>
            <w:r>
              <w:rPr>
                <w:rFonts w:hint="default" w:ascii="Times New Roman" w:hAnsi="Times New Roman" w:cs="Times New Roman"/>
                <w:color w:val="auto"/>
                <w:lang w:val="en-US" w:eastAsia="zh-CN"/>
              </w:rPr>
              <w:t>）审批机关：江西省人民政府；</w:t>
            </w:r>
          </w:p>
          <w:p w14:paraId="2D56961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40" w:lineRule="exact"/>
              <w:ind w:left="0" w:right="0" w:firstLine="0" w:firstLineChars="0"/>
              <w:jc w:val="left"/>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r>
              <w:rPr>
                <w:rFonts w:hint="eastAsia" w:cs="Times New Roman"/>
                <w:color w:val="auto"/>
                <w:lang w:val="en-US" w:eastAsia="zh-CN"/>
              </w:rPr>
              <w:t>3</w:t>
            </w:r>
            <w:r>
              <w:rPr>
                <w:rFonts w:hint="default" w:ascii="Times New Roman" w:hAnsi="Times New Roman" w:cs="Times New Roman"/>
                <w:color w:val="auto"/>
                <w:lang w:val="en-US" w:eastAsia="zh-CN"/>
              </w:rPr>
              <w:t>）审查文件文号及名称：赣府厅字</w:t>
            </w:r>
            <w:r>
              <w:rPr>
                <w:rFonts w:hint="eastAsia" w:cs="Times New Roman"/>
                <w:color w:val="auto"/>
                <w:lang w:val="en-US" w:eastAsia="zh-CN"/>
              </w:rPr>
              <w:t>〔2024〕32号</w:t>
            </w:r>
            <w:r>
              <w:rPr>
                <w:rFonts w:hint="default" w:ascii="Times New Roman" w:hAnsi="Times New Roman" w:cs="Times New Roman"/>
                <w:color w:val="auto"/>
                <w:lang w:val="en-US" w:eastAsia="zh-CN"/>
              </w:rPr>
              <w:t>。</w:t>
            </w:r>
          </w:p>
        </w:tc>
      </w:tr>
      <w:tr w14:paraId="2E280EE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36" w:type="pct"/>
          <w:trHeight w:val="415" w:hRule="atLeast"/>
          <w:jc w:val="center"/>
        </w:trPr>
        <w:tc>
          <w:tcPr>
            <w:tcW w:w="1409" w:type="pct"/>
            <w:gridSpan w:val="2"/>
            <w:noWrap w:val="0"/>
            <w:vAlign w:val="center"/>
          </w:tcPr>
          <w:p w14:paraId="5AB33E2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kern w:val="0"/>
                <w:sz w:val="24"/>
              </w:rPr>
            </w:pPr>
            <w:r>
              <w:rPr>
                <w:rFonts w:hint="default" w:ascii="Times New Roman" w:hAnsi="Times New Roman" w:cs="Times New Roman"/>
                <w:color w:val="auto"/>
                <w:sz w:val="24"/>
              </w:rPr>
              <w:t>规划</w:t>
            </w:r>
            <w:r>
              <w:rPr>
                <w:rFonts w:hint="default" w:ascii="Times New Roman" w:hAnsi="Times New Roman" w:cs="Times New Roman"/>
                <w:color w:val="auto"/>
                <w:sz w:val="24"/>
                <w:lang w:eastAsia="zh-CN"/>
              </w:rPr>
              <w:t>环境影响评价</w:t>
            </w:r>
            <w:r>
              <w:rPr>
                <w:rFonts w:hint="default" w:ascii="Times New Roman" w:hAnsi="Times New Roman" w:cs="Times New Roman"/>
                <w:color w:val="auto"/>
                <w:sz w:val="24"/>
              </w:rPr>
              <w:t>情况</w:t>
            </w:r>
          </w:p>
        </w:tc>
        <w:tc>
          <w:tcPr>
            <w:tcW w:w="3553" w:type="pct"/>
            <w:gridSpan w:val="3"/>
            <w:noWrap w:val="0"/>
            <w:vAlign w:val="center"/>
          </w:tcPr>
          <w:p w14:paraId="390A92E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440" w:lineRule="exact"/>
              <w:ind w:left="0" w:right="0" w:firstLine="0" w:firstLineChars="0"/>
              <w:jc w:val="left"/>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规划环境影响评价文件名称：《江西高安高新技术产业园区扩区调区规划环境影响报告书》；</w:t>
            </w:r>
          </w:p>
          <w:p w14:paraId="45E9AA6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440" w:lineRule="exact"/>
              <w:ind w:left="0" w:right="0" w:firstLine="0" w:firstLineChars="0"/>
              <w:jc w:val="left"/>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审</w:t>
            </w:r>
            <w:r>
              <w:rPr>
                <w:rFonts w:hint="eastAsia" w:cs="Times New Roman"/>
                <w:color w:val="auto"/>
                <w:lang w:val="en-US" w:eastAsia="zh-CN"/>
              </w:rPr>
              <w:t>查</w:t>
            </w:r>
            <w:r>
              <w:rPr>
                <w:rFonts w:hint="default" w:ascii="Times New Roman" w:hAnsi="Times New Roman" w:cs="Times New Roman"/>
                <w:color w:val="auto"/>
                <w:lang w:val="en-US" w:eastAsia="zh-CN"/>
              </w:rPr>
              <w:t>机关：江西省环境保护厅；</w:t>
            </w:r>
          </w:p>
          <w:p w14:paraId="7FF8B6B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440" w:lineRule="exact"/>
              <w:ind w:left="0" w:right="0" w:firstLine="0" w:firstLineChars="0"/>
              <w:jc w:val="left"/>
              <w:textAlignment w:val="auto"/>
              <w:rPr>
                <w:rFonts w:hint="default" w:ascii="Times New Roman" w:hAnsi="Times New Roman" w:cs="Times New Roman"/>
                <w:color w:val="auto"/>
                <w:kern w:val="0"/>
                <w:sz w:val="24"/>
              </w:rPr>
            </w:pPr>
            <w:r>
              <w:rPr>
                <w:rFonts w:hint="default" w:ascii="Times New Roman" w:hAnsi="Times New Roman" w:cs="Times New Roman"/>
                <w:color w:val="auto"/>
                <w:lang w:val="en-US" w:eastAsia="zh-CN"/>
              </w:rPr>
              <w:t>审查文件文号：赣环评函</w:t>
            </w:r>
            <w:r>
              <w:rPr>
                <w:rFonts w:hint="eastAsia" w:cs="Times New Roman"/>
                <w:color w:val="auto"/>
                <w:lang w:val="en-US" w:eastAsia="zh-CN"/>
              </w:rPr>
              <w:t>〔2024〕69号</w:t>
            </w:r>
            <w:r>
              <w:rPr>
                <w:rFonts w:hint="default" w:ascii="Times New Roman" w:hAnsi="Times New Roman" w:cs="Times New Roman"/>
                <w:color w:val="auto"/>
                <w:lang w:val="en-US" w:eastAsia="zh-CN"/>
              </w:rPr>
              <w:t>。</w:t>
            </w:r>
          </w:p>
        </w:tc>
      </w:tr>
      <w:tr w14:paraId="3CB08B7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36" w:type="pct"/>
          <w:trHeight w:val="5525" w:hRule="atLeast"/>
          <w:jc w:val="center"/>
        </w:trPr>
        <w:tc>
          <w:tcPr>
            <w:tcW w:w="1409" w:type="pct"/>
            <w:gridSpan w:val="2"/>
            <w:noWrap w:val="0"/>
            <w:vAlign w:val="center"/>
          </w:tcPr>
          <w:p w14:paraId="3C5C342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firstLine="0" w:firstLineChars="0"/>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规划及规划环境影响评价符合性分析</w:t>
            </w:r>
          </w:p>
        </w:tc>
        <w:tc>
          <w:tcPr>
            <w:tcW w:w="3553" w:type="pct"/>
            <w:gridSpan w:val="3"/>
            <w:noWrap w:val="0"/>
            <w:vAlign w:val="center"/>
          </w:tcPr>
          <w:p w14:paraId="365B2D6F">
            <w:pPr>
              <w:keepNext w:val="0"/>
              <w:keepLines w:val="0"/>
              <w:numPr>
                <w:ilvl w:val="0"/>
                <w:numId w:val="0"/>
              </w:numPr>
              <w:suppressLineNumbers w:val="0"/>
              <w:spacing w:before="0" w:beforeAutospacing="0" w:after="0" w:afterAutospacing="0"/>
              <w:ind w:left="0" w:right="0"/>
              <w:jc w:val="left"/>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1、与《高安高新技术产业园区调区规划》相符性分析</w:t>
            </w:r>
          </w:p>
          <w:p w14:paraId="6F183196">
            <w:pPr>
              <w:keepNext w:val="0"/>
              <w:keepLines w:val="0"/>
              <w:numPr>
                <w:ilvl w:val="0"/>
                <w:numId w:val="0"/>
              </w:numPr>
              <w:suppressLineNumbers w:val="0"/>
              <w:spacing w:before="0" w:beforeAutospacing="0" w:after="0" w:afterAutospacing="0"/>
              <w:ind w:left="0" w:right="0"/>
              <w:jc w:val="left"/>
              <w:rPr>
                <w:rFonts w:hint="default"/>
                <w:color w:val="auto"/>
              </w:rPr>
            </w:pPr>
            <w:r>
              <w:rPr>
                <w:rFonts w:hint="default" w:ascii="Times New Roman" w:hAnsi="Times New Roman" w:eastAsia="宋体" w:cs="Times New Roman"/>
                <w:color w:val="auto"/>
                <w:lang w:val="en-US" w:eastAsia="zh-CN"/>
              </w:rPr>
              <w:t>（1）与江西高安高新技术产业园规划相符性分析</w:t>
            </w:r>
          </w:p>
          <w:p w14:paraId="426546AE">
            <w:pPr>
              <w:keepNext w:val="0"/>
              <w:keepLines w:val="0"/>
              <w:numPr>
                <w:ilvl w:val="0"/>
                <w:numId w:val="0"/>
              </w:numPr>
              <w:suppressLineNumbers w:val="0"/>
              <w:spacing w:before="0" w:beforeAutospacing="0" w:after="0" w:afterAutospacing="0"/>
              <w:ind w:left="0" w:right="0" w:firstLine="480" w:firstLineChars="200"/>
              <w:jc w:val="left"/>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江西高安高新技术产业园前身为高安市新世纪工业城，江西省人民政府于2006年8月以赣府字（2006）17号文件批准高安市新世纪工业城为省级工业园区、并将园区更名为江西高安工业园区；2007年9月，原江西省环境保护</w:t>
            </w:r>
            <w:r>
              <w:rPr>
                <w:rFonts w:hint="eastAsia" w:cs="Times New Roman"/>
                <w:color w:val="auto"/>
                <w:lang w:val="en-US" w:eastAsia="zh-CN"/>
              </w:rPr>
              <w:t>厅</w:t>
            </w:r>
            <w:r>
              <w:rPr>
                <w:rFonts w:hint="default" w:ascii="Times New Roman" w:hAnsi="Times New Roman" w:eastAsia="宋体" w:cs="Times New Roman"/>
                <w:color w:val="auto"/>
                <w:lang w:val="en-US" w:eastAsia="zh-CN"/>
              </w:rPr>
              <w:t>以赣环督函</w:t>
            </w:r>
            <w:r>
              <w:rPr>
                <w:rFonts w:hint="eastAsia" w:cs="Times New Roman"/>
                <w:color w:val="auto"/>
                <w:lang w:val="en-US" w:eastAsia="zh-CN"/>
              </w:rPr>
              <w:t>〔2007〕276号</w:t>
            </w:r>
            <w:r>
              <w:rPr>
                <w:rFonts w:hint="default" w:ascii="Times New Roman" w:hAnsi="Times New Roman" w:eastAsia="宋体" w:cs="Times New Roman"/>
                <w:color w:val="auto"/>
                <w:lang w:val="en-US" w:eastAsia="zh-CN"/>
              </w:rPr>
              <w:t>出具规划环评审查意见。</w:t>
            </w:r>
          </w:p>
          <w:p w14:paraId="21AD9B94">
            <w:pPr>
              <w:keepNext w:val="0"/>
              <w:keepLines w:val="0"/>
              <w:numPr>
                <w:ilvl w:val="0"/>
                <w:numId w:val="0"/>
              </w:numPr>
              <w:suppressLineNumbers w:val="0"/>
              <w:spacing w:before="0" w:beforeAutospacing="0" w:after="0" w:afterAutospacing="0"/>
              <w:ind w:left="0" w:right="0" w:firstLine="480" w:firstLineChars="200"/>
              <w:jc w:val="left"/>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2017年，园区管委会对江西高安工业园区进行扩区调区工作，将原核定的江西高安工业园区调扩为“一区二园”五个地块的发展格局，即新世纪产业园、建筑陶瓷产业园；2017年5月，原江西省环境保护厅以赣环评函</w:t>
            </w:r>
            <w:r>
              <w:rPr>
                <w:rFonts w:hint="eastAsia" w:cs="Times New Roman"/>
                <w:color w:val="auto"/>
                <w:lang w:val="en-US" w:eastAsia="zh-CN"/>
              </w:rPr>
              <w:t>〔2017〕19号</w:t>
            </w:r>
            <w:r>
              <w:rPr>
                <w:rFonts w:hint="default" w:ascii="Times New Roman" w:hAnsi="Times New Roman" w:eastAsia="宋体" w:cs="Times New Roman"/>
                <w:color w:val="auto"/>
                <w:lang w:val="en-US" w:eastAsia="zh-CN"/>
              </w:rPr>
              <w:t>出具了该园区扩区调区规划环评审查意见。2017年7月，江西省人民政府以赣府字</w:t>
            </w:r>
            <w:r>
              <w:rPr>
                <w:rFonts w:hint="eastAsia" w:cs="Times New Roman"/>
                <w:color w:val="auto"/>
                <w:lang w:val="en-US" w:eastAsia="zh-CN"/>
              </w:rPr>
              <w:t>〔2017〕59号</w:t>
            </w:r>
            <w:r>
              <w:rPr>
                <w:rFonts w:hint="default" w:ascii="Times New Roman" w:hAnsi="Times New Roman" w:eastAsia="宋体" w:cs="Times New Roman"/>
                <w:color w:val="auto"/>
                <w:lang w:val="en-US" w:eastAsia="zh-CN"/>
              </w:rPr>
              <w:t>将园区更名为“江西高安高新技术产业园区”。2017年12月，江西省人民政府以赣府厅字</w:t>
            </w:r>
            <w:r>
              <w:rPr>
                <w:rFonts w:hint="eastAsia" w:cs="Times New Roman"/>
                <w:color w:val="auto"/>
                <w:lang w:val="en-US" w:eastAsia="zh-CN"/>
              </w:rPr>
              <w:t>〔2017〕145号</w:t>
            </w:r>
            <w:r>
              <w:rPr>
                <w:rFonts w:hint="default" w:ascii="Times New Roman" w:hAnsi="Times New Roman" w:eastAsia="宋体" w:cs="Times New Roman"/>
                <w:color w:val="auto"/>
                <w:lang w:val="en-US" w:eastAsia="zh-CN"/>
              </w:rPr>
              <w:t>函复同意扩区调区，园区面积1988.67公顷。</w:t>
            </w:r>
          </w:p>
          <w:p w14:paraId="33C7B992">
            <w:pPr>
              <w:keepNext w:val="0"/>
              <w:keepLines w:val="0"/>
              <w:numPr>
                <w:ilvl w:val="0"/>
                <w:numId w:val="0"/>
              </w:numPr>
              <w:suppressLineNumbers w:val="0"/>
              <w:spacing w:before="0" w:beforeAutospacing="0" w:after="0" w:afterAutospacing="0"/>
              <w:ind w:left="0" w:right="0" w:firstLine="480" w:firstLineChars="200"/>
              <w:jc w:val="left"/>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2020年，产业园规划再次扩区，省发展改革委复函同意开展扩区前期工作。本次扩区规划是在原规划“一区二园”基础上，在高安市田南镇扩增1个地块作为建材环保产业园，最终形成“一区三园”的格局，即新世纪产业园、建筑陶瓷产业园、建材环保产业园，总规划面积2722.59公顷。建材环保产业园四至范围为：东至田南镇田南村，南至田南镇罗家村，西至田南镇罗家村以西林地，北至田南镇罗家村以北林地，规划面积为 29.21公顷，以建材水泥产业为主导产业。原新世纪产业园、建筑陶瓷产业园主导产业定位及用地范围不变。2021年，江西省人民政府同意江西高安高新技术产业园调整区位：江西高安高新技术产业园总体规划面积 1988.67公顷保持不变，其中从原核准规划面积中调出 29.21公顷，等量调入面积29.21公顷，调整区位后的四至范围拐点坐标由省自然资源厅落实。本项目位于江西高安高新技术产业园建筑陶瓷产业园区，根据《高安高新技术产业园区调区规划》，建筑陶瓷产业园以建筑陶瓷产业、新能源（主要为锂电行业）为主导产业，补位产业为现代物流、主导产业配套服务产业等；对建筑陶瓷产品品类、技术研发等方面进行提质更新，坚持环保优先、品牌引领、转型升级、科学发展，围绕“绿色智能、高端高质”，加快建陶产业绿色化、高端化、品牌化、智能化步伐。发展锂电新能源，助推建陶产业转型升级。</w:t>
            </w:r>
          </w:p>
          <w:p w14:paraId="622B52F3">
            <w:pPr>
              <w:keepNext w:val="0"/>
              <w:keepLines w:val="0"/>
              <w:numPr>
                <w:ilvl w:val="0"/>
                <w:numId w:val="0"/>
              </w:numPr>
              <w:suppressLineNumbers w:val="0"/>
              <w:spacing w:before="0" w:beforeAutospacing="0" w:after="0" w:afterAutospacing="0"/>
              <w:ind w:left="0" w:right="0" w:firstLine="480" w:firstLineChars="200"/>
              <w:jc w:val="left"/>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本项目为N7723固体废物治理</w:t>
            </w:r>
            <w:r>
              <w:rPr>
                <w:rFonts w:hint="eastAsia" w:cs="Times New Roman"/>
                <w:color w:val="auto"/>
                <w:lang w:val="en-US" w:eastAsia="zh-CN"/>
              </w:rPr>
              <w:t>、C3031粘土砖瓦及建筑砌块制造</w:t>
            </w:r>
            <w:r>
              <w:rPr>
                <w:rFonts w:hint="default" w:ascii="Times New Roman" w:hAnsi="Times New Roman" w:eastAsia="宋体" w:cs="Times New Roman"/>
                <w:color w:val="auto"/>
                <w:lang w:val="en-US" w:eastAsia="zh-CN"/>
              </w:rPr>
              <w:t>，</w:t>
            </w:r>
            <w:r>
              <w:rPr>
                <w:rFonts w:hint="eastAsia" w:cs="Times New Roman"/>
                <w:color w:val="auto"/>
                <w:lang w:val="en-US" w:eastAsia="zh-CN"/>
              </w:rPr>
              <w:t>收购园区的破陶瓷砖拋光泥等材料制作建筑材料，</w:t>
            </w:r>
            <w:r>
              <w:rPr>
                <w:rFonts w:hint="default" w:ascii="Times New Roman" w:hAnsi="Times New Roman" w:eastAsia="宋体" w:cs="Times New Roman"/>
                <w:color w:val="auto"/>
                <w:lang w:val="en-US" w:eastAsia="zh-CN"/>
              </w:rPr>
              <w:t>属于再生资源利用，选址位于建筑陶瓷产业园，本项目属于主导产业配套产业，不属于禁止引入产业，</w:t>
            </w:r>
            <w:r>
              <w:rPr>
                <w:rFonts w:hint="eastAsia" w:cs="Times New Roman"/>
                <w:color w:val="auto"/>
                <w:lang w:val="en-US" w:eastAsia="zh-CN"/>
              </w:rPr>
              <w:t>项目</w:t>
            </w:r>
            <w:r>
              <w:rPr>
                <w:rFonts w:hint="default" w:ascii="Times New Roman" w:hAnsi="Times New Roman" w:eastAsia="宋体" w:cs="Times New Roman"/>
                <w:color w:val="auto"/>
                <w:lang w:val="en-US" w:eastAsia="zh-CN"/>
              </w:rPr>
              <w:t>与园区产业定位一致。</w:t>
            </w:r>
          </w:p>
          <w:p w14:paraId="10AA8BAC">
            <w:pPr>
              <w:keepNext w:val="0"/>
              <w:keepLines w:val="0"/>
              <w:numPr>
                <w:ilvl w:val="0"/>
                <w:numId w:val="0"/>
              </w:numPr>
              <w:suppressLineNumbers w:val="0"/>
              <w:spacing w:before="0" w:beforeAutospacing="0" w:after="0" w:afterAutospacing="0"/>
              <w:ind w:left="0" w:leftChars="0" w:right="0" w:rightChars="0" w:firstLine="482" w:firstLineChars="200"/>
              <w:jc w:val="left"/>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kern w:val="2"/>
                <w:sz w:val="24"/>
                <w:szCs w:val="24"/>
                <w:lang w:val="en-US" w:eastAsia="zh-CN" w:bidi="ar-SA"/>
              </w:rPr>
              <w:t>（2）</w:t>
            </w:r>
            <w:r>
              <w:rPr>
                <w:rFonts w:hint="default" w:ascii="Times New Roman" w:hAnsi="Times New Roman" w:eastAsia="宋体" w:cs="Times New Roman"/>
                <w:b/>
                <w:bCs/>
                <w:color w:val="auto"/>
                <w:lang w:val="en-US" w:eastAsia="zh-CN"/>
              </w:rPr>
              <w:t>与江西省人民政府办公厅关于高安高新技术产业园区调区的函相符性分析</w:t>
            </w:r>
          </w:p>
          <w:p w14:paraId="3E71BC3C">
            <w:pPr>
              <w:keepNext w:val="0"/>
              <w:keepLines w:val="0"/>
              <w:numPr>
                <w:ilvl w:val="0"/>
                <w:numId w:val="0"/>
              </w:numPr>
              <w:suppressLineNumbers w:val="0"/>
              <w:spacing w:before="0" w:beforeAutospacing="0" w:after="0" w:afterAutospacing="0"/>
              <w:ind w:left="0" w:right="0" w:firstLine="480" w:firstLineChars="200"/>
              <w:jc w:val="left"/>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一、高安高新技术产业园区调区。</w:t>
            </w:r>
          </w:p>
          <w:p w14:paraId="3A20981B">
            <w:pPr>
              <w:keepNext w:val="0"/>
              <w:keepLines w:val="0"/>
              <w:numPr>
                <w:ilvl w:val="0"/>
                <w:numId w:val="0"/>
              </w:numPr>
              <w:suppressLineNumbers w:val="0"/>
              <w:spacing w:before="0" w:beforeAutospacing="0" w:after="0" w:afterAutospacing="0"/>
              <w:ind w:left="0" w:right="0" w:firstLine="480" w:firstLineChars="200"/>
              <w:jc w:val="left"/>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二、高安高新技术产业园区调整部分区块后维持原批准面积1988.67公顷不变。扩区调区后的四至范围和界址点坐标由省自然资源厅落实。</w:t>
            </w:r>
          </w:p>
          <w:p w14:paraId="6867356F">
            <w:pPr>
              <w:keepNext w:val="0"/>
              <w:keepLines w:val="0"/>
              <w:numPr>
                <w:ilvl w:val="0"/>
                <w:numId w:val="0"/>
              </w:numPr>
              <w:suppressLineNumbers w:val="0"/>
              <w:spacing w:before="0" w:beforeAutospacing="0" w:after="0" w:afterAutospacing="0"/>
              <w:ind w:left="0" w:right="0" w:firstLine="480" w:firstLineChars="200"/>
              <w:jc w:val="left"/>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三、高安高新技术产业园区要认真贯彻落实省委和省政府关于促进开发区改革创新发展以及深化开发区管理制度改革的实施意见精神，改革完善管理体制和运行机制，着力推进项目建设，培育壮大特色产业，完善配套服务功能，打造成为助推区域经济高质量发展的强引擎和增长极。必须严格实施国土空间总体规划、环境保护规划等相关规划，按程序履行用地报批手续，在节约集约利用土地资源的前提下进行建设。</w:t>
            </w:r>
          </w:p>
          <w:p w14:paraId="22335550">
            <w:pPr>
              <w:keepNext w:val="0"/>
              <w:keepLines w:val="0"/>
              <w:numPr>
                <w:ilvl w:val="0"/>
                <w:numId w:val="0"/>
              </w:numPr>
              <w:suppressLineNumbers w:val="0"/>
              <w:spacing w:before="0" w:beforeAutospacing="0" w:after="0" w:afterAutospacing="0"/>
              <w:ind w:left="0" w:right="0" w:firstLine="480" w:firstLineChars="200"/>
              <w:jc w:val="left"/>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四、宜春市政府要加强领导和管理，统筹推进城市和开发区规划、建设、治理，增强开发区综合功能，强化政策保障。要依法依规做好土地、林地征收征用和失地农民补偿安置工作，认真落实各项环境保护、安全生产和风险防范措施，严格保护耕地和永久基本农田，切实保护和节约水资源。</w:t>
            </w:r>
          </w:p>
          <w:p w14:paraId="5002C604">
            <w:pPr>
              <w:keepNext w:val="0"/>
              <w:keepLines w:val="0"/>
              <w:numPr>
                <w:ilvl w:val="0"/>
                <w:numId w:val="0"/>
              </w:numPr>
              <w:suppressLineNumbers w:val="0"/>
              <w:spacing w:before="0" w:beforeAutospacing="0" w:after="0" w:afterAutospacing="0"/>
              <w:ind w:left="0" w:right="0" w:firstLine="480" w:firstLineChars="200"/>
              <w:jc w:val="left"/>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五、省发展改革委要会同省直有关部门加强对上饶茶亭经济开发区和高安高新技术产业园区的指导服务和跟踪问效，推进开发区高质量发展。</w:t>
            </w:r>
          </w:p>
          <w:p w14:paraId="7D4850B2">
            <w:pPr>
              <w:keepNext w:val="0"/>
              <w:keepLines w:val="0"/>
              <w:numPr>
                <w:ilvl w:val="0"/>
                <w:numId w:val="0"/>
              </w:numPr>
              <w:suppressLineNumbers w:val="0"/>
              <w:spacing w:before="0" w:beforeAutospacing="0" w:after="0" w:afterAutospacing="0"/>
              <w:ind w:left="0" w:right="0" w:firstLine="480" w:firstLineChars="200"/>
              <w:jc w:val="left"/>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本项目为N7723固体废物治理</w:t>
            </w:r>
            <w:r>
              <w:rPr>
                <w:rFonts w:hint="eastAsia"/>
                <w:color w:val="auto"/>
                <w:lang w:eastAsia="zh-CN"/>
              </w:rPr>
              <w:t>、</w:t>
            </w:r>
            <w:r>
              <w:rPr>
                <w:rFonts w:hint="eastAsia"/>
                <w:color w:val="auto"/>
                <w:lang w:val="en-US" w:eastAsia="zh-CN"/>
              </w:rPr>
              <w:t>C3031粘土砖瓦及建筑砌块制造</w:t>
            </w:r>
            <w:r>
              <w:rPr>
                <w:rFonts w:hint="default" w:ascii="Times New Roman" w:hAnsi="Times New Roman" w:eastAsia="宋体" w:cs="Times New Roman"/>
                <w:color w:val="auto"/>
                <w:lang w:val="en-US" w:eastAsia="zh-CN"/>
              </w:rPr>
              <w:t>，对</w:t>
            </w:r>
            <w:r>
              <w:rPr>
                <w:rFonts w:hint="default" w:ascii="Times New Roman" w:hAnsi="Times New Roman" w:cs="Times New Roman"/>
                <w:color w:val="auto"/>
                <w:lang w:val="en-US" w:eastAsia="zh-CN"/>
              </w:rPr>
              <w:t>建筑废料</w:t>
            </w:r>
            <w:r>
              <w:rPr>
                <w:rFonts w:hint="default" w:ascii="Times New Roman" w:hAnsi="Times New Roman" w:eastAsia="宋体" w:cs="Times New Roman"/>
                <w:color w:val="auto"/>
                <w:lang w:val="en-US" w:eastAsia="zh-CN"/>
              </w:rPr>
              <w:t>进行再生利用，属于再生资源利用，本项目属于主导产业配套产业，不属于禁止引入产业，与园区产业定位一致，本项目符合国土空间总体规划、环境保护规划等相关规划。</w:t>
            </w:r>
          </w:p>
          <w:p w14:paraId="02B7240C">
            <w:pPr>
              <w:keepNext w:val="0"/>
              <w:keepLines w:val="0"/>
              <w:numPr>
                <w:ilvl w:val="0"/>
                <w:numId w:val="0"/>
              </w:numPr>
              <w:suppressLineNumbers w:val="0"/>
              <w:spacing w:before="0" w:beforeAutospacing="0" w:after="0" w:afterAutospacing="0"/>
              <w:ind w:left="0" w:right="0" w:firstLine="482" w:firstLineChars="200"/>
              <w:jc w:val="left"/>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2、与《江西高安高新技术产业园区扩区调区规划环境影响报告书》相符性分析</w:t>
            </w:r>
          </w:p>
          <w:p w14:paraId="510ED615">
            <w:pPr>
              <w:keepNext w:val="0"/>
              <w:keepLines w:val="0"/>
              <w:numPr>
                <w:ilvl w:val="0"/>
                <w:numId w:val="0"/>
              </w:numPr>
              <w:suppressLineNumbers w:val="0"/>
              <w:spacing w:before="0" w:beforeAutospacing="0" w:after="0" w:afterAutospacing="0"/>
              <w:ind w:left="0" w:right="0" w:firstLine="480" w:firstLineChars="200"/>
              <w:jc w:val="left"/>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根据《江西高安高新技术产业园区扩区调区规划环境影响报告书》，产业园设置了环境准入要求，本项目与其相符性分析见下表。</w:t>
            </w:r>
          </w:p>
          <w:p w14:paraId="09764786">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与江西高安高新技术产业园生态环境准入清单相符性</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798"/>
              <w:gridCol w:w="3961"/>
              <w:gridCol w:w="2501"/>
              <w:gridCol w:w="566"/>
            </w:tblGrid>
            <w:tr w14:paraId="6B63B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379" w:type="pct"/>
                  <w:vAlign w:val="center"/>
                </w:tcPr>
                <w:p w14:paraId="7E4BF9D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清单维度</w:t>
                  </w:r>
                </w:p>
              </w:tc>
              <w:tc>
                <w:tcPr>
                  <w:tcW w:w="2809" w:type="pct"/>
                  <w:gridSpan w:val="2"/>
                  <w:vAlign w:val="center"/>
                </w:tcPr>
                <w:p w14:paraId="6CD5D95D">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准入内容</w:t>
                  </w:r>
                </w:p>
              </w:tc>
              <w:tc>
                <w:tcPr>
                  <w:tcW w:w="1476" w:type="pct"/>
                  <w:vAlign w:val="center"/>
                </w:tcPr>
                <w:p w14:paraId="735DE081">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本项目情况</w:t>
                  </w:r>
                </w:p>
              </w:tc>
              <w:tc>
                <w:tcPr>
                  <w:tcW w:w="334" w:type="pct"/>
                  <w:vAlign w:val="center"/>
                </w:tcPr>
                <w:p w14:paraId="719C584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相符性</w:t>
                  </w:r>
                </w:p>
              </w:tc>
            </w:tr>
            <w:tr w14:paraId="2A028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379" w:type="pct"/>
                  <w:vAlign w:val="center"/>
                </w:tcPr>
                <w:p w14:paraId="3D7D4836">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空</w:t>
                  </w:r>
                  <w:r>
                    <w:rPr>
                      <w:rFonts w:hint="default" w:ascii="Times New Roman" w:hAnsi="Times New Roman" w:eastAsia="宋体" w:cs="Times New Roman"/>
                      <w:color w:val="auto"/>
                      <w:sz w:val="21"/>
                      <w:szCs w:val="21"/>
                      <w:lang w:val="en-US" w:eastAsia="zh-CN"/>
                    </w:rPr>
                    <w:t>间布局约束</w:t>
                  </w:r>
                </w:p>
              </w:tc>
              <w:tc>
                <w:tcPr>
                  <w:tcW w:w="2809" w:type="pct"/>
                  <w:gridSpan w:val="2"/>
                  <w:vAlign w:val="center"/>
                </w:tcPr>
                <w:p w14:paraId="4AD22F03">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1、建议加快江西省建筑陶瓷产业基地污水处理厂除铊设施建设进度，尽快投入使用。</w:t>
                  </w:r>
                </w:p>
                <w:p w14:paraId="7ADD3E34">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2、建议加快高安市锂渣消纳场的建设，尽快投入使用。</w:t>
                  </w:r>
                </w:p>
                <w:p w14:paraId="4D0AC230">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规划产业：建筑陶瓷：根据区域环境容量严格控制建筑陶瓷产业规模，引进高精陶瓷及配套产业入园。新能源：规划的新能源行业碳酸锂生产企业产能控制在10.32万吨规模以内；禁止新建污染较大的太阳能电池前端工序多晶硅或单晶硅生产。禁止引入不符合产业定位或碳排放要求的“两高”项目。</w:t>
                  </w:r>
                </w:p>
                <w:p w14:paraId="764C6A26">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建筑陶瓷产业园区胡家坊污水处理厂下游约8.4km处为肖江与樟树交界断面，其选址在水环境要素方面存在制约因素，建议将胡家坊组团规划的锂电产业优化调整为主导产业的配套产业，禁止新建废水排放量大、含重金属等有毒有害污染物和难降解的有机污染物排放的项目。</w:t>
                  </w:r>
                </w:p>
              </w:tc>
              <w:tc>
                <w:tcPr>
                  <w:tcW w:w="1476" w:type="pct"/>
                  <w:vAlign w:val="center"/>
                </w:tcPr>
                <w:p w14:paraId="620EE780">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本项目为N7723固体废物治理、C3031粘土砖瓦及建筑砌块制造，对</w:t>
                  </w:r>
                  <w:r>
                    <w:rPr>
                      <w:rFonts w:hint="eastAsia" w:cs="Times New Roman"/>
                      <w:color w:val="auto"/>
                      <w:sz w:val="21"/>
                      <w:szCs w:val="21"/>
                      <w:lang w:val="en-US" w:eastAsia="zh-CN"/>
                    </w:rPr>
                    <w:t>锂渣</w:t>
                  </w:r>
                  <w:r>
                    <w:rPr>
                      <w:rFonts w:hint="default" w:ascii="Times New Roman" w:hAnsi="Times New Roman" w:eastAsia="宋体" w:cs="Times New Roman"/>
                      <w:color w:val="auto"/>
                      <w:sz w:val="21"/>
                      <w:szCs w:val="21"/>
                      <w:lang w:val="en-US" w:eastAsia="zh-CN"/>
                    </w:rPr>
                    <w:t>进行再生利用，有利于提高高安市锂冶炼剩余物消纳能力，与园区产业相符，不属于两高行业；无生产废水排放。</w:t>
                  </w:r>
                </w:p>
              </w:tc>
              <w:tc>
                <w:tcPr>
                  <w:tcW w:w="334" w:type="pct"/>
                  <w:vAlign w:val="center"/>
                </w:tcPr>
                <w:p w14:paraId="05898B9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相符</w:t>
                  </w:r>
                </w:p>
              </w:tc>
            </w:tr>
            <w:tr w14:paraId="25E48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379" w:type="pct"/>
                  <w:vAlign w:val="center"/>
                </w:tcPr>
                <w:p w14:paraId="66DBA0DC">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污染物排放管控</w:t>
                  </w:r>
                </w:p>
              </w:tc>
              <w:tc>
                <w:tcPr>
                  <w:tcW w:w="2809" w:type="pct"/>
                  <w:gridSpan w:val="2"/>
                  <w:vAlign w:val="center"/>
                </w:tcPr>
                <w:p w14:paraId="50680F8F">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区域环境质量达标，新建、改扩建项目保证区域环境质量维持基本稳定。</w:t>
                  </w:r>
                </w:p>
              </w:tc>
              <w:tc>
                <w:tcPr>
                  <w:tcW w:w="1476" w:type="pct"/>
                  <w:vAlign w:val="center"/>
                </w:tcPr>
                <w:p w14:paraId="1E3CAA25">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w:t>
                  </w:r>
                  <w:r>
                    <w:rPr>
                      <w:rFonts w:hint="eastAsia" w:cs="Times New Roman"/>
                      <w:color w:val="auto"/>
                      <w:sz w:val="21"/>
                      <w:szCs w:val="21"/>
                      <w:lang w:val="en-US" w:eastAsia="zh-CN"/>
                    </w:rPr>
                    <w:t>所在区域</w:t>
                  </w:r>
                  <w:r>
                    <w:rPr>
                      <w:rFonts w:hint="default" w:ascii="Times New Roman" w:hAnsi="Times New Roman" w:eastAsia="宋体" w:cs="Times New Roman"/>
                      <w:color w:val="auto"/>
                      <w:sz w:val="21"/>
                      <w:szCs w:val="21"/>
                      <w:lang w:val="en-US" w:eastAsia="zh-CN"/>
                    </w:rPr>
                    <w:t>环境质量达标，且项目污染物均达标排放，不会破坏区域环境质量。</w:t>
                  </w:r>
                </w:p>
              </w:tc>
              <w:tc>
                <w:tcPr>
                  <w:tcW w:w="334" w:type="pct"/>
                  <w:vAlign w:val="center"/>
                </w:tcPr>
                <w:p w14:paraId="6CF45BFA">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r>
            <w:tr w14:paraId="615DB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379" w:type="pct"/>
                  <w:vMerge w:val="restart"/>
                  <w:vAlign w:val="center"/>
                </w:tcPr>
                <w:p w14:paraId="7CD8C8F9">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环境风险防控</w:t>
                  </w:r>
                </w:p>
              </w:tc>
              <w:tc>
                <w:tcPr>
                  <w:tcW w:w="471" w:type="pct"/>
                  <w:vAlign w:val="center"/>
                </w:tcPr>
                <w:p w14:paraId="4BEF39C5">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用地环境风险防控要求</w:t>
                  </w:r>
                </w:p>
              </w:tc>
              <w:tc>
                <w:tcPr>
                  <w:tcW w:w="2337" w:type="pct"/>
                  <w:vAlign w:val="center"/>
                </w:tcPr>
                <w:p w14:paraId="7DC67E92">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区内部分紧邻规划居住用地等环境敏感目标的工业用地，严格限制涉及使用剧毒化学品的企业进入。</w:t>
                  </w:r>
                </w:p>
              </w:tc>
              <w:tc>
                <w:tcPr>
                  <w:tcW w:w="1476" w:type="pct"/>
                  <w:vAlign w:val="center"/>
                </w:tcPr>
                <w:p w14:paraId="45010BFD">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本项目不属于紧邻规划居住用地等环境敏感目标的工业用地，本项目不使用剧毒化学品。</w:t>
                  </w:r>
                </w:p>
              </w:tc>
              <w:tc>
                <w:tcPr>
                  <w:tcW w:w="334" w:type="pct"/>
                  <w:vAlign w:val="center"/>
                </w:tcPr>
                <w:p w14:paraId="325DC48D">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r>
            <w:tr w14:paraId="7CE2C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9" w:type="pct"/>
                  <w:vMerge w:val="continue"/>
                  <w:vAlign w:val="center"/>
                </w:tcPr>
                <w:p w14:paraId="1BE5ACCE">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p>
              </w:tc>
              <w:tc>
                <w:tcPr>
                  <w:tcW w:w="471" w:type="pct"/>
                  <w:vAlign w:val="center"/>
                </w:tcPr>
                <w:p w14:paraId="43E3236A">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园区环境风险防控要求</w:t>
                  </w:r>
                </w:p>
              </w:tc>
              <w:tc>
                <w:tcPr>
                  <w:tcW w:w="2337" w:type="pct"/>
                  <w:vAlign w:val="center"/>
                </w:tcPr>
                <w:p w14:paraId="054C60F8">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紧邻居住、行政等环境敏感点的工业用地，禁止新建环境风险等级高的建设项目。园区应建立三级环境风险防控体系。</w:t>
                  </w:r>
                </w:p>
              </w:tc>
              <w:tc>
                <w:tcPr>
                  <w:tcW w:w="1476" w:type="pct"/>
                  <w:vAlign w:val="center"/>
                </w:tcPr>
                <w:p w14:paraId="3AE9D646">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本项目不属于紧邻居住、行政等环境敏感点工业用地，本项目危险物质数量与临界量值Q&lt;1，环境风险较低。</w:t>
                  </w:r>
                </w:p>
              </w:tc>
              <w:tc>
                <w:tcPr>
                  <w:tcW w:w="334" w:type="pct"/>
                  <w:vAlign w:val="center"/>
                </w:tcPr>
                <w:p w14:paraId="2F87DA3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r>
            <w:tr w14:paraId="52E42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379" w:type="pct"/>
                  <w:vMerge w:val="continue"/>
                  <w:vAlign w:val="center"/>
                </w:tcPr>
                <w:p w14:paraId="09DD0B0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471" w:type="pct"/>
                  <w:vAlign w:val="center"/>
                </w:tcPr>
                <w:p w14:paraId="68C3BBD1">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企业环境风险防控要求</w:t>
                  </w:r>
                </w:p>
              </w:tc>
              <w:tc>
                <w:tcPr>
                  <w:tcW w:w="2337" w:type="pct"/>
                  <w:vAlign w:val="center"/>
                </w:tcPr>
                <w:p w14:paraId="67083543">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新增或改扩建存在环境风险的项目，在建设项目环评阶段须重点开展环境风险评价，与项目周边环境敏感目标之前控制合理的风险控制距离，提出并落实风险防范措施及应急联动要求，编制应急预案，并与园区应急预案联动。</w:t>
                  </w:r>
                </w:p>
              </w:tc>
              <w:tc>
                <w:tcPr>
                  <w:tcW w:w="1476" w:type="pct"/>
                  <w:vAlign w:val="center"/>
                </w:tcPr>
                <w:p w14:paraId="6D81B35A">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本项目已提出并落实风险防范措施及应急联动要求，后续企业投产将编制应急预案，并与园区应急预案联动。</w:t>
                  </w:r>
                </w:p>
              </w:tc>
              <w:tc>
                <w:tcPr>
                  <w:tcW w:w="334" w:type="pct"/>
                  <w:vAlign w:val="center"/>
                </w:tcPr>
                <w:p w14:paraId="5F427268">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r>
            <w:tr w14:paraId="19E04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379" w:type="pct"/>
                  <w:vAlign w:val="center"/>
                </w:tcPr>
                <w:p w14:paraId="7F8536D4">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资源</w:t>
                  </w:r>
                </w:p>
                <w:p w14:paraId="5D7E43EA">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开发</w:t>
                  </w:r>
                </w:p>
                <w:p w14:paraId="02C0273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利用</w:t>
                  </w:r>
                </w:p>
                <w:p w14:paraId="6D57C50E">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管控</w:t>
                  </w:r>
                </w:p>
              </w:tc>
              <w:tc>
                <w:tcPr>
                  <w:tcW w:w="471" w:type="pct"/>
                  <w:vAlign w:val="center"/>
                </w:tcPr>
                <w:p w14:paraId="0898D3AA">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土地资源利用要求</w:t>
                  </w:r>
                </w:p>
              </w:tc>
              <w:tc>
                <w:tcPr>
                  <w:tcW w:w="2337" w:type="pct"/>
                  <w:vAlign w:val="center"/>
                </w:tcPr>
                <w:p w14:paraId="6B783948">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满足《江西省建设用地控制指标》</w:t>
                  </w:r>
                </w:p>
                <w:p w14:paraId="77B77B5C">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（2018年）中的相关要求</w:t>
                  </w:r>
                </w:p>
              </w:tc>
              <w:tc>
                <w:tcPr>
                  <w:tcW w:w="1476" w:type="pct"/>
                  <w:vAlign w:val="center"/>
                </w:tcPr>
                <w:p w14:paraId="253F6F82">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本项目用地为工业用地，满足要求</w:t>
                  </w:r>
                  <w:r>
                    <w:rPr>
                      <w:rFonts w:hint="eastAsia" w:cs="Times New Roman"/>
                      <w:color w:val="auto"/>
                      <w:sz w:val="21"/>
                      <w:szCs w:val="21"/>
                      <w:lang w:val="en-US" w:eastAsia="zh-CN"/>
                    </w:rPr>
                    <w:t>。</w:t>
                  </w:r>
                </w:p>
              </w:tc>
              <w:tc>
                <w:tcPr>
                  <w:tcW w:w="334" w:type="pct"/>
                  <w:vAlign w:val="center"/>
                </w:tcPr>
                <w:p w14:paraId="0C1951D5">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r>
          </w:tbl>
          <w:p w14:paraId="530CFB94">
            <w:pPr>
              <w:keepNext w:val="0"/>
              <w:keepLines w:val="0"/>
              <w:numPr>
                <w:ilvl w:val="0"/>
                <w:numId w:val="0"/>
              </w:numPr>
              <w:suppressLineNumbers w:val="0"/>
              <w:spacing w:before="0" w:beforeAutospacing="0" w:after="0" w:afterAutospacing="0"/>
              <w:ind w:left="0" w:right="0" w:firstLine="480" w:firstLineChars="200"/>
              <w:jc w:val="left"/>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综上所述，本项目不属于生态环境准入清单内禁止入园企业，符合江西高安高新技术产业园区发展规划要求。</w:t>
            </w:r>
          </w:p>
          <w:p w14:paraId="0946FB7D">
            <w:pPr>
              <w:keepNext w:val="0"/>
              <w:keepLines w:val="0"/>
              <w:numPr>
                <w:ilvl w:val="0"/>
                <w:numId w:val="0"/>
              </w:numPr>
              <w:suppressLineNumbers w:val="0"/>
              <w:spacing w:before="0" w:beforeAutospacing="0" w:after="0" w:afterAutospacing="0"/>
              <w:ind w:left="0" w:right="0" w:firstLine="480" w:firstLineChars="200"/>
              <w:jc w:val="left"/>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选址位于建筑陶瓷产业园，建筑陶瓷产业园规划重点发展新能源（主要为锂电行业）、建筑陶瓷产业等，其他产业为现代物流、主导产业的配套服务产业。对建筑陶瓷产品品类、技术研发等方面进行提质更新，坚持环保优先、品牌引领、转型升级、科学发展，围绕“绿色智能、高端高质”，加快建陶产业绿色化、高端化、品牌化、智能化步伐。发展锂电新能源，助推建陶产业转型升级。本项目对</w:t>
            </w:r>
            <w:r>
              <w:rPr>
                <w:rFonts w:hint="default" w:ascii="Times New Roman" w:hAnsi="Times New Roman" w:cs="Times New Roman"/>
                <w:color w:val="auto"/>
                <w:lang w:val="en-US" w:eastAsia="zh-CN"/>
              </w:rPr>
              <w:t>建筑废料</w:t>
            </w:r>
            <w:r>
              <w:rPr>
                <w:rFonts w:hint="default" w:ascii="Times New Roman" w:hAnsi="Times New Roman" w:eastAsia="宋体" w:cs="Times New Roman"/>
                <w:color w:val="auto"/>
                <w:lang w:val="en-US" w:eastAsia="zh-CN"/>
              </w:rPr>
              <w:t>进行再生利用，属于再生资源利用，对锂渣进行再生利用，有利于提高高安市锂冶炼剩余物消纳能力，与园区产业相符</w:t>
            </w:r>
          </w:p>
          <w:p w14:paraId="7076C4DA">
            <w:pPr>
              <w:keepNext w:val="0"/>
              <w:keepLines w:val="0"/>
              <w:numPr>
                <w:ilvl w:val="0"/>
                <w:numId w:val="0"/>
              </w:numPr>
              <w:suppressLineNumbers w:val="0"/>
              <w:spacing w:before="0" w:beforeAutospacing="0" w:after="0" w:afterAutospacing="0"/>
              <w:ind w:left="0" w:right="0" w:firstLine="482" w:firstLineChars="200"/>
              <w:jc w:val="left"/>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3、《江西省生态环境厅关于江西高安高新技术产业园区扩区调区规划环境影响报告书审查意见的函》（赣环环评函</w:t>
            </w:r>
            <w:r>
              <w:rPr>
                <w:rFonts w:hint="eastAsia" w:cs="Times New Roman"/>
                <w:b/>
                <w:bCs/>
                <w:color w:val="auto"/>
                <w:lang w:val="en-US" w:eastAsia="zh-CN"/>
              </w:rPr>
              <w:t>〔2024〕69号</w:t>
            </w:r>
            <w:r>
              <w:rPr>
                <w:rFonts w:hint="default" w:ascii="Times New Roman" w:hAnsi="Times New Roman" w:eastAsia="宋体" w:cs="Times New Roman"/>
                <w:b/>
                <w:bCs/>
                <w:color w:val="auto"/>
                <w:lang w:val="en-US" w:eastAsia="zh-CN"/>
              </w:rPr>
              <w:t>）</w:t>
            </w:r>
          </w:p>
          <w:p w14:paraId="0C7BCA56">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与《江西省生态环境厅关于江西高安高新技术产业园区扩区调区规划环境影响报告书审查意见的函》（赣环环评函</w:t>
            </w:r>
            <w:r>
              <w:rPr>
                <w:rFonts w:hint="eastAsia" w:ascii="Times New Roman" w:hAnsi="Times New Roman" w:eastAsia="宋体" w:cs="Times New Roman"/>
                <w:color w:val="auto"/>
                <w:lang w:val="en-US" w:eastAsia="zh-CN"/>
              </w:rPr>
              <w:t>〔2024〕69号</w:t>
            </w:r>
            <w:r>
              <w:rPr>
                <w:rFonts w:hint="default" w:ascii="Times New Roman" w:hAnsi="Times New Roman" w:eastAsia="宋体" w:cs="Times New Roman"/>
                <w:color w:val="auto"/>
                <w:lang w:val="en-US" w:eastAsia="zh-CN"/>
              </w:rPr>
              <w:t>）相符性分析</w:t>
            </w:r>
          </w:p>
          <w:tbl>
            <w:tblPr>
              <w:tblStyle w:val="29"/>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30"/>
              <w:gridCol w:w="1935"/>
              <w:gridCol w:w="601"/>
            </w:tblGrid>
            <w:tr w14:paraId="51040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502" w:type="pct"/>
                  <w:vAlign w:val="center"/>
                </w:tcPr>
                <w:p w14:paraId="75727962">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审查意见</w:t>
                  </w:r>
                </w:p>
              </w:tc>
              <w:tc>
                <w:tcPr>
                  <w:tcW w:w="1143" w:type="pct"/>
                  <w:vAlign w:val="center"/>
                </w:tcPr>
                <w:p w14:paraId="0190D78D">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本项目情况</w:t>
                  </w:r>
                </w:p>
              </w:tc>
              <w:tc>
                <w:tcPr>
                  <w:tcW w:w="353" w:type="pct"/>
                  <w:vAlign w:val="center"/>
                </w:tcPr>
                <w:p w14:paraId="0E3DDD01">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相符性</w:t>
                  </w:r>
                </w:p>
              </w:tc>
            </w:tr>
            <w:tr w14:paraId="33795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000" w:type="pct"/>
                  <w:gridSpan w:val="3"/>
                  <w:vAlign w:val="center"/>
                </w:tcPr>
                <w:p w14:paraId="71632DCD">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规划优化调整和实施建议</w:t>
                  </w:r>
                </w:p>
              </w:tc>
            </w:tr>
            <w:tr w14:paraId="6BA86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502" w:type="pct"/>
                  <w:vAlign w:val="center"/>
                </w:tcPr>
                <w:p w14:paraId="4F5E903A">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（一）新世纪产业园祥符收费站组团内涉及国家二级生态公益林，应符合用林管理要求，相关要求未落实之前，建议不开发利用。</w:t>
                  </w:r>
                </w:p>
              </w:tc>
              <w:tc>
                <w:tcPr>
                  <w:tcW w:w="1143" w:type="pct"/>
                  <w:vAlign w:val="center"/>
                </w:tcPr>
                <w:p w14:paraId="73A18BD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本项目不在新世纪产业园。</w:t>
                  </w:r>
                </w:p>
              </w:tc>
              <w:tc>
                <w:tcPr>
                  <w:tcW w:w="353" w:type="pct"/>
                  <w:vAlign w:val="center"/>
                </w:tcPr>
                <w:p w14:paraId="562D7A3A">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相符</w:t>
                  </w:r>
                </w:p>
              </w:tc>
            </w:tr>
            <w:tr w14:paraId="6081E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502" w:type="pct"/>
                  <w:vAlign w:val="center"/>
                </w:tcPr>
                <w:p w14:paraId="0008A86A">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二）新世纪产业园工业园核心组团属于高安市中心城区，位于高安市主导风向的上风向，在引进项目过程中应充分考虑对居民区等敏感目标的影响，慎重引进大气污染型企业。针对不符合产业定位的化工、皮革、冶炼等企业，不得新增污染物排放。</w:t>
                  </w:r>
                </w:p>
              </w:tc>
              <w:tc>
                <w:tcPr>
                  <w:tcW w:w="1143" w:type="pct"/>
                  <w:vAlign w:val="center"/>
                </w:tcPr>
                <w:p w14:paraId="4441A43C">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本项目位于建筑陶瓷产业园。</w:t>
                  </w:r>
                </w:p>
              </w:tc>
              <w:tc>
                <w:tcPr>
                  <w:tcW w:w="353" w:type="pct"/>
                  <w:vAlign w:val="center"/>
                </w:tcPr>
                <w:p w14:paraId="7F3D61D5">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相符</w:t>
                  </w:r>
                </w:p>
              </w:tc>
            </w:tr>
            <w:tr w14:paraId="606F5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502" w:type="pct"/>
                  <w:vAlign w:val="center"/>
                </w:tcPr>
                <w:p w14:paraId="47020FA2">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（三）建筑陶瓷产业园规划布局建筑陶瓷、新能源产业，废气污染物排放量较大，要科学确定防护距离，合理设置缓冲隔离带或绿化屏障。</w:t>
                  </w:r>
                </w:p>
              </w:tc>
              <w:tc>
                <w:tcPr>
                  <w:tcW w:w="1143" w:type="pct"/>
                  <w:vAlign w:val="center"/>
                </w:tcPr>
                <w:p w14:paraId="66B28C2B">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本项目位于建筑陶瓷产业园，</w:t>
                  </w:r>
                  <w:r>
                    <w:rPr>
                      <w:rFonts w:hint="eastAsia" w:cs="Times New Roman"/>
                      <w:color w:val="auto"/>
                      <w:sz w:val="21"/>
                      <w:szCs w:val="21"/>
                      <w:lang w:val="en-US" w:eastAsia="zh-CN"/>
                    </w:rPr>
                    <w:t>已设置卫生防护距离，防护距离内无敏感目标</w:t>
                  </w:r>
                  <w:r>
                    <w:rPr>
                      <w:rFonts w:hint="default" w:ascii="Times New Roman" w:hAnsi="Times New Roman" w:eastAsia="宋体" w:cs="Times New Roman"/>
                      <w:color w:val="auto"/>
                      <w:sz w:val="21"/>
                      <w:szCs w:val="21"/>
                      <w:lang w:val="en-US" w:eastAsia="zh-CN"/>
                    </w:rPr>
                    <w:t>。</w:t>
                  </w:r>
                </w:p>
              </w:tc>
              <w:tc>
                <w:tcPr>
                  <w:tcW w:w="353" w:type="pct"/>
                  <w:vAlign w:val="center"/>
                </w:tcPr>
                <w:p w14:paraId="7F48849D">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相符</w:t>
                  </w:r>
                </w:p>
              </w:tc>
            </w:tr>
            <w:tr w14:paraId="1C517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02" w:type="pct"/>
                  <w:vAlign w:val="center"/>
                </w:tcPr>
                <w:p w14:paraId="026C6A81">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（四）针对大港河氟化物因子超标问题，尽快推进高安市大港河水质净化工程及江西省建筑陶瓷产业基地污水处理厂入河排污口迁移工作。</w:t>
                  </w:r>
                </w:p>
              </w:tc>
              <w:tc>
                <w:tcPr>
                  <w:tcW w:w="1143" w:type="pct"/>
                  <w:vAlign w:val="center"/>
                </w:tcPr>
                <w:p w14:paraId="3EFFF4C8">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不涉及。</w:t>
                  </w:r>
                </w:p>
              </w:tc>
              <w:tc>
                <w:tcPr>
                  <w:tcW w:w="353" w:type="pct"/>
                  <w:vAlign w:val="center"/>
                </w:tcPr>
                <w:p w14:paraId="14145D01">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相符</w:t>
                  </w:r>
                </w:p>
              </w:tc>
            </w:tr>
            <w:tr w14:paraId="273C0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502" w:type="pct"/>
                  <w:vAlign w:val="center"/>
                </w:tcPr>
                <w:p w14:paraId="6A8B7DA3">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（五）合理规划碳酸锂等新能源产业发展规模并配套固体废物处置设施建设。</w:t>
                  </w:r>
                </w:p>
              </w:tc>
              <w:tc>
                <w:tcPr>
                  <w:tcW w:w="1143" w:type="pct"/>
                  <w:vAlign w:val="center"/>
                </w:tcPr>
                <w:p w14:paraId="2311116A">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本项目为N7723固体废物治理</w:t>
                  </w:r>
                  <w:r>
                    <w:rPr>
                      <w:rFonts w:hint="eastAsia" w:cs="Times New Roman"/>
                      <w:color w:val="auto"/>
                      <w:sz w:val="21"/>
                      <w:szCs w:val="21"/>
                      <w:lang w:val="en-US" w:eastAsia="zh-CN"/>
                    </w:rPr>
                    <w:t>、C3031粘土砖瓦及建筑砌块制造，</w:t>
                  </w:r>
                  <w:r>
                    <w:rPr>
                      <w:rFonts w:hint="default" w:ascii="Times New Roman" w:hAnsi="Times New Roman" w:eastAsia="宋体" w:cs="Times New Roman"/>
                      <w:color w:val="auto"/>
                      <w:sz w:val="21"/>
                      <w:szCs w:val="21"/>
                      <w:lang w:val="en-US" w:eastAsia="zh-CN"/>
                    </w:rPr>
                    <w:t>不涉及碳酸锂等新能源产业。</w:t>
                  </w:r>
                </w:p>
              </w:tc>
              <w:tc>
                <w:tcPr>
                  <w:tcW w:w="353" w:type="pct"/>
                  <w:vAlign w:val="center"/>
                </w:tcPr>
                <w:p w14:paraId="73CD835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相符</w:t>
                  </w:r>
                </w:p>
              </w:tc>
            </w:tr>
            <w:tr w14:paraId="302AF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000" w:type="pct"/>
                  <w:gridSpan w:val="3"/>
                  <w:shd w:val="clear" w:color="auto" w:fill="auto"/>
                  <w:vAlign w:val="center"/>
                </w:tcPr>
                <w:p w14:paraId="1187BBCB">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zh-CN" w:eastAsia="zh-CN"/>
                    </w:rPr>
                    <w:t>规划实施过程中的环境管理意见</w:t>
                  </w:r>
                </w:p>
              </w:tc>
            </w:tr>
            <w:tr w14:paraId="7312D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502" w:type="pct"/>
                  <w:vAlign w:val="center"/>
                </w:tcPr>
                <w:p w14:paraId="4C95E9A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一）下阶段入园项目的环评重点应放在敏感目标环境空气影响分析、防护距离设置、地表水影响分析、规划相符性分析、环境风险影响分析及污染治理措施可行性论证等方面，对符合规划环评环境管控要求和生态环境准入清单的具体建设项目，应将规划环评结论作为重要依据。当规划环评中资源、环境现状调查与评价结果仍具有时效性时，规划所包含的建设项目环评中的现状调查与评价内容可适当简化。</w:t>
                  </w:r>
                </w:p>
              </w:tc>
              <w:tc>
                <w:tcPr>
                  <w:tcW w:w="1143" w:type="pct"/>
                  <w:vAlign w:val="center"/>
                </w:tcPr>
                <w:p w14:paraId="34BE911A">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不涉及。</w:t>
                  </w:r>
                </w:p>
              </w:tc>
              <w:tc>
                <w:tcPr>
                  <w:tcW w:w="353" w:type="pct"/>
                  <w:vAlign w:val="center"/>
                </w:tcPr>
                <w:p w14:paraId="7ABB91B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相符</w:t>
                  </w:r>
                </w:p>
              </w:tc>
            </w:tr>
            <w:tr w14:paraId="34A5E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502" w:type="pct"/>
                  <w:vAlign w:val="center"/>
                </w:tcPr>
                <w:p w14:paraId="624D2233">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（二）园区管理部门应制定环境管理计划，建立有效的环境监控体系，实现园区环境目标。及时开展规划实施后不同阶段的环境影响跟踪评价，掌握规划实施后环境变化趋势。</w:t>
                  </w:r>
                </w:p>
              </w:tc>
              <w:tc>
                <w:tcPr>
                  <w:tcW w:w="1143" w:type="pct"/>
                  <w:vAlign w:val="center"/>
                </w:tcPr>
                <w:p w14:paraId="21FAD0ED">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不涉及。</w:t>
                  </w:r>
                </w:p>
              </w:tc>
              <w:tc>
                <w:tcPr>
                  <w:tcW w:w="353" w:type="pct"/>
                  <w:vAlign w:val="center"/>
                </w:tcPr>
                <w:p w14:paraId="3F00E575">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相符</w:t>
                  </w:r>
                </w:p>
              </w:tc>
            </w:tr>
            <w:tr w14:paraId="52E67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502" w:type="pct"/>
                  <w:vAlign w:val="center"/>
                </w:tcPr>
                <w:p w14:paraId="5E244833">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（三）高安市政府应制定污染物总量年度减排计划并严格执行，全面推进污染治理，积极优化产业结构，鼓励支持低碳产业发展，实现总量控制目标。</w:t>
                  </w:r>
                </w:p>
              </w:tc>
              <w:tc>
                <w:tcPr>
                  <w:tcW w:w="1143" w:type="pct"/>
                  <w:vAlign w:val="center"/>
                </w:tcPr>
                <w:p w14:paraId="39E564ED">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本项目不外排生产废水，生活污水总量已纳入污水处理厂控制指标</w:t>
                  </w:r>
                  <w:r>
                    <w:rPr>
                      <w:rFonts w:hint="eastAsia" w:cs="Times New Roman"/>
                      <w:color w:val="auto"/>
                      <w:sz w:val="21"/>
                      <w:szCs w:val="21"/>
                      <w:lang w:val="en-US" w:eastAsia="zh-CN"/>
                    </w:rPr>
                    <w:t>。</w:t>
                  </w:r>
                </w:p>
              </w:tc>
              <w:tc>
                <w:tcPr>
                  <w:tcW w:w="353" w:type="pct"/>
                  <w:vAlign w:val="center"/>
                </w:tcPr>
                <w:p w14:paraId="3FB668E6">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相符</w:t>
                  </w:r>
                </w:p>
              </w:tc>
            </w:tr>
          </w:tbl>
          <w:p w14:paraId="0683C0B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ind w:left="0" w:right="0" w:firstLine="480" w:firstLineChars="200"/>
              <w:jc w:val="left"/>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val="0"/>
                <w:bCs w:val="0"/>
                <w:color w:val="auto"/>
                <w:lang w:val="en-US" w:eastAsia="zh-CN"/>
              </w:rPr>
              <w:t>综上所述，根据《江西省生态环境厅关于江西高安高新技术产业园区扩区调区规划环境影响报告书审查意见的函》（赣环环评函</w:t>
            </w:r>
            <w:r>
              <w:rPr>
                <w:rFonts w:hint="eastAsia" w:cs="Times New Roman"/>
                <w:b w:val="0"/>
                <w:bCs w:val="0"/>
                <w:color w:val="auto"/>
                <w:lang w:val="en-US" w:eastAsia="zh-CN"/>
              </w:rPr>
              <w:t>〔2024〕69号</w:t>
            </w:r>
            <w:r>
              <w:rPr>
                <w:rFonts w:hint="default" w:ascii="Times New Roman" w:hAnsi="Times New Roman" w:eastAsia="宋体" w:cs="Times New Roman"/>
                <w:b w:val="0"/>
                <w:bCs w:val="0"/>
                <w:color w:val="auto"/>
                <w:lang w:val="en-US" w:eastAsia="zh-CN"/>
              </w:rPr>
              <w:t>）提出的规划优化调整和实施建议及规划实施过程中的环境管理意见，本项目符合该审查意见。</w:t>
            </w:r>
          </w:p>
        </w:tc>
      </w:tr>
      <w:tr w14:paraId="574873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Before w:val="1"/>
          <w:wBefore w:w="866" w:type="pct"/>
          <w:trHeight w:val="12370" w:hRule="atLeast"/>
          <w:jc w:val="center"/>
        </w:trPr>
        <w:tc>
          <w:tcPr>
            <w:tcW w:w="543" w:type="pct"/>
            <w:noWrap w:val="0"/>
            <w:vAlign w:val="center"/>
          </w:tcPr>
          <w:p w14:paraId="33759257">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rPr>
            </w:pPr>
            <w:r>
              <w:rPr>
                <w:rFonts w:hint="default" w:ascii="Times New Roman" w:hAnsi="Times New Roman" w:eastAsia="宋体" w:cs="Times New Roman"/>
                <w:color w:val="auto"/>
                <w:kern w:val="2"/>
                <w:sz w:val="24"/>
                <w:szCs w:val="24"/>
                <w:lang w:val="en-US" w:eastAsia="zh-CN" w:bidi="ar-SA"/>
              </w:rPr>
              <w:t>其他符合性分析</w:t>
            </w:r>
          </w:p>
        </w:tc>
        <w:tc>
          <w:tcPr>
            <w:tcW w:w="3590" w:type="pct"/>
            <w:gridSpan w:val="4"/>
            <w:noWrap w:val="0"/>
            <w:vAlign w:val="top"/>
          </w:tcPr>
          <w:p w14:paraId="676784BD">
            <w:pPr>
              <w:keepNext w:val="0"/>
              <w:keepLines w:val="0"/>
              <w:numPr>
                <w:ilvl w:val="0"/>
                <w:numId w:val="7"/>
              </w:numPr>
              <w:suppressLineNumbers w:val="0"/>
              <w:bidi w:val="0"/>
              <w:spacing w:before="0" w:beforeAutospacing="0" w:after="0" w:afterAutospacing="0"/>
              <w:ind w:left="0" w:leftChars="0" w:right="0" w:firstLine="480" w:firstLineChars="0"/>
              <w:rPr>
                <w:rFonts w:hint="default" w:ascii="Times New Roman" w:hAnsi="Times New Roman" w:cs="Times New Roman"/>
                <w:color w:val="auto"/>
              </w:rPr>
            </w:pPr>
            <w:r>
              <w:rPr>
                <w:rFonts w:hint="default" w:ascii="Times New Roman" w:hAnsi="Times New Roman" w:eastAsia="宋体" w:cs="Times New Roman"/>
                <w:color w:val="auto"/>
                <w:kern w:val="2"/>
                <w:sz w:val="24"/>
                <w:szCs w:val="24"/>
                <w:lang w:val="en-US" w:eastAsia="zh-CN" w:bidi="ar-SA"/>
              </w:rPr>
              <w:t>产业政策</w:t>
            </w:r>
            <w:r>
              <w:rPr>
                <w:rFonts w:hint="eastAsia" w:ascii="Times New Roman" w:hAnsi="Times New Roman" w:eastAsia="宋体" w:cs="Times New Roman"/>
                <w:color w:val="auto"/>
                <w:kern w:val="2"/>
                <w:sz w:val="24"/>
                <w:szCs w:val="24"/>
                <w:lang w:val="en-US" w:eastAsia="zh-CN" w:bidi="ar-SA"/>
              </w:rPr>
              <w:t>相</w:t>
            </w:r>
            <w:r>
              <w:rPr>
                <w:rFonts w:hint="eastAsia" w:cs="Times New Roman"/>
                <w:color w:val="auto"/>
                <w:lang w:eastAsia="zh-CN"/>
              </w:rPr>
              <w:t>符性分析</w:t>
            </w:r>
          </w:p>
          <w:p w14:paraId="2C688D55">
            <w:pPr>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根据《产业结构调整指导目录》（</w:t>
            </w:r>
            <w:r>
              <w:rPr>
                <w:rFonts w:hint="default" w:ascii="Times New Roman" w:hAnsi="Times New Roman" w:cs="Times New Roman"/>
                <w:color w:val="auto"/>
                <w:lang w:val="en-US" w:eastAsia="zh-CN"/>
              </w:rPr>
              <w:t>2024年本</w:t>
            </w:r>
            <w:r>
              <w:rPr>
                <w:rFonts w:hint="default" w:ascii="Times New Roman" w:hAnsi="Times New Roman" w:cs="Times New Roman"/>
                <w:color w:val="auto"/>
              </w:rPr>
              <w:t>），本项目属于第一类鼓励类-四十</w:t>
            </w:r>
            <w:r>
              <w:rPr>
                <w:rFonts w:hint="default" w:ascii="Times New Roman" w:hAnsi="Times New Roman" w:cs="Times New Roman"/>
                <w:color w:val="auto"/>
                <w:lang w:eastAsia="zh-CN"/>
              </w:rPr>
              <w:t>二</w:t>
            </w:r>
            <w:r>
              <w:rPr>
                <w:rFonts w:hint="default" w:ascii="Times New Roman" w:hAnsi="Times New Roman" w:cs="Times New Roman"/>
                <w:color w:val="auto"/>
              </w:rPr>
              <w:t>、环境保护与资源节约综合利用-</w:t>
            </w:r>
            <w:r>
              <w:rPr>
                <w:rFonts w:hint="default" w:ascii="Times New Roman" w:hAnsi="Times New Roman" w:cs="Times New Roman"/>
                <w:color w:val="auto"/>
                <w:lang w:val="en-US" w:eastAsia="zh-CN"/>
              </w:rPr>
              <w:t>8</w:t>
            </w:r>
            <w:r>
              <w:rPr>
                <w:rFonts w:hint="default" w:ascii="Times New Roman" w:hAnsi="Times New Roman" w:cs="Times New Roman"/>
                <w:color w:val="auto"/>
              </w:rPr>
              <w:t>、</w:t>
            </w:r>
            <w:r>
              <w:rPr>
                <w:rFonts w:hint="default" w:ascii="Times New Roman" w:hAnsi="Times New Roman" w:cs="Times New Roman"/>
                <w:color w:val="auto"/>
                <w:lang w:val="en-US" w:eastAsia="zh-CN"/>
              </w:rPr>
              <w:t>废弃物循环利用</w:t>
            </w:r>
            <w:r>
              <w:rPr>
                <w:rFonts w:hint="default" w:ascii="Times New Roman" w:hAnsi="Times New Roman" w:cs="Times New Roman"/>
                <w:color w:val="auto"/>
              </w:rPr>
              <w:t>。项目不涉及《部分工业行业淘汰落后生产工艺装备和产品指导目录（2010年）》中的落后生产工艺产品和装备，根据高安市发展和改革委员会出具的项目备案文件（统一项目代码：</w:t>
            </w:r>
            <w:r>
              <w:rPr>
                <w:rFonts w:hint="default" w:ascii="Times New Roman" w:hAnsi="Times New Roman" w:cs="Times New Roman"/>
                <w:color w:val="auto"/>
                <w:lang w:eastAsia="zh-CN"/>
              </w:rPr>
              <w:t>2411-360983-04-05-442021</w:t>
            </w:r>
            <w:r>
              <w:rPr>
                <w:rFonts w:hint="default" w:ascii="Times New Roman" w:hAnsi="Times New Roman" w:cs="Times New Roman"/>
                <w:color w:val="auto"/>
              </w:rPr>
              <w:t>），因此，该项目建设符合国家及高安市产业政策。</w:t>
            </w:r>
          </w:p>
          <w:p w14:paraId="17DCA3C5">
            <w:pPr>
              <w:keepNext w:val="0"/>
              <w:keepLines w:val="0"/>
              <w:numPr>
                <w:ilvl w:val="0"/>
                <w:numId w:val="7"/>
              </w:numPr>
              <w:suppressLineNumbers w:val="0"/>
              <w:bidi w:val="0"/>
              <w:spacing w:before="0" w:beforeAutospacing="0" w:after="0" w:afterAutospacing="0"/>
              <w:ind w:left="0" w:leftChars="0" w:right="0" w:firstLine="480" w:firstLineChars="0"/>
              <w:rPr>
                <w:rFonts w:hint="default" w:ascii="Times New Roman" w:hAnsi="Times New Roman" w:cs="Times New Roman"/>
                <w:color w:val="auto"/>
              </w:rPr>
            </w:pPr>
            <w:r>
              <w:rPr>
                <w:rFonts w:hint="default" w:ascii="Times New Roman" w:hAnsi="Times New Roman" w:eastAsia="宋体" w:cs="Times New Roman"/>
                <w:color w:val="auto"/>
                <w:kern w:val="2"/>
                <w:sz w:val="24"/>
                <w:szCs w:val="24"/>
                <w:lang w:val="en-US" w:eastAsia="zh-CN" w:bidi="ar-SA"/>
              </w:rPr>
              <w:t>选址合</w:t>
            </w:r>
            <w:r>
              <w:rPr>
                <w:rFonts w:hint="default" w:ascii="Times New Roman" w:hAnsi="Times New Roman" w:cs="Times New Roman"/>
                <w:color w:val="auto"/>
              </w:rPr>
              <w:t>理性分析</w:t>
            </w:r>
          </w:p>
          <w:p w14:paraId="0AE75BA7">
            <w:pPr>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本项目位于</w:t>
            </w:r>
            <w:r>
              <w:rPr>
                <w:rFonts w:hint="default" w:ascii="Times New Roman" w:hAnsi="Times New Roman" w:cs="Times New Roman"/>
                <w:color w:val="auto"/>
                <w:lang w:eastAsia="zh-CN"/>
              </w:rPr>
              <w:t>高安市高新产业园江西省建筑陶瓷产业基地</w:t>
            </w:r>
            <w:r>
              <w:rPr>
                <w:rFonts w:hint="default" w:ascii="Times New Roman" w:hAnsi="Times New Roman" w:cs="Times New Roman"/>
                <w:color w:val="auto"/>
              </w:rPr>
              <w:t>，用地为</w:t>
            </w:r>
            <w:r>
              <w:rPr>
                <w:rFonts w:hint="default" w:ascii="Times New Roman" w:hAnsi="Times New Roman" w:cs="Times New Roman"/>
                <w:color w:val="auto"/>
                <w:lang w:eastAsia="zh-CN"/>
              </w:rPr>
              <w:t>工业用地</w:t>
            </w:r>
            <w:r>
              <w:rPr>
                <w:rFonts w:hint="default" w:ascii="Times New Roman" w:hAnsi="Times New Roman" w:cs="Times New Roman"/>
                <w:color w:val="auto"/>
              </w:rPr>
              <w:t>，</w:t>
            </w:r>
            <w:r>
              <w:rPr>
                <w:rFonts w:hint="default" w:ascii="Times New Roman" w:hAnsi="Times New Roman" w:cs="Times New Roman"/>
                <w:color w:val="auto"/>
                <w:lang w:eastAsia="zh-CN"/>
              </w:rPr>
              <w:t>租赁江西富利高陶瓷有限公司的厂房</w:t>
            </w:r>
            <w:r>
              <w:rPr>
                <w:rFonts w:hint="eastAsia" w:ascii="Times New Roman" w:hAnsi="Times New Roman" w:cs="Times New Roman"/>
                <w:color w:val="auto"/>
                <w:lang w:val="en-US" w:eastAsia="zh-CN"/>
              </w:rPr>
              <w:t>，已签订租赁合同（见附件4）</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项目北面、东面是空置厂房，西面是空地、南面</w:t>
            </w:r>
            <w:r>
              <w:rPr>
                <w:rFonts w:hint="eastAsia"/>
                <w:color w:val="auto"/>
                <w:lang w:val="en-US" w:eastAsia="zh-CN"/>
              </w:rPr>
              <w:t>为农田</w:t>
            </w:r>
            <w:r>
              <w:rPr>
                <w:rFonts w:hint="default" w:ascii="Times New Roman" w:hAnsi="Times New Roman" w:cs="Times New Roman"/>
                <w:color w:val="auto"/>
                <w:lang w:val="en-US" w:eastAsia="zh-CN"/>
              </w:rPr>
              <w:t>，项目与周边的环境相容</w:t>
            </w:r>
            <w:r>
              <w:rPr>
                <w:rFonts w:hint="default" w:ascii="Times New Roman" w:hAnsi="Times New Roman" w:cs="Times New Roman"/>
                <w:color w:val="auto"/>
              </w:rPr>
              <w:t>。综上，从本项目所处地理位置和周围环境分析，项目选址周围无较大的环境制约因素，本环评认为该项目的选址较合理。</w:t>
            </w:r>
          </w:p>
          <w:p w14:paraId="7F0ED135">
            <w:pPr>
              <w:keepNext w:val="0"/>
              <w:keepLines w:val="0"/>
              <w:numPr>
                <w:ilvl w:val="0"/>
                <w:numId w:val="7"/>
              </w:numPr>
              <w:suppressLineNumbers w:val="0"/>
              <w:bidi w:val="0"/>
              <w:spacing w:before="0" w:beforeAutospacing="0" w:after="0" w:afterAutospacing="0"/>
              <w:ind w:left="0" w:leftChars="0" w:right="0" w:firstLine="480" w:firstLineChars="0"/>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“三线一单”</w:t>
            </w:r>
            <w:r>
              <w:rPr>
                <w:rFonts w:hint="eastAsia" w:ascii="Times New Roman" w:hAnsi="Times New Roman" w:eastAsia="宋体" w:cs="Times New Roman"/>
                <w:color w:val="auto"/>
                <w:kern w:val="2"/>
                <w:sz w:val="24"/>
                <w:szCs w:val="24"/>
                <w:lang w:val="en-US" w:eastAsia="zh-CN" w:bidi="ar-SA"/>
              </w:rPr>
              <w:t>相符性分析</w:t>
            </w:r>
          </w:p>
          <w:p w14:paraId="542ADA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①生态红线</w:t>
            </w:r>
          </w:p>
          <w:p w14:paraId="538277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本项目位于</w:t>
            </w:r>
            <w:r>
              <w:rPr>
                <w:rFonts w:hint="default" w:ascii="Times New Roman" w:hAnsi="Times New Roman" w:cs="Times New Roman"/>
                <w:color w:val="auto"/>
                <w:lang w:eastAsia="zh-CN"/>
              </w:rPr>
              <w:t>高安市高新产业园江西省建筑陶瓷产业基地</w:t>
            </w:r>
            <w:r>
              <w:rPr>
                <w:rFonts w:hint="default" w:ascii="Times New Roman" w:hAnsi="Times New Roman" w:eastAsia="宋体" w:cs="Times New Roman"/>
                <w:color w:val="auto"/>
              </w:rPr>
              <w:t>，用地为</w:t>
            </w:r>
            <w:r>
              <w:rPr>
                <w:rFonts w:hint="default" w:ascii="Times New Roman" w:hAnsi="Times New Roman" w:eastAsia="宋体" w:cs="Times New Roman"/>
                <w:color w:val="auto"/>
                <w:lang w:eastAsia="zh-CN"/>
              </w:rPr>
              <w:t>工业用地</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租赁江西富利高陶瓷有限公司的厂房，</w:t>
            </w:r>
            <w:r>
              <w:rPr>
                <w:rFonts w:hint="eastAsia"/>
                <w:color w:val="auto"/>
                <w:lang w:val="en-US" w:eastAsia="zh-CN"/>
              </w:rPr>
              <w:t>根据高安市生态红线图（见附图）可知本项目不</w:t>
            </w:r>
            <w:r>
              <w:rPr>
                <w:rFonts w:hint="default" w:ascii="Times New Roman" w:hAnsi="Times New Roman" w:eastAsia="宋体" w:cs="Times New Roman"/>
                <w:color w:val="auto"/>
                <w:lang w:val="en-US" w:eastAsia="zh-CN"/>
              </w:rPr>
              <w:t>在生态红线内</w:t>
            </w:r>
            <w:r>
              <w:rPr>
                <w:rFonts w:hint="default" w:ascii="Times New Roman" w:hAnsi="Times New Roman" w:eastAsia="宋体" w:cs="Times New Roman"/>
                <w:color w:val="auto"/>
              </w:rPr>
              <w:t>。</w:t>
            </w:r>
          </w:p>
          <w:p w14:paraId="68F25F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②环境质量底线</w:t>
            </w:r>
          </w:p>
          <w:p w14:paraId="641123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80" w:firstLineChars="200"/>
              <w:textAlignment w:val="auto"/>
              <w:rPr>
                <w:rFonts w:hint="default" w:ascii="Times New Roman" w:hAnsi="Times New Roman" w:eastAsia="宋体" w:cs="Times New Roman"/>
                <w:color w:val="auto"/>
              </w:rPr>
            </w:pPr>
            <w:r>
              <w:rPr>
                <w:rStyle w:val="75"/>
                <w:rFonts w:hint="default" w:ascii="Times New Roman" w:hAnsi="Times New Roman" w:cs="Times New Roman"/>
                <w:color w:val="auto"/>
              </w:rPr>
              <w:t>根据</w:t>
            </w:r>
            <w:r>
              <w:rPr>
                <w:rStyle w:val="75"/>
                <w:rFonts w:hint="default" w:ascii="Times New Roman" w:hAnsi="Times New Roman" w:cs="Times New Roman"/>
                <w:color w:val="auto"/>
                <w:lang w:eastAsia="zh-CN"/>
              </w:rPr>
              <w:t>宜春市高安市</w:t>
            </w:r>
            <w:r>
              <w:rPr>
                <w:rStyle w:val="75"/>
                <w:rFonts w:hint="default" w:ascii="Times New Roman" w:hAnsi="Times New Roman" w:cs="Times New Roman"/>
                <w:color w:val="auto"/>
              </w:rPr>
              <w:t>环境功能区划，项目所在区域环境空气执行《环境空气质量标准》（GB3095-2012）的二级标准，地表水执行《地表水环境质量标准》（GB3838-2002）中的Ⅲ类水质标准，声环境执行《声环境质量标准》（GB3096-2008）</w:t>
            </w:r>
            <w:r>
              <w:rPr>
                <w:rStyle w:val="75"/>
                <w:rFonts w:hint="default" w:ascii="Times New Roman" w:hAnsi="Times New Roman" w:cs="Times New Roman"/>
                <w:color w:val="auto"/>
                <w:lang w:val="en-US" w:eastAsia="zh-CN"/>
              </w:rPr>
              <w:t>3</w:t>
            </w:r>
            <w:r>
              <w:rPr>
                <w:rStyle w:val="75"/>
                <w:rFonts w:hint="default" w:ascii="Times New Roman" w:hAnsi="Times New Roman" w:cs="Times New Roman"/>
                <w:color w:val="auto"/>
              </w:rPr>
              <w:t>类标准。项目所在区域环境质量均能达到相应环境质量标准要求。项目建成后，项目废气污染物经处理后可以达标排放，对外环境影响不大；</w:t>
            </w:r>
          </w:p>
          <w:p w14:paraId="70352B96">
            <w:pPr>
              <w:pStyle w:val="74"/>
              <w:keepNext w:val="0"/>
              <w:keepLines w:val="0"/>
              <w:suppressLineNumbers w:val="0"/>
              <w:spacing w:before="0" w:beforeAutospacing="0" w:after="0" w:afterAutospacing="0"/>
              <w:ind w:left="0" w:right="0" w:firstLine="480"/>
              <w:rPr>
                <w:rFonts w:hint="default" w:ascii="Times New Roman" w:hAnsi="Times New Roman" w:cs="Times New Roman"/>
                <w:color w:val="auto"/>
                <w:highlight w:val="none"/>
                <w:lang w:val="en-US" w:eastAsia="zh-CN"/>
              </w:rPr>
            </w:pPr>
            <w:r>
              <w:rPr>
                <w:rFonts w:hint="default" w:ascii="Times New Roman" w:hAnsi="Times New Roman" w:cs="Times New Roman"/>
                <w:snapToGrid w:val="0"/>
                <w:color w:val="auto"/>
                <w:kern w:val="32"/>
                <w:sz w:val="24"/>
                <w:highlight w:val="none"/>
                <w:lang w:val="en-US" w:eastAsia="zh-CN"/>
              </w:rPr>
              <w:t>综上，</w:t>
            </w:r>
            <w:r>
              <w:rPr>
                <w:rFonts w:hint="default" w:ascii="Times New Roman" w:hAnsi="Times New Roman" w:cs="Times New Roman"/>
                <w:snapToGrid w:val="0"/>
                <w:color w:val="auto"/>
                <w:kern w:val="32"/>
                <w:sz w:val="24"/>
                <w:highlight w:val="none"/>
              </w:rPr>
              <w:t>项目的建设不会改变区域内环境功能现状，符合环境质量底线要求。</w:t>
            </w:r>
          </w:p>
          <w:p w14:paraId="4DF0B51D">
            <w:pPr>
              <w:pStyle w:val="74"/>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③资源利用上线</w:t>
            </w:r>
          </w:p>
          <w:p w14:paraId="7D702C7C">
            <w:pPr>
              <w:pStyle w:val="74"/>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本项目不使用高能耗能源，采用市政供电，能够满足项目供电需要。项目用水由市政供水提供，用量较小，能够满足本项目新鲜水使用要求。本项目不属于高污染、高能耗、高水耗的建设项目，符合资源利用上线的要求。</w:t>
            </w:r>
          </w:p>
          <w:p w14:paraId="43F1B8B4">
            <w:pPr>
              <w:pStyle w:val="74"/>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④生态环境准入清单</w:t>
            </w:r>
          </w:p>
          <w:p w14:paraId="1A529F11">
            <w:pPr>
              <w:pStyle w:val="74"/>
              <w:keepNext w:val="0"/>
              <w:keepLines w:val="0"/>
              <w:suppressLineNumbers w:val="0"/>
              <w:bidi w:val="0"/>
              <w:spacing w:before="0" w:beforeAutospacing="0" w:after="0" w:afterAutospacing="0"/>
              <w:ind w:left="0" w:right="0"/>
              <w:rPr>
                <w:rFonts w:hint="default" w:ascii="Times New Roman" w:hAnsi="Times New Roman" w:cs="Times New Roman"/>
                <w:color w:val="auto"/>
                <w:lang w:val="zh-CN"/>
              </w:rPr>
            </w:pPr>
            <w:r>
              <w:rPr>
                <w:rFonts w:hint="default" w:ascii="Times New Roman" w:hAnsi="Times New Roman" w:cs="Times New Roman"/>
                <w:color w:val="auto"/>
                <w:lang w:val="zh-CN"/>
              </w:rPr>
              <w:t>根据《江西省第一批国家重点生态功能区产业准入负面清单》（赣发改规划</w:t>
            </w:r>
            <w:r>
              <w:rPr>
                <w:rFonts w:hint="eastAsia" w:ascii="Times New Roman" w:hAnsi="Times New Roman" w:cs="Times New Roman"/>
                <w:color w:val="auto"/>
                <w:lang w:val="zh-CN"/>
              </w:rPr>
              <w:t>〔2017〕448号</w:t>
            </w:r>
            <w:r>
              <w:rPr>
                <w:rFonts w:hint="default" w:ascii="Times New Roman" w:hAnsi="Times New Roman" w:cs="Times New Roman"/>
                <w:color w:val="auto"/>
                <w:lang w:val="zh-CN"/>
              </w:rPr>
              <w:t>）及《江西省发展改革委关于印发江西省第二批重点生态功能区产业准入负面清单的通知》（赣发改规划</w:t>
            </w:r>
            <w:r>
              <w:rPr>
                <w:rFonts w:hint="eastAsia" w:ascii="Times New Roman" w:hAnsi="Times New Roman" w:cs="Times New Roman"/>
                <w:color w:val="auto"/>
                <w:lang w:val="zh-CN"/>
              </w:rPr>
              <w:t>〔2018〕112号</w:t>
            </w:r>
            <w:r>
              <w:rPr>
                <w:rFonts w:hint="default" w:ascii="Times New Roman" w:hAnsi="Times New Roman" w:cs="Times New Roman"/>
                <w:color w:val="auto"/>
                <w:lang w:val="zh-CN"/>
              </w:rPr>
              <w:t>），高安市均不涉及生态功能区产业准入负面清单。因此项目符合生态环境准入清单要求。</w:t>
            </w:r>
          </w:p>
          <w:p w14:paraId="5FCEE883">
            <w:pPr>
              <w:pStyle w:val="74"/>
              <w:keepNext w:val="0"/>
              <w:keepLines w:val="0"/>
              <w:suppressLineNumbers w:val="0"/>
              <w:bidi w:val="0"/>
              <w:spacing w:before="0" w:beforeAutospacing="0" w:after="0" w:afterAutospacing="0"/>
              <w:ind w:left="0" w:right="0"/>
              <w:rPr>
                <w:rFonts w:hint="default" w:ascii="Times New Roman" w:hAnsi="Times New Roman" w:cs="Times New Roman"/>
                <w:color w:val="auto"/>
                <w:lang w:val="zh-CN"/>
              </w:rPr>
            </w:pPr>
            <w:r>
              <w:rPr>
                <w:rFonts w:hint="default" w:ascii="Times New Roman" w:hAnsi="Times New Roman" w:cs="Times New Roman"/>
                <w:color w:val="auto"/>
                <w:lang w:val="zh-CN"/>
              </w:rPr>
              <w:t>为深入贯彻《中共中央国务院关于全面加强生态环境保护坚决打好污染防治攻坚战的意见》，全面落实“共抓大保护、不搞大开发</w:t>
            </w:r>
            <w:r>
              <w:rPr>
                <w:rFonts w:hint="eastAsia" w:cs="Times New Roman"/>
                <w:color w:val="auto"/>
                <w:lang w:val="zh-CN"/>
              </w:rPr>
              <w:t>。</w:t>
            </w:r>
            <w:r>
              <w:rPr>
                <w:rFonts w:hint="default" w:ascii="Times New Roman" w:hAnsi="Times New Roman" w:cs="Times New Roman"/>
                <w:color w:val="auto"/>
                <w:lang w:val="zh-CN"/>
              </w:rPr>
              <w:t>要求，推动全市实现高质量发展和生态环境高水平保护，加快实施生态保护红线、环境质量底线、资源利用上线和生态环境准入清单（以下统称“三线一单”）生态环境分区管控体系。根据生态环境部《2023年生态环境分区管控成果动态更新工作方案》（环办环评函</w:t>
            </w:r>
            <w:r>
              <w:rPr>
                <w:rFonts w:hint="eastAsia" w:ascii="Times New Roman" w:hAnsi="Times New Roman" w:cs="Times New Roman"/>
                <w:color w:val="auto"/>
                <w:lang w:val="zh-CN"/>
              </w:rPr>
              <w:t>〔2023〕81号</w:t>
            </w:r>
            <w:r>
              <w:rPr>
                <w:rFonts w:hint="default" w:ascii="Times New Roman" w:hAnsi="Times New Roman" w:cs="Times New Roman"/>
                <w:color w:val="auto"/>
                <w:lang w:val="zh-CN"/>
              </w:rPr>
              <w:t>）、《江西省2023年生态环境分区管控成果动态更新工作方案》（赣环环评函</w:t>
            </w:r>
            <w:r>
              <w:rPr>
                <w:rFonts w:hint="eastAsia" w:ascii="Times New Roman" w:hAnsi="Times New Roman" w:cs="Times New Roman"/>
                <w:color w:val="auto"/>
                <w:lang w:val="zh-CN"/>
              </w:rPr>
              <w:t>〔2023〕9号</w:t>
            </w:r>
            <w:r>
              <w:rPr>
                <w:rFonts w:hint="default" w:ascii="Times New Roman" w:hAnsi="Times New Roman" w:cs="Times New Roman"/>
                <w:color w:val="auto"/>
                <w:lang w:val="zh-CN"/>
              </w:rPr>
              <w:t>）有关要求，宜春市已完成生态环境分区管控成果动态更新工作，并发布《宜春市人民政府办公室关于公布宜春市生态环境分区管控成果（2023版）的通知》（宜府办发</w:t>
            </w:r>
            <w:r>
              <w:rPr>
                <w:rFonts w:hint="eastAsia" w:ascii="Times New Roman" w:hAnsi="Times New Roman" w:cs="Times New Roman"/>
                <w:color w:val="auto"/>
                <w:lang w:val="zh-CN"/>
              </w:rPr>
              <w:t>〔2024〕9号</w:t>
            </w:r>
            <w:r>
              <w:rPr>
                <w:rFonts w:hint="default" w:ascii="Times New Roman" w:hAnsi="Times New Roman" w:cs="Times New Roman"/>
                <w:color w:val="auto"/>
                <w:lang w:val="zh-CN"/>
              </w:rPr>
              <w:t>）。</w:t>
            </w:r>
          </w:p>
          <w:p w14:paraId="0EE597AA">
            <w:pPr>
              <w:pStyle w:val="74"/>
              <w:keepNext w:val="0"/>
              <w:keepLines w:val="0"/>
              <w:suppressLineNumbers w:val="0"/>
              <w:bidi w:val="0"/>
              <w:spacing w:before="0" w:beforeAutospacing="0" w:after="0" w:afterAutospacing="0"/>
              <w:ind w:left="0" w:right="0"/>
              <w:rPr>
                <w:rFonts w:hint="default" w:ascii="Times New Roman" w:hAnsi="Times New Roman" w:cs="Times New Roman"/>
                <w:color w:val="auto"/>
                <w:lang w:val="zh-CN"/>
              </w:rPr>
            </w:pPr>
            <w:r>
              <w:rPr>
                <w:rFonts w:hint="default" w:ascii="Times New Roman" w:hAnsi="Times New Roman" w:cs="Times New Roman"/>
                <w:color w:val="auto"/>
                <w:lang w:val="zh-CN"/>
              </w:rPr>
              <w:t>本项目位于</w:t>
            </w:r>
            <w:r>
              <w:rPr>
                <w:rFonts w:hint="default" w:ascii="Times New Roman" w:hAnsi="Times New Roman" w:cs="Times New Roman"/>
                <w:color w:val="auto"/>
                <w:lang w:val="zh-CN" w:eastAsia="zh-CN"/>
              </w:rPr>
              <w:t>高安市高新产业园江西省建筑陶瓷产业基地</w:t>
            </w:r>
            <w:r>
              <w:rPr>
                <w:rFonts w:hint="default" w:ascii="Times New Roman" w:hAnsi="Times New Roman" w:cs="Times New Roman"/>
                <w:color w:val="auto"/>
                <w:lang w:val="zh-CN"/>
              </w:rPr>
              <w:t>，属于江西高安高新技术产业园建筑陶瓷产业园，属重点管控单元2（环境管控单元编码：ZH36098320002）。根据《宜春市人民政府办公室关于公布宜春市生态环境分区管控成果（2023版）的通知》（宜府办发</w:t>
            </w:r>
            <w:r>
              <w:rPr>
                <w:rFonts w:hint="eastAsia" w:ascii="Times New Roman" w:hAnsi="Times New Roman" w:cs="Times New Roman"/>
                <w:color w:val="auto"/>
                <w:lang w:val="zh-CN"/>
              </w:rPr>
              <w:t>〔2024〕9号</w:t>
            </w:r>
            <w:r>
              <w:rPr>
                <w:rFonts w:hint="default" w:ascii="Times New Roman" w:hAnsi="Times New Roman" w:cs="Times New Roman"/>
                <w:color w:val="auto"/>
                <w:lang w:val="zh-CN"/>
              </w:rPr>
              <w:t>），将涉及本项目区域的生态环境准入清单要求及符合性分析列于表1-4和表1-5.</w:t>
            </w:r>
          </w:p>
          <w:p w14:paraId="707B346F">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default"/>
                <w:color w:val="auto"/>
                <w:lang w:val="zh-CN"/>
              </w:rPr>
            </w:pPr>
            <w:r>
              <w:rPr>
                <w:rFonts w:hint="default"/>
                <w:color w:val="auto"/>
                <w:lang w:val="zh-CN"/>
              </w:rPr>
              <w:t>与《宜春市生态环境总体准入要求》</w:t>
            </w:r>
            <w:r>
              <w:rPr>
                <w:rFonts w:hint="eastAsia"/>
                <w:color w:val="auto"/>
                <w:lang w:val="zh-CN"/>
              </w:rPr>
              <w:t>相符性分析</w:t>
            </w:r>
          </w:p>
          <w:tbl>
            <w:tblPr>
              <w:tblStyle w:val="28"/>
              <w:tblW w:w="4999"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674"/>
              <w:gridCol w:w="857"/>
              <w:gridCol w:w="4630"/>
              <w:gridCol w:w="1796"/>
              <w:gridCol w:w="605"/>
            </w:tblGrid>
            <w:tr w14:paraId="0B02B64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blHeader/>
                <w:jc w:val="center"/>
              </w:trPr>
              <w:tc>
                <w:tcPr>
                  <w:tcW w:w="39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485DBB5">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维度</w:t>
                  </w:r>
                </w:p>
              </w:tc>
              <w:tc>
                <w:tcPr>
                  <w:tcW w:w="50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A1A0971">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清单编制要求</w:t>
                  </w:r>
                </w:p>
              </w:tc>
              <w:tc>
                <w:tcPr>
                  <w:tcW w:w="270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28486AE">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动态更新情况</w:t>
                  </w:r>
                </w:p>
              </w:tc>
              <w:tc>
                <w:tcPr>
                  <w:tcW w:w="104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9250EB0">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本项目情况</w:t>
                  </w:r>
                </w:p>
              </w:tc>
              <w:tc>
                <w:tcPr>
                  <w:tcW w:w="35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323A7A7">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eastAsia" w:cs="Times New Roman"/>
                      <w:color w:val="auto"/>
                      <w:sz w:val="21"/>
                      <w:szCs w:val="24"/>
                      <w:lang w:eastAsia="zh-CN"/>
                    </w:rPr>
                    <w:t>相符性分析</w:t>
                  </w:r>
                </w:p>
              </w:tc>
            </w:tr>
            <w:tr w14:paraId="4817709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94" w:type="pct"/>
                  <w:vMerge w:val="restart"/>
                  <w:tcBorders>
                    <w:top w:val="single" w:color="auto" w:sz="2" w:space="0"/>
                    <w:left w:val="single" w:color="auto" w:sz="2" w:space="0"/>
                    <w:bottom w:val="single" w:color="auto" w:sz="2" w:space="0"/>
                    <w:right w:val="single" w:color="auto" w:sz="2" w:space="0"/>
                    <w:tl2br w:val="nil"/>
                    <w:tr2bl w:val="nil"/>
                  </w:tcBorders>
                  <w:noWrap w:val="0"/>
                  <w:vAlign w:val="center"/>
                </w:tcPr>
                <w:p w14:paraId="3EAA601C">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空间布局约束</w:t>
                  </w:r>
                </w:p>
              </w:tc>
              <w:tc>
                <w:tcPr>
                  <w:tcW w:w="50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4F959C3">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禁止开发建设活动的要求</w:t>
                  </w:r>
                </w:p>
              </w:tc>
              <w:tc>
                <w:tcPr>
                  <w:tcW w:w="270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1823905">
                  <w:pPr>
                    <w:pStyle w:val="56"/>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禁止新建《产业结构调整指导目录》限制类和淘汰类项目，现有产业改、扩建不得使用《产业结构调整指导目录》规定的淘汰类规模和生产工艺。</w:t>
                  </w:r>
                </w:p>
              </w:tc>
              <w:tc>
                <w:tcPr>
                  <w:tcW w:w="104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DD3C6C5">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本项目属于四十二、环境保护与资源节约综合利用鼓励类</w:t>
                  </w:r>
                </w:p>
              </w:tc>
              <w:tc>
                <w:tcPr>
                  <w:tcW w:w="35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9EC4B0A">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3E8565E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94"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466F2BB0">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500" w:type="pct"/>
                  <w:vMerge w:val="restart"/>
                  <w:tcBorders>
                    <w:top w:val="single" w:color="auto" w:sz="2" w:space="0"/>
                    <w:left w:val="single" w:color="auto" w:sz="2" w:space="0"/>
                    <w:bottom w:val="single" w:color="auto" w:sz="2" w:space="0"/>
                    <w:right w:val="single" w:color="auto" w:sz="2" w:space="0"/>
                    <w:tl2br w:val="nil"/>
                    <w:tr2bl w:val="nil"/>
                  </w:tcBorders>
                  <w:noWrap w:val="0"/>
                  <w:vAlign w:val="center"/>
                </w:tcPr>
                <w:p w14:paraId="050A692F">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限制开发建设活动的要求</w:t>
                  </w:r>
                </w:p>
              </w:tc>
              <w:tc>
                <w:tcPr>
                  <w:tcW w:w="270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66ED664">
                  <w:pPr>
                    <w:pStyle w:val="56"/>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禁止在赣江岸线一公里范围内新建、扩建化工园区和化工项目；禁止在赣江岸线一公里范围内新建、改建、扩建冶炼渣库和磷石膏库，以提升安全、生态环境保护水平为目的改建除外；严禁新建“头顶库”、总坝高超过200米的尾矿库，严禁在距离水源地以及流域面积大于1000平方公里的河流和禾水、渌水岸线1公里范围内新（改、扩）建尾矿库。</w:t>
                  </w:r>
                </w:p>
              </w:tc>
              <w:tc>
                <w:tcPr>
                  <w:tcW w:w="104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9563551">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不涉及</w:t>
                  </w:r>
                </w:p>
              </w:tc>
              <w:tc>
                <w:tcPr>
                  <w:tcW w:w="35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DEE19BF">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1A4BD89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94"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247E5375">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500"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54D7914A">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270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839B24C">
                  <w:pPr>
                    <w:pStyle w:val="56"/>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不得在城镇居民聚集区域、规划区，主导风上风向，以城镇中心为界线，向外延伸5公里，新建化工（单纯混合、复配除外）、农药（原药生产）、钢铁、焦化、水泥（熟料）、有色金属冶炼等大气污染型项目。</w:t>
                  </w:r>
                </w:p>
              </w:tc>
              <w:tc>
                <w:tcPr>
                  <w:tcW w:w="104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139F593">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不涉及</w:t>
                  </w:r>
                </w:p>
              </w:tc>
              <w:tc>
                <w:tcPr>
                  <w:tcW w:w="35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A532438">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135008D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94"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07A1233A">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500"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24D7474A">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270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8C541E6">
                  <w:pPr>
                    <w:pStyle w:val="56"/>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生态保护红线内，自然保护地核心保护区原则上禁止人为活动，其他区域严格禁止开发性、生产性建设活动。</w:t>
                  </w:r>
                </w:p>
              </w:tc>
              <w:tc>
                <w:tcPr>
                  <w:tcW w:w="104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9BD689E">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不涉及</w:t>
                  </w:r>
                </w:p>
              </w:tc>
              <w:tc>
                <w:tcPr>
                  <w:tcW w:w="35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476373D">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0F91F5F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94"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3276E1FD">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500"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12BF2725">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270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37698B8">
                  <w:pPr>
                    <w:pStyle w:val="56"/>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加强重金属污染源头防控，减少使用高铊矿石原料。废水、废气排放的涉铊企业要设置除铊治理设施，需相应达到排放标准要求，对于生产废水零排放的项目，企业废水总排口中铊不得检出。</w:t>
                  </w:r>
                </w:p>
              </w:tc>
              <w:tc>
                <w:tcPr>
                  <w:tcW w:w="104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C4F42DF">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本次评价要求建设单位在雨水排放口设有氟化物、铊在线监测设备，并与市、县两级在线监控管理平台联网</w:t>
                  </w:r>
                </w:p>
              </w:tc>
              <w:tc>
                <w:tcPr>
                  <w:tcW w:w="35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DA9E9EA">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3D53267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94"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2AFF9213">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50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3D9C340">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不符合空间布局要求活动的退出要求</w:t>
                  </w:r>
                </w:p>
              </w:tc>
              <w:tc>
                <w:tcPr>
                  <w:tcW w:w="270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DBF7DBF">
                  <w:pPr>
                    <w:pStyle w:val="56"/>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城市建成区现有重污染企业（钢铁、水泥、浮化玻璃等）限期退出或改造；依法依规清除距离赣江岸线1公里范围内未入园的化工企业，依法关闭“小化工”企业，全面加强化工企业环境监管。</w:t>
                  </w:r>
                </w:p>
              </w:tc>
              <w:tc>
                <w:tcPr>
                  <w:tcW w:w="104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81BCEEC">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不涉及</w:t>
                  </w:r>
                </w:p>
              </w:tc>
              <w:tc>
                <w:tcPr>
                  <w:tcW w:w="35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0131904">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5E56DE9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94" w:type="pct"/>
                  <w:vMerge w:val="restart"/>
                  <w:tcBorders>
                    <w:top w:val="single" w:color="auto" w:sz="2" w:space="0"/>
                    <w:left w:val="single" w:color="auto" w:sz="2" w:space="0"/>
                    <w:bottom w:val="single" w:color="auto" w:sz="2" w:space="0"/>
                    <w:right w:val="single" w:color="auto" w:sz="2" w:space="0"/>
                    <w:tl2br w:val="nil"/>
                    <w:tr2bl w:val="nil"/>
                  </w:tcBorders>
                  <w:noWrap w:val="0"/>
                  <w:vAlign w:val="center"/>
                </w:tcPr>
                <w:p w14:paraId="153F8BF8">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污染物排放管控</w:t>
                  </w:r>
                </w:p>
              </w:tc>
              <w:tc>
                <w:tcPr>
                  <w:tcW w:w="50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B2274AE">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允许排放量要求</w:t>
                  </w:r>
                </w:p>
              </w:tc>
              <w:tc>
                <w:tcPr>
                  <w:tcW w:w="270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5C41472">
                  <w:pPr>
                    <w:pStyle w:val="56"/>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到2025年，全市氮氧化物、挥发性有机物、化学需氧量、氨氮重点工程减排量分别达到2665吨、1920吨、10088吨、653吨。强化涉铊项目环境监管，铊污染物水环境承载能力不足的地区限制引入碳酸锂等涉铊项目。</w:t>
                  </w:r>
                </w:p>
              </w:tc>
              <w:tc>
                <w:tcPr>
                  <w:tcW w:w="104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A8B3D27">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本次评价要求建设单位在雨水排放口设有氟化物、铊在线监测设备，并与市、县两级在线监控管理平台联网</w:t>
                  </w:r>
                </w:p>
              </w:tc>
              <w:tc>
                <w:tcPr>
                  <w:tcW w:w="35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CFDC016">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6C00E23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94"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09C809F2">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50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18A0A88">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现有源提标升级改造</w:t>
                  </w:r>
                </w:p>
              </w:tc>
              <w:tc>
                <w:tcPr>
                  <w:tcW w:w="270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189BA0B">
                  <w:pPr>
                    <w:pStyle w:val="56"/>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到2025年底，城市生活污水集中收集率力争达到70%以上，进水BOD浓度高于100mg/L的城市生活污水处理厂规模占比达90%以上；县城生活污水集中收集率较2021年提高10个百分点以上，各县城生活污水处理率达到95%以上，城镇生活污水处理厂进水生化需氧量（BOD）浓度力争达到100mg/L以上或较2021年底提升20mg/L以上。</w:t>
                  </w:r>
                </w:p>
              </w:tc>
              <w:tc>
                <w:tcPr>
                  <w:tcW w:w="104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CC72222">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不涉及</w:t>
                  </w:r>
                </w:p>
              </w:tc>
              <w:tc>
                <w:tcPr>
                  <w:tcW w:w="35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49103CA">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325B723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9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1FDC62D">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环境风险防控</w:t>
                  </w:r>
                </w:p>
              </w:tc>
              <w:tc>
                <w:tcPr>
                  <w:tcW w:w="50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D3E3741">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联防联控要求</w:t>
                  </w:r>
                </w:p>
              </w:tc>
              <w:tc>
                <w:tcPr>
                  <w:tcW w:w="270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64DEDEF">
                  <w:pPr>
                    <w:pStyle w:val="56"/>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建立企业、园区、地方政府之间环境风险联防联控体系和联合应急体系；增强与萍乡、新余等地的联系，完善流域合作，推动建立跨区域的袁河流域水污染防治联动协作机制。</w:t>
                  </w:r>
                </w:p>
              </w:tc>
              <w:tc>
                <w:tcPr>
                  <w:tcW w:w="104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2D78F16">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不涉及</w:t>
                  </w:r>
                </w:p>
              </w:tc>
              <w:tc>
                <w:tcPr>
                  <w:tcW w:w="35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415BB85">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218B2FC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94" w:type="pct"/>
                  <w:vMerge w:val="restart"/>
                  <w:tcBorders>
                    <w:top w:val="single" w:color="auto" w:sz="2" w:space="0"/>
                    <w:left w:val="single" w:color="auto" w:sz="2" w:space="0"/>
                    <w:bottom w:val="single" w:color="auto" w:sz="2" w:space="0"/>
                    <w:right w:val="single" w:color="auto" w:sz="2" w:space="0"/>
                    <w:tl2br w:val="nil"/>
                    <w:tr2bl w:val="nil"/>
                  </w:tcBorders>
                  <w:noWrap w:val="0"/>
                  <w:vAlign w:val="center"/>
                </w:tcPr>
                <w:p w14:paraId="30864C2B">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资源利用效率要求</w:t>
                  </w:r>
                </w:p>
              </w:tc>
              <w:tc>
                <w:tcPr>
                  <w:tcW w:w="50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54FFA0A">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水资源利用总量要求</w:t>
                  </w:r>
                </w:p>
              </w:tc>
              <w:tc>
                <w:tcPr>
                  <w:tcW w:w="270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6F0F17D">
                  <w:pPr>
                    <w:pStyle w:val="56"/>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到2025年全市水资源利用量控制在36.87亿立方米，万元国内生产总值用水量比2020年下降23%，万元工业增加值用水量比2020年下降16%。</w:t>
                  </w:r>
                </w:p>
              </w:tc>
              <w:tc>
                <w:tcPr>
                  <w:tcW w:w="104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15E04E5">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满足要求</w:t>
                  </w:r>
                </w:p>
              </w:tc>
              <w:tc>
                <w:tcPr>
                  <w:tcW w:w="35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665BF64">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65BE416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94"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54981F1A">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50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587A592">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地下水开采要求</w:t>
                  </w:r>
                </w:p>
              </w:tc>
              <w:tc>
                <w:tcPr>
                  <w:tcW w:w="270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655538E">
                  <w:pPr>
                    <w:pStyle w:val="56"/>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禁止在塌陷区、地质灾害危险区域开采地下水</w:t>
                  </w:r>
                </w:p>
              </w:tc>
              <w:tc>
                <w:tcPr>
                  <w:tcW w:w="104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CE9570F">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不涉及</w:t>
                  </w:r>
                </w:p>
              </w:tc>
              <w:tc>
                <w:tcPr>
                  <w:tcW w:w="35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39D3E20">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6F2B39C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94"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7322D030">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50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F76C21E">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能源利用总量及效率要求</w:t>
                  </w:r>
                </w:p>
              </w:tc>
              <w:tc>
                <w:tcPr>
                  <w:tcW w:w="270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68E5692">
                  <w:pPr>
                    <w:pStyle w:val="56"/>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到2025年，全市单位生产总值能源消耗比2020年下降15.5%，力争达到16%，能源消费总量得到合理控制。</w:t>
                  </w:r>
                </w:p>
              </w:tc>
              <w:tc>
                <w:tcPr>
                  <w:tcW w:w="104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F5FC272">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满足要求</w:t>
                  </w:r>
                </w:p>
              </w:tc>
              <w:tc>
                <w:tcPr>
                  <w:tcW w:w="35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34E64CC">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r w14:paraId="2978CF0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jc w:val="center"/>
              </w:trPr>
              <w:tc>
                <w:tcPr>
                  <w:tcW w:w="394"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2EECF25E">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50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F3CA1F9">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禁燃区要求</w:t>
                  </w:r>
                </w:p>
              </w:tc>
              <w:tc>
                <w:tcPr>
                  <w:tcW w:w="270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B74AF76">
                  <w:pPr>
                    <w:pStyle w:val="56"/>
                    <w:keepNext w:val="0"/>
                    <w:keepLines w:val="0"/>
                    <w:suppressLineNumbers w:val="0"/>
                    <w:spacing w:before="0" w:beforeLines="0" w:beforeAutospacing="0" w:after="0" w:afterLines="0" w:afterAutospacing="0"/>
                    <w:ind w:left="0" w:right="0"/>
                    <w:jc w:val="left"/>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禁止新建、扩建燃用高污染燃料的项目和设施，已建成的应逐步或依法限期改用天然气、电或者其他清洁能源。</w:t>
                  </w:r>
                </w:p>
              </w:tc>
              <w:tc>
                <w:tcPr>
                  <w:tcW w:w="104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7C7A91F">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不涉及</w:t>
                  </w:r>
                </w:p>
              </w:tc>
              <w:tc>
                <w:tcPr>
                  <w:tcW w:w="35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A675827">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相符</w:t>
                  </w:r>
                </w:p>
              </w:tc>
            </w:tr>
          </w:tbl>
          <w:p w14:paraId="0610E6D7">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default"/>
                <w:color w:val="auto"/>
                <w:lang w:val="zh-CN"/>
              </w:rPr>
            </w:pPr>
            <w:r>
              <w:rPr>
                <w:rFonts w:hint="default"/>
                <w:color w:val="auto"/>
                <w:lang w:val="zh-CN"/>
              </w:rPr>
              <w:t>与高安市环境管控单元生态环境准入清单</w:t>
            </w:r>
            <w:r>
              <w:rPr>
                <w:rFonts w:hint="eastAsia"/>
                <w:color w:val="auto"/>
                <w:lang w:val="zh-CN"/>
              </w:rPr>
              <w:t>相符性分析</w:t>
            </w:r>
          </w:p>
          <w:tbl>
            <w:tblPr>
              <w:tblStyle w:val="2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92"/>
              <w:gridCol w:w="4600"/>
              <w:gridCol w:w="2475"/>
              <w:gridCol w:w="587"/>
            </w:tblGrid>
            <w:tr w14:paraId="7C819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noWrap w:val="0"/>
                  <w:vAlign w:val="center"/>
                </w:tcPr>
                <w:p w14:paraId="536A9319">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管控单</w:t>
                  </w:r>
                </w:p>
                <w:p w14:paraId="0FCE124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元名称</w:t>
                  </w:r>
                </w:p>
              </w:tc>
              <w:tc>
                <w:tcPr>
                  <w:tcW w:w="2688" w:type="pct"/>
                  <w:noWrap w:val="0"/>
                  <w:vAlign w:val="center"/>
                </w:tcPr>
                <w:p w14:paraId="7B9A4528">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江西省宜春市高安市重点管控单元2</w:t>
                  </w:r>
                </w:p>
              </w:tc>
              <w:tc>
                <w:tcPr>
                  <w:tcW w:w="1446" w:type="pct"/>
                  <w:vMerge w:val="restart"/>
                  <w:noWrap w:val="0"/>
                  <w:vAlign w:val="center"/>
                </w:tcPr>
                <w:p w14:paraId="1433959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本项目情况</w:t>
                  </w:r>
                </w:p>
              </w:tc>
              <w:tc>
                <w:tcPr>
                  <w:tcW w:w="343" w:type="pct"/>
                  <w:vMerge w:val="restart"/>
                  <w:noWrap w:val="0"/>
                  <w:vAlign w:val="center"/>
                </w:tcPr>
                <w:p w14:paraId="086BF6A3">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相符性分析</w:t>
                  </w:r>
                </w:p>
              </w:tc>
            </w:tr>
            <w:tr w14:paraId="158E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noWrap w:val="0"/>
                  <w:vAlign w:val="center"/>
                </w:tcPr>
                <w:p w14:paraId="06F1C9DB">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管控单元编码</w:t>
                  </w:r>
                </w:p>
              </w:tc>
              <w:tc>
                <w:tcPr>
                  <w:tcW w:w="2688" w:type="pct"/>
                  <w:noWrap w:val="0"/>
                  <w:vAlign w:val="center"/>
                </w:tcPr>
                <w:p w14:paraId="55CB0139">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ZH36098320002</w:t>
                  </w:r>
                </w:p>
              </w:tc>
              <w:tc>
                <w:tcPr>
                  <w:tcW w:w="1446" w:type="pct"/>
                  <w:vMerge w:val="continue"/>
                  <w:noWrap w:val="0"/>
                  <w:vAlign w:val="center"/>
                </w:tcPr>
                <w:p w14:paraId="5AC76ED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343" w:type="pct"/>
                  <w:vMerge w:val="continue"/>
                  <w:noWrap w:val="0"/>
                  <w:vAlign w:val="center"/>
                </w:tcPr>
                <w:p w14:paraId="7FDE209D">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r>
            <w:tr w14:paraId="6BCE6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noWrap w:val="0"/>
                  <w:vAlign w:val="center"/>
                </w:tcPr>
                <w:p w14:paraId="60A5EE99">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范围</w:t>
                  </w:r>
                </w:p>
              </w:tc>
              <w:tc>
                <w:tcPr>
                  <w:tcW w:w="2688" w:type="pct"/>
                  <w:noWrap w:val="0"/>
                  <w:vAlign w:val="center"/>
                </w:tcPr>
                <w:p w14:paraId="41E9A0D2">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高安市工业园区（新世纪产业园、建筑陶瓷产业园、建材环保产业园）</w:t>
                  </w:r>
                </w:p>
              </w:tc>
              <w:tc>
                <w:tcPr>
                  <w:tcW w:w="1446" w:type="pct"/>
                  <w:noWrap w:val="0"/>
                  <w:vAlign w:val="center"/>
                </w:tcPr>
                <w:p w14:paraId="2CB49C0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建筑陶瓷产业园</w:t>
                  </w:r>
                </w:p>
              </w:tc>
              <w:tc>
                <w:tcPr>
                  <w:tcW w:w="343" w:type="pct"/>
                  <w:noWrap w:val="0"/>
                  <w:vAlign w:val="center"/>
                </w:tcPr>
                <w:p w14:paraId="2F47FF0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相符</w:t>
                  </w:r>
                </w:p>
              </w:tc>
            </w:tr>
            <w:tr w14:paraId="20DA7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noWrap w:val="0"/>
                  <w:vAlign w:val="center"/>
                </w:tcPr>
                <w:p w14:paraId="0F9C0A9B">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管控单元分类</w:t>
                  </w:r>
                </w:p>
              </w:tc>
              <w:tc>
                <w:tcPr>
                  <w:tcW w:w="2688" w:type="pct"/>
                  <w:noWrap w:val="0"/>
                  <w:vAlign w:val="center"/>
                </w:tcPr>
                <w:p w14:paraId="62E11C18">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重点管控单元</w:t>
                  </w:r>
                </w:p>
              </w:tc>
              <w:tc>
                <w:tcPr>
                  <w:tcW w:w="1446" w:type="pct"/>
                  <w:noWrap w:val="0"/>
                  <w:vAlign w:val="center"/>
                </w:tcPr>
                <w:p w14:paraId="0C3AB20B">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343" w:type="pct"/>
                  <w:noWrap w:val="0"/>
                  <w:vAlign w:val="center"/>
                </w:tcPr>
                <w:p w14:paraId="2E049155">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r>
            <w:tr w14:paraId="3E8B7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restart"/>
                  <w:noWrap w:val="0"/>
                  <w:vAlign w:val="center"/>
                </w:tcPr>
                <w:p w14:paraId="3F5548C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空间布局约束</w:t>
                  </w:r>
                </w:p>
              </w:tc>
              <w:tc>
                <w:tcPr>
                  <w:tcW w:w="2688" w:type="pct"/>
                  <w:noWrap w:val="0"/>
                  <w:vAlign w:val="center"/>
                </w:tcPr>
                <w:p w14:paraId="1F0A3D7A">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禁止新建不符合产业定位或碳排放要求的“两高”项目。</w:t>
                  </w:r>
                </w:p>
              </w:tc>
              <w:tc>
                <w:tcPr>
                  <w:tcW w:w="1446" w:type="pct"/>
                  <w:noWrap w:val="0"/>
                  <w:vAlign w:val="center"/>
                </w:tcPr>
                <w:p w14:paraId="025628A9">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该建设</w:t>
                  </w:r>
                  <w:r>
                    <w:rPr>
                      <w:rFonts w:hint="eastAsia" w:cs="Times New Roman"/>
                      <w:color w:val="auto"/>
                      <w:sz w:val="21"/>
                      <w:szCs w:val="21"/>
                      <w:lang w:val="en-US" w:eastAsia="zh-CN"/>
                    </w:rPr>
                    <w:t>项目为固体废物综合利用项目</w:t>
                  </w:r>
                  <w:r>
                    <w:rPr>
                      <w:rFonts w:hint="default" w:ascii="Times New Roman" w:hAnsi="Times New Roman" w:eastAsia="宋体" w:cs="Times New Roman"/>
                      <w:color w:val="auto"/>
                      <w:sz w:val="21"/>
                      <w:szCs w:val="21"/>
                      <w:lang w:val="en-US" w:eastAsia="zh-CN"/>
                    </w:rPr>
                    <w:t>，不属于“两高”项目。</w:t>
                  </w:r>
                </w:p>
              </w:tc>
              <w:tc>
                <w:tcPr>
                  <w:tcW w:w="502" w:type="dxa"/>
                  <w:noWrap w:val="0"/>
                  <w:vAlign w:val="center"/>
                </w:tcPr>
                <w:p w14:paraId="03887868">
                  <w:pPr>
                    <w:pStyle w:val="56"/>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7A5DA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continue"/>
                  <w:noWrap w:val="0"/>
                  <w:vAlign w:val="center"/>
                </w:tcPr>
                <w:p w14:paraId="30DB098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688" w:type="pct"/>
                  <w:noWrap w:val="0"/>
                  <w:vAlign w:val="center"/>
                </w:tcPr>
                <w:p w14:paraId="670E4502">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入园项目应符合《产业结构调整指导目录》《长江经济带发展负面清单指南（试行，2022版）的通知》（长江办〔2022〕7号）等国家和地方产业政策和园区布局规划等要求。</w:t>
                  </w:r>
                </w:p>
              </w:tc>
              <w:tc>
                <w:tcPr>
                  <w:tcW w:w="1446" w:type="pct"/>
                  <w:noWrap w:val="0"/>
                  <w:vAlign w:val="center"/>
                </w:tcPr>
                <w:p w14:paraId="63D4B46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项目符合《产业结构调整指导目录》《长江经济带发展负面清单指南（试行，2022 版）的通知》（长江办〔2022〕7号）等国家和地方产业政策和园区布局规划等要求。</w:t>
                  </w:r>
                </w:p>
              </w:tc>
              <w:tc>
                <w:tcPr>
                  <w:tcW w:w="502" w:type="dxa"/>
                  <w:noWrap w:val="0"/>
                  <w:vAlign w:val="center"/>
                </w:tcPr>
                <w:p w14:paraId="2C5B27B2">
                  <w:pPr>
                    <w:pStyle w:val="56"/>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5ED2C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continue"/>
                  <w:noWrap w:val="0"/>
                  <w:vAlign w:val="center"/>
                </w:tcPr>
                <w:p w14:paraId="01E0D03A">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688" w:type="pct"/>
                  <w:noWrap w:val="0"/>
                  <w:vAlign w:val="center"/>
                </w:tcPr>
                <w:p w14:paraId="7629A59B">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逐步迁出（调整）不符合园区规划的陶瓷、化工、皮革等污染严重产业，依法取缔超标严重且治理无望的企业。</w:t>
                  </w:r>
                </w:p>
              </w:tc>
              <w:tc>
                <w:tcPr>
                  <w:tcW w:w="1446" w:type="pct"/>
                  <w:noWrap w:val="0"/>
                  <w:vAlign w:val="center"/>
                </w:tcPr>
                <w:p w14:paraId="66B763E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该建设</w:t>
                  </w:r>
                  <w:r>
                    <w:rPr>
                      <w:rFonts w:hint="eastAsia" w:cs="Times New Roman"/>
                      <w:color w:val="auto"/>
                      <w:sz w:val="21"/>
                      <w:szCs w:val="21"/>
                      <w:lang w:val="en-US" w:eastAsia="zh-CN"/>
                    </w:rPr>
                    <w:t>项目为固体废物综合利用项目</w:t>
                  </w:r>
                  <w:r>
                    <w:rPr>
                      <w:rFonts w:hint="default" w:ascii="Times New Roman" w:hAnsi="Times New Roman" w:eastAsia="宋体" w:cs="Times New Roman"/>
                      <w:color w:val="auto"/>
                      <w:sz w:val="21"/>
                      <w:szCs w:val="21"/>
                      <w:lang w:val="en-US" w:eastAsia="zh-CN"/>
                    </w:rPr>
                    <w:t>，不涉及陶瓷、化工、皮革等污染严重产业。</w:t>
                  </w:r>
                </w:p>
              </w:tc>
              <w:tc>
                <w:tcPr>
                  <w:tcW w:w="502" w:type="dxa"/>
                  <w:noWrap w:val="0"/>
                  <w:vAlign w:val="center"/>
                </w:tcPr>
                <w:p w14:paraId="4AB29271">
                  <w:pPr>
                    <w:pStyle w:val="56"/>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4733C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continue"/>
                  <w:noWrap w:val="0"/>
                  <w:vAlign w:val="center"/>
                </w:tcPr>
                <w:p w14:paraId="66AF889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688" w:type="pct"/>
                  <w:noWrap w:val="0"/>
                  <w:vAlign w:val="center"/>
                </w:tcPr>
                <w:p w14:paraId="00AFA161">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严控碳酸锂产能，不再引进单一的锂云母生产碳酸锂项目。</w:t>
                  </w:r>
                </w:p>
              </w:tc>
              <w:tc>
                <w:tcPr>
                  <w:tcW w:w="1446" w:type="pct"/>
                  <w:noWrap w:val="0"/>
                  <w:vAlign w:val="center"/>
                </w:tcPr>
                <w:p w14:paraId="33115FF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该建设</w:t>
                  </w:r>
                  <w:r>
                    <w:rPr>
                      <w:rFonts w:hint="eastAsia" w:cs="Times New Roman"/>
                      <w:color w:val="auto"/>
                      <w:sz w:val="21"/>
                      <w:szCs w:val="21"/>
                      <w:lang w:val="en-US" w:eastAsia="zh-CN"/>
                    </w:rPr>
                    <w:t>项目为固体废物综合利用项目</w:t>
                  </w:r>
                  <w:r>
                    <w:rPr>
                      <w:rFonts w:hint="default" w:ascii="Times New Roman" w:hAnsi="Times New Roman" w:eastAsia="宋体" w:cs="Times New Roman"/>
                      <w:color w:val="auto"/>
                      <w:sz w:val="21"/>
                      <w:szCs w:val="21"/>
                      <w:lang w:val="en-US" w:eastAsia="zh-CN"/>
                    </w:rPr>
                    <w:t>，不涉及单一的锂云母生产碳酸锂项目。</w:t>
                  </w:r>
                </w:p>
              </w:tc>
              <w:tc>
                <w:tcPr>
                  <w:tcW w:w="502" w:type="dxa"/>
                  <w:noWrap w:val="0"/>
                  <w:vAlign w:val="center"/>
                </w:tcPr>
                <w:p w14:paraId="4F6091AB">
                  <w:pPr>
                    <w:pStyle w:val="56"/>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42DDE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continue"/>
                  <w:noWrap w:val="0"/>
                  <w:vAlign w:val="center"/>
                </w:tcPr>
                <w:p w14:paraId="36358AA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688" w:type="pct"/>
                  <w:noWrap w:val="0"/>
                  <w:vAlign w:val="center"/>
                </w:tcPr>
                <w:p w14:paraId="6A01B744">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新建碳酸锂项目规模不得小于5000吨/年，以锂云母、锂辉石、锂渣等为原料进行焙烧生产碳酸锂及其他中间产品等项目生产按照无机化工项目管理要求，不须进入化工园区但原则上应进入省政府认定的工业园区</w:t>
                  </w:r>
                </w:p>
              </w:tc>
              <w:tc>
                <w:tcPr>
                  <w:tcW w:w="1446" w:type="pct"/>
                  <w:noWrap w:val="0"/>
                  <w:vAlign w:val="center"/>
                </w:tcPr>
                <w:p w14:paraId="2591918C">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该建设</w:t>
                  </w:r>
                  <w:r>
                    <w:rPr>
                      <w:rFonts w:hint="eastAsia" w:cs="Times New Roman"/>
                      <w:color w:val="auto"/>
                      <w:sz w:val="21"/>
                      <w:szCs w:val="21"/>
                      <w:lang w:val="en-US" w:eastAsia="zh-CN"/>
                    </w:rPr>
                    <w:t>项目为固体废物综合利用项目</w:t>
                  </w:r>
                  <w:r>
                    <w:rPr>
                      <w:rFonts w:hint="default" w:ascii="Times New Roman" w:hAnsi="Times New Roman" w:eastAsia="宋体" w:cs="Times New Roman"/>
                      <w:color w:val="auto"/>
                      <w:sz w:val="21"/>
                      <w:szCs w:val="21"/>
                      <w:lang w:val="en-US" w:eastAsia="zh-CN"/>
                    </w:rPr>
                    <w:t>，不涉及碳酸锂项目；项目位于江西高安高新技术产业园建筑陶瓷产业园，属于省政府认定的工业园区</w:t>
                  </w:r>
                  <w:r>
                    <w:rPr>
                      <w:rFonts w:hint="eastAsia" w:cs="Times New Roman"/>
                      <w:color w:val="auto"/>
                      <w:sz w:val="21"/>
                      <w:szCs w:val="21"/>
                      <w:lang w:val="en-US" w:eastAsia="zh-CN"/>
                    </w:rPr>
                    <w:t>。</w:t>
                  </w:r>
                </w:p>
              </w:tc>
              <w:tc>
                <w:tcPr>
                  <w:tcW w:w="502" w:type="dxa"/>
                  <w:noWrap w:val="0"/>
                  <w:vAlign w:val="center"/>
                </w:tcPr>
                <w:p w14:paraId="4E34DBB1">
                  <w:pPr>
                    <w:pStyle w:val="56"/>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49A77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restart"/>
                  <w:noWrap w:val="0"/>
                  <w:vAlign w:val="center"/>
                </w:tcPr>
                <w:p w14:paraId="1C12BBDB">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zh-CN" w:eastAsia="zh-CN"/>
                    </w:rPr>
                    <w:t>污染物排放管控</w:t>
                  </w:r>
                </w:p>
              </w:tc>
              <w:tc>
                <w:tcPr>
                  <w:tcW w:w="2688" w:type="pct"/>
                  <w:noWrap w:val="0"/>
                  <w:vAlign w:val="center"/>
                </w:tcPr>
                <w:p w14:paraId="5D4009EB">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zh-CN" w:eastAsia="zh-CN"/>
                    </w:rPr>
                    <w:t>2025年，氮氧化物、挥发性有机物、化学需氧量、氨氮重点工程减排量分别达到“十四五”节能减排目标。</w:t>
                  </w:r>
                </w:p>
              </w:tc>
              <w:tc>
                <w:tcPr>
                  <w:tcW w:w="1446" w:type="pct"/>
                  <w:noWrap w:val="0"/>
                  <w:vAlign w:val="center"/>
                </w:tcPr>
                <w:p w14:paraId="05AB070A">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本项目不外排生产废水，生活污水总量已纳入污水处理厂控制指标</w:t>
                  </w:r>
                  <w:r>
                    <w:rPr>
                      <w:rFonts w:hint="eastAsia" w:cs="Times New Roman"/>
                      <w:color w:val="auto"/>
                      <w:sz w:val="21"/>
                      <w:szCs w:val="21"/>
                      <w:lang w:val="en-US" w:eastAsia="zh-CN"/>
                    </w:rPr>
                    <w:t>。</w:t>
                  </w:r>
                </w:p>
              </w:tc>
              <w:tc>
                <w:tcPr>
                  <w:tcW w:w="502" w:type="dxa"/>
                  <w:noWrap w:val="0"/>
                  <w:vAlign w:val="center"/>
                </w:tcPr>
                <w:p w14:paraId="6441D82F">
                  <w:pPr>
                    <w:pStyle w:val="56"/>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2B077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continue"/>
                  <w:noWrap w:val="0"/>
                  <w:vAlign w:val="center"/>
                </w:tcPr>
                <w:p w14:paraId="2ABAB96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p>
              </w:tc>
              <w:tc>
                <w:tcPr>
                  <w:tcW w:w="2688" w:type="pct"/>
                  <w:noWrap w:val="0"/>
                  <w:vAlign w:val="center"/>
                </w:tcPr>
                <w:p w14:paraId="61B3B909">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r>
                    <w:rPr>
                      <w:rFonts w:hint="default" w:ascii="Times New Roman" w:hAnsi="Times New Roman" w:eastAsia="宋体" w:cs="Times New Roman"/>
                      <w:color w:val="auto"/>
                      <w:sz w:val="21"/>
                      <w:szCs w:val="21"/>
                      <w:lang w:val="zh-CN" w:eastAsia="zh-CN"/>
                    </w:rPr>
                    <w:t>鼓励全市陶瓷行业减量替代，替代比例应不低于1.1</w:t>
                  </w:r>
                  <w:r>
                    <w:rPr>
                      <w:rFonts w:hint="eastAsia" w:ascii="Times New Roman" w:hAnsi="Times New Roman" w:eastAsia="宋体" w:cs="Times New Roman"/>
                      <w:color w:val="auto"/>
                      <w:sz w:val="21"/>
                      <w:szCs w:val="21"/>
                      <w:lang w:val="zh-CN" w:eastAsia="zh-CN"/>
                    </w:rPr>
                    <w:t>:</w:t>
                  </w:r>
                  <w:r>
                    <w:rPr>
                      <w:rFonts w:hint="default" w:ascii="Times New Roman" w:hAnsi="Times New Roman" w:eastAsia="宋体" w:cs="Times New Roman"/>
                      <w:color w:val="auto"/>
                      <w:sz w:val="21"/>
                      <w:szCs w:val="21"/>
                      <w:lang w:val="zh-CN" w:eastAsia="zh-CN"/>
                    </w:rPr>
                    <w:t>1.</w:t>
                  </w:r>
                </w:p>
              </w:tc>
              <w:tc>
                <w:tcPr>
                  <w:tcW w:w="1446" w:type="pct"/>
                  <w:noWrap w:val="0"/>
                  <w:vAlign w:val="center"/>
                </w:tcPr>
                <w:p w14:paraId="42E4BBBB">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建设</w:t>
                  </w:r>
                  <w:r>
                    <w:rPr>
                      <w:rFonts w:hint="eastAsia" w:cs="Times New Roman"/>
                      <w:color w:val="auto"/>
                      <w:sz w:val="21"/>
                      <w:szCs w:val="21"/>
                      <w:lang w:val="en-US" w:eastAsia="zh-CN"/>
                    </w:rPr>
                    <w:t>项目为固体废物综合利用项目</w:t>
                  </w:r>
                  <w:r>
                    <w:rPr>
                      <w:rFonts w:hint="default" w:ascii="Times New Roman" w:hAnsi="Times New Roman" w:eastAsia="宋体" w:cs="Times New Roman"/>
                      <w:color w:val="auto"/>
                      <w:sz w:val="21"/>
                      <w:szCs w:val="21"/>
                      <w:lang w:val="en-US" w:eastAsia="zh-CN"/>
                    </w:rPr>
                    <w:t>，不涉及</w:t>
                  </w:r>
                </w:p>
              </w:tc>
              <w:tc>
                <w:tcPr>
                  <w:tcW w:w="502" w:type="dxa"/>
                  <w:noWrap w:val="0"/>
                  <w:vAlign w:val="center"/>
                </w:tcPr>
                <w:p w14:paraId="00C47518">
                  <w:pPr>
                    <w:pStyle w:val="56"/>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071DF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continue"/>
                  <w:noWrap w:val="0"/>
                  <w:vAlign w:val="center"/>
                </w:tcPr>
                <w:p w14:paraId="736FBE5E">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p>
              </w:tc>
              <w:tc>
                <w:tcPr>
                  <w:tcW w:w="2688" w:type="pct"/>
                  <w:noWrap w:val="0"/>
                  <w:vAlign w:val="center"/>
                </w:tcPr>
                <w:p w14:paraId="4EF63CA1">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r>
                    <w:rPr>
                      <w:rFonts w:hint="default" w:ascii="Times New Roman" w:hAnsi="Times New Roman" w:eastAsia="宋体" w:cs="Times New Roman"/>
                      <w:color w:val="auto"/>
                      <w:sz w:val="21"/>
                      <w:szCs w:val="21"/>
                      <w:lang w:val="zh-CN" w:eastAsia="zh-CN"/>
                    </w:rPr>
                    <w:t>污染物排放应达到相应排放标准。</w:t>
                  </w:r>
                </w:p>
              </w:tc>
              <w:tc>
                <w:tcPr>
                  <w:tcW w:w="1446" w:type="pct"/>
                  <w:noWrap w:val="0"/>
                  <w:vAlign w:val="center"/>
                </w:tcPr>
                <w:p w14:paraId="42957868">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本项目污染物排放可以达到相应排放标准。</w:t>
                  </w:r>
                </w:p>
              </w:tc>
              <w:tc>
                <w:tcPr>
                  <w:tcW w:w="502" w:type="dxa"/>
                  <w:noWrap w:val="0"/>
                  <w:vAlign w:val="center"/>
                </w:tcPr>
                <w:p w14:paraId="214092BF">
                  <w:pPr>
                    <w:pStyle w:val="56"/>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67E64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continue"/>
                  <w:noWrap w:val="0"/>
                  <w:vAlign w:val="center"/>
                </w:tcPr>
                <w:p w14:paraId="1FEE682A">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p>
              </w:tc>
              <w:tc>
                <w:tcPr>
                  <w:tcW w:w="2688" w:type="pct"/>
                  <w:noWrap w:val="0"/>
                  <w:vAlign w:val="center"/>
                </w:tcPr>
                <w:p w14:paraId="38D721C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r>
                    <w:rPr>
                      <w:rFonts w:hint="default" w:ascii="Times New Roman" w:hAnsi="Times New Roman" w:eastAsia="宋体" w:cs="Times New Roman"/>
                      <w:color w:val="auto"/>
                      <w:sz w:val="21"/>
                      <w:szCs w:val="21"/>
                      <w:lang w:val="zh-CN" w:eastAsia="zh-CN"/>
                    </w:rPr>
                    <w:t>污染物排放绩效水平应达到良好水平。</w:t>
                  </w:r>
                </w:p>
              </w:tc>
              <w:tc>
                <w:tcPr>
                  <w:tcW w:w="1446" w:type="pct"/>
                  <w:noWrap w:val="0"/>
                  <w:vAlign w:val="center"/>
                </w:tcPr>
                <w:p w14:paraId="7DCFBEE4">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本项目行业污染物排放绩效</w:t>
                  </w:r>
                  <w:r>
                    <w:rPr>
                      <w:rFonts w:hint="eastAsia" w:ascii="Times New Roman" w:hAnsi="Times New Roman" w:eastAsia="宋体" w:cs="Times New Roman"/>
                      <w:color w:val="auto"/>
                      <w:sz w:val="21"/>
                      <w:szCs w:val="21"/>
                      <w:lang w:val="en-US" w:eastAsia="zh-CN"/>
                    </w:rPr>
                    <w:t>数值</w:t>
                  </w:r>
                  <w:r>
                    <w:rPr>
                      <w:rFonts w:hint="default" w:ascii="Times New Roman" w:hAnsi="Times New Roman" w:eastAsia="宋体" w:cs="Times New Roman"/>
                      <w:color w:val="auto"/>
                      <w:sz w:val="21"/>
                      <w:szCs w:val="21"/>
                      <w:lang w:val="en-US" w:eastAsia="zh-CN"/>
                    </w:rPr>
                    <w:t>达到良好水平。</w:t>
                  </w:r>
                </w:p>
              </w:tc>
              <w:tc>
                <w:tcPr>
                  <w:tcW w:w="502" w:type="dxa"/>
                  <w:noWrap w:val="0"/>
                  <w:vAlign w:val="center"/>
                </w:tcPr>
                <w:p w14:paraId="3DBF2C85">
                  <w:pPr>
                    <w:pStyle w:val="56"/>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6675C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restart"/>
                  <w:noWrap w:val="0"/>
                  <w:vAlign w:val="center"/>
                </w:tcPr>
                <w:p w14:paraId="7E858F92">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r>
                    <w:rPr>
                      <w:rFonts w:hint="default" w:ascii="Times New Roman" w:hAnsi="Times New Roman" w:eastAsia="宋体" w:cs="Times New Roman"/>
                      <w:color w:val="auto"/>
                      <w:sz w:val="21"/>
                      <w:szCs w:val="21"/>
                      <w:lang w:val="zh-CN" w:eastAsia="zh-CN"/>
                    </w:rPr>
                    <w:t>环境风险防控</w:t>
                  </w:r>
                </w:p>
              </w:tc>
              <w:tc>
                <w:tcPr>
                  <w:tcW w:w="2688" w:type="pct"/>
                  <w:noWrap w:val="0"/>
                  <w:vAlign w:val="center"/>
                </w:tcPr>
                <w:p w14:paraId="785C22B6">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r>
                    <w:rPr>
                      <w:rFonts w:hint="default" w:ascii="Times New Roman" w:hAnsi="Times New Roman" w:eastAsia="宋体" w:cs="Times New Roman"/>
                      <w:color w:val="auto"/>
                      <w:sz w:val="21"/>
                      <w:szCs w:val="21"/>
                      <w:lang w:val="zh-CN" w:eastAsia="zh-CN"/>
                    </w:rPr>
                    <w:t>住宅、学校、养老机构应在毗邻地块土壤污染风险管控和修复完成后再投入使用。</w:t>
                  </w:r>
                </w:p>
              </w:tc>
              <w:tc>
                <w:tcPr>
                  <w:tcW w:w="1446" w:type="pct"/>
                  <w:noWrap w:val="0"/>
                  <w:vAlign w:val="center"/>
                </w:tcPr>
                <w:p w14:paraId="51D6A15E">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不涉及</w:t>
                  </w:r>
                  <w:r>
                    <w:rPr>
                      <w:rFonts w:hint="eastAsia" w:cs="Times New Roman"/>
                      <w:color w:val="auto"/>
                      <w:sz w:val="21"/>
                      <w:szCs w:val="21"/>
                      <w:lang w:val="en-US" w:eastAsia="zh-CN"/>
                    </w:rPr>
                    <w:t>。</w:t>
                  </w:r>
                </w:p>
              </w:tc>
              <w:tc>
                <w:tcPr>
                  <w:tcW w:w="502" w:type="dxa"/>
                  <w:noWrap w:val="0"/>
                  <w:vAlign w:val="center"/>
                </w:tcPr>
                <w:p w14:paraId="326679BB">
                  <w:pPr>
                    <w:pStyle w:val="56"/>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3F9C7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continue"/>
                  <w:noWrap w:val="0"/>
                  <w:vAlign w:val="center"/>
                </w:tcPr>
                <w:p w14:paraId="296B285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p>
              </w:tc>
              <w:tc>
                <w:tcPr>
                  <w:tcW w:w="2688" w:type="pct"/>
                  <w:noWrap w:val="0"/>
                  <w:vAlign w:val="center"/>
                </w:tcPr>
                <w:p w14:paraId="0644EEDC">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r>
                    <w:rPr>
                      <w:rFonts w:hint="default" w:ascii="Times New Roman" w:hAnsi="Times New Roman" w:eastAsia="宋体" w:cs="Times New Roman"/>
                      <w:color w:val="auto"/>
                      <w:sz w:val="21"/>
                      <w:szCs w:val="21"/>
                      <w:lang w:val="zh-CN" w:eastAsia="zh-CN"/>
                    </w:rPr>
                    <w:t>紧邻居住、科教、医院等环境敏感点的工业用地，禁止新建环境风险等级高的建设项目。</w:t>
                  </w:r>
                </w:p>
              </w:tc>
              <w:tc>
                <w:tcPr>
                  <w:tcW w:w="1446" w:type="pct"/>
                  <w:noWrap w:val="0"/>
                  <w:vAlign w:val="center"/>
                </w:tcPr>
                <w:p w14:paraId="43C331BC">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本项目不属于紧邻居住、科教、医院等环境敏感点的工业用地。</w:t>
                  </w:r>
                </w:p>
              </w:tc>
              <w:tc>
                <w:tcPr>
                  <w:tcW w:w="502" w:type="dxa"/>
                  <w:noWrap w:val="0"/>
                  <w:vAlign w:val="center"/>
                </w:tcPr>
                <w:p w14:paraId="5DFF9440">
                  <w:pPr>
                    <w:pStyle w:val="56"/>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2A04B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continue"/>
                  <w:noWrap w:val="0"/>
                  <w:vAlign w:val="center"/>
                </w:tcPr>
                <w:p w14:paraId="3448CD81">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p>
              </w:tc>
              <w:tc>
                <w:tcPr>
                  <w:tcW w:w="2688" w:type="pct"/>
                  <w:noWrap w:val="0"/>
                  <w:vAlign w:val="center"/>
                </w:tcPr>
                <w:p w14:paraId="5C6F7AF9">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r>
                    <w:rPr>
                      <w:rFonts w:hint="default" w:ascii="Times New Roman" w:hAnsi="Times New Roman" w:eastAsia="宋体" w:cs="Times New Roman"/>
                      <w:color w:val="auto"/>
                      <w:sz w:val="21"/>
                      <w:szCs w:val="21"/>
                      <w:lang w:val="zh-CN" w:eastAsia="zh-CN"/>
                    </w:rPr>
                    <w:t>建立环境风险防范和应急救援体系。</w:t>
                  </w:r>
                </w:p>
              </w:tc>
              <w:tc>
                <w:tcPr>
                  <w:tcW w:w="1446" w:type="pct"/>
                  <w:noWrap w:val="0"/>
                  <w:vAlign w:val="center"/>
                </w:tcPr>
                <w:p w14:paraId="4E4C25A9">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企业将按要求建立环境风险防范和编制相应应急预案。</w:t>
                  </w:r>
                </w:p>
              </w:tc>
              <w:tc>
                <w:tcPr>
                  <w:tcW w:w="502" w:type="dxa"/>
                  <w:noWrap w:val="0"/>
                  <w:vAlign w:val="center"/>
                </w:tcPr>
                <w:p w14:paraId="111B18D7">
                  <w:pPr>
                    <w:pStyle w:val="56"/>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0BC4D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continue"/>
                  <w:noWrap w:val="0"/>
                  <w:vAlign w:val="center"/>
                </w:tcPr>
                <w:p w14:paraId="72FF5DEB">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p>
              </w:tc>
              <w:tc>
                <w:tcPr>
                  <w:tcW w:w="2688" w:type="pct"/>
                  <w:noWrap w:val="0"/>
                  <w:vAlign w:val="center"/>
                </w:tcPr>
                <w:p w14:paraId="5C917A5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r>
                    <w:rPr>
                      <w:rFonts w:hint="default" w:ascii="Times New Roman" w:hAnsi="Times New Roman" w:eastAsia="宋体" w:cs="Times New Roman"/>
                      <w:color w:val="auto"/>
                      <w:sz w:val="21"/>
                      <w:szCs w:val="21"/>
                      <w:lang w:val="zh-CN" w:eastAsia="zh-CN"/>
                    </w:rPr>
                    <w:t>落实工业企业环境风险防范主体责任，以涉危险废物、涉重金属排放企业为重点，合理布设生产设施，强化事故排水收集截留设施、输送设施建设，合理设置消防处置用事故水池和初期雨水收集池。</w:t>
                  </w:r>
                </w:p>
              </w:tc>
              <w:tc>
                <w:tcPr>
                  <w:tcW w:w="1446" w:type="pct"/>
                  <w:noWrap w:val="0"/>
                  <w:vAlign w:val="center"/>
                </w:tcPr>
                <w:p w14:paraId="300C9A59">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本项目不涉及危险废物和涉重金属排放</w:t>
                  </w:r>
                  <w:r>
                    <w:rPr>
                      <w:rFonts w:hint="eastAsia" w:cs="Times New Roman"/>
                      <w:color w:val="auto"/>
                      <w:sz w:val="21"/>
                      <w:szCs w:val="21"/>
                      <w:lang w:val="en-US" w:eastAsia="zh-CN"/>
                    </w:rPr>
                    <w:t>。</w:t>
                  </w:r>
                </w:p>
              </w:tc>
              <w:tc>
                <w:tcPr>
                  <w:tcW w:w="502" w:type="dxa"/>
                  <w:noWrap w:val="0"/>
                  <w:vAlign w:val="center"/>
                </w:tcPr>
                <w:p w14:paraId="20D2214E">
                  <w:pPr>
                    <w:pStyle w:val="56"/>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04B51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continue"/>
                  <w:noWrap w:val="0"/>
                  <w:vAlign w:val="center"/>
                </w:tcPr>
                <w:p w14:paraId="397E05A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p>
              </w:tc>
              <w:tc>
                <w:tcPr>
                  <w:tcW w:w="2688" w:type="pct"/>
                  <w:noWrap w:val="0"/>
                  <w:vAlign w:val="center"/>
                </w:tcPr>
                <w:p w14:paraId="62D1748D">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r>
                    <w:rPr>
                      <w:rFonts w:hint="default" w:ascii="Times New Roman" w:hAnsi="Times New Roman" w:eastAsia="宋体" w:cs="Times New Roman"/>
                      <w:color w:val="auto"/>
                      <w:sz w:val="21"/>
                      <w:szCs w:val="21"/>
                      <w:lang w:val="zh-CN" w:eastAsia="zh-CN"/>
                    </w:rPr>
                    <w:t>废水、废气排放的涉铊企业要设置除铊治理设施，需相应达到排放标准要求，对于生产废水零排放的项目，企业废水总排口中铊不得检出。</w:t>
                  </w:r>
                </w:p>
              </w:tc>
              <w:tc>
                <w:tcPr>
                  <w:tcW w:w="1446" w:type="pct"/>
                  <w:noWrap w:val="0"/>
                  <w:vAlign w:val="center"/>
                </w:tcPr>
                <w:p w14:paraId="60C0F668">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本次评价要求建设单位在雨水排放口设有氟化物、铊在线监测设备，并与市、县两级在线监控管理平台联网</w:t>
                  </w:r>
                  <w:r>
                    <w:rPr>
                      <w:rFonts w:hint="eastAsia" w:cs="Times New Roman"/>
                      <w:color w:val="auto"/>
                      <w:sz w:val="21"/>
                      <w:szCs w:val="21"/>
                      <w:lang w:val="en-US" w:eastAsia="zh-CN"/>
                    </w:rPr>
                    <w:t>。</w:t>
                  </w:r>
                </w:p>
              </w:tc>
              <w:tc>
                <w:tcPr>
                  <w:tcW w:w="502" w:type="dxa"/>
                  <w:noWrap w:val="0"/>
                  <w:vAlign w:val="center"/>
                </w:tcPr>
                <w:p w14:paraId="0218DA28">
                  <w:pPr>
                    <w:pStyle w:val="56"/>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70818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continue"/>
                  <w:noWrap w:val="0"/>
                  <w:vAlign w:val="center"/>
                </w:tcPr>
                <w:p w14:paraId="64816114">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p>
              </w:tc>
              <w:tc>
                <w:tcPr>
                  <w:tcW w:w="2688" w:type="pct"/>
                  <w:noWrap w:val="0"/>
                  <w:vAlign w:val="center"/>
                </w:tcPr>
                <w:p w14:paraId="03E1D8D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r>
                    <w:rPr>
                      <w:rFonts w:hint="default" w:ascii="Times New Roman" w:hAnsi="Times New Roman" w:eastAsia="宋体" w:cs="Times New Roman"/>
                      <w:color w:val="auto"/>
                      <w:sz w:val="21"/>
                      <w:szCs w:val="21"/>
                      <w:lang w:val="zh-CN" w:eastAsia="zh-CN"/>
                    </w:rPr>
                    <w:t>碳酸锂及中间产品生产不得以危险废物、五类重金属、高氟等工业固废作为原料，严禁非法随意添加环评批复外的原辅材料。</w:t>
                  </w:r>
                </w:p>
              </w:tc>
              <w:tc>
                <w:tcPr>
                  <w:tcW w:w="1446" w:type="pct"/>
                  <w:noWrap w:val="0"/>
                  <w:vAlign w:val="center"/>
                </w:tcPr>
                <w:p w14:paraId="5031CE1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不涉及</w:t>
                  </w:r>
                  <w:r>
                    <w:rPr>
                      <w:rFonts w:hint="eastAsia" w:cs="Times New Roman"/>
                      <w:color w:val="auto"/>
                      <w:sz w:val="21"/>
                      <w:szCs w:val="21"/>
                      <w:lang w:val="en-US" w:eastAsia="zh-CN"/>
                    </w:rPr>
                    <w:t>。</w:t>
                  </w:r>
                </w:p>
              </w:tc>
              <w:tc>
                <w:tcPr>
                  <w:tcW w:w="502" w:type="dxa"/>
                  <w:noWrap w:val="0"/>
                  <w:vAlign w:val="center"/>
                </w:tcPr>
                <w:p w14:paraId="64180ECB">
                  <w:pPr>
                    <w:pStyle w:val="56"/>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21A84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restart"/>
                  <w:noWrap w:val="0"/>
                  <w:vAlign w:val="center"/>
                </w:tcPr>
                <w:p w14:paraId="57DA8148">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r>
                    <w:rPr>
                      <w:rFonts w:hint="default" w:ascii="Times New Roman" w:hAnsi="Times New Roman" w:eastAsia="宋体" w:cs="Times New Roman"/>
                      <w:color w:val="auto"/>
                      <w:sz w:val="21"/>
                      <w:szCs w:val="21"/>
                      <w:lang w:val="zh-CN" w:eastAsia="zh-CN"/>
                    </w:rPr>
                    <w:t>资源利用效率要求</w:t>
                  </w:r>
                </w:p>
              </w:tc>
              <w:tc>
                <w:tcPr>
                  <w:tcW w:w="2688" w:type="pct"/>
                  <w:noWrap w:val="0"/>
                  <w:vAlign w:val="center"/>
                </w:tcPr>
                <w:p w14:paraId="4C3F314B">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r>
                    <w:rPr>
                      <w:rFonts w:hint="default" w:ascii="Times New Roman" w:hAnsi="Times New Roman" w:eastAsia="宋体" w:cs="Times New Roman"/>
                      <w:color w:val="auto"/>
                      <w:sz w:val="21"/>
                      <w:szCs w:val="21"/>
                      <w:lang w:val="zh-CN" w:eastAsia="zh-CN"/>
                    </w:rPr>
                    <w:t>到2025年，规模以上工业用水重复利用率稳定在93.3%以上，力争达到94%。</w:t>
                  </w:r>
                </w:p>
              </w:tc>
              <w:tc>
                <w:tcPr>
                  <w:tcW w:w="1446" w:type="pct"/>
                  <w:noWrap w:val="0"/>
                  <w:vAlign w:val="center"/>
                </w:tcPr>
                <w:p w14:paraId="67C0E8CC">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本项目不</w:t>
                  </w:r>
                  <w:r>
                    <w:rPr>
                      <w:rFonts w:hint="eastAsia" w:ascii="Times New Roman" w:hAnsi="Times New Roman" w:eastAsia="宋体" w:cs="Times New Roman"/>
                      <w:color w:val="auto"/>
                      <w:sz w:val="21"/>
                      <w:szCs w:val="21"/>
                      <w:lang w:val="en-US" w:eastAsia="zh-CN"/>
                    </w:rPr>
                    <w:t>涉及</w:t>
                  </w:r>
                  <w:r>
                    <w:rPr>
                      <w:rFonts w:hint="default" w:ascii="Times New Roman" w:hAnsi="Times New Roman" w:eastAsia="宋体" w:cs="Times New Roman"/>
                      <w:color w:val="auto"/>
                      <w:sz w:val="21"/>
                      <w:szCs w:val="21"/>
                      <w:lang w:val="en-US" w:eastAsia="zh-CN"/>
                    </w:rPr>
                    <w:t>生产废水的排放。</w:t>
                  </w:r>
                </w:p>
              </w:tc>
              <w:tc>
                <w:tcPr>
                  <w:tcW w:w="502" w:type="dxa"/>
                  <w:noWrap w:val="0"/>
                  <w:vAlign w:val="center"/>
                </w:tcPr>
                <w:p w14:paraId="3B319B3F">
                  <w:pPr>
                    <w:pStyle w:val="56"/>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0E1D3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continue"/>
                  <w:noWrap w:val="0"/>
                  <w:vAlign w:val="center"/>
                </w:tcPr>
                <w:p w14:paraId="2090FD5D">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p>
              </w:tc>
              <w:tc>
                <w:tcPr>
                  <w:tcW w:w="2688" w:type="pct"/>
                  <w:noWrap w:val="0"/>
                  <w:vAlign w:val="center"/>
                </w:tcPr>
                <w:p w14:paraId="43EB1E6B">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r>
                    <w:rPr>
                      <w:rFonts w:hint="default" w:ascii="Times New Roman" w:hAnsi="Times New Roman" w:eastAsia="宋体" w:cs="Times New Roman"/>
                      <w:color w:val="auto"/>
                      <w:sz w:val="21"/>
                      <w:szCs w:val="21"/>
                      <w:lang w:val="zh-CN" w:eastAsia="zh-CN"/>
                    </w:rPr>
                    <w:t>到2025年，万元工业增加值用水量较2020年下降16%；万元国内生产总值用水量较2020年下降23%。</w:t>
                  </w:r>
                </w:p>
              </w:tc>
              <w:tc>
                <w:tcPr>
                  <w:tcW w:w="1446" w:type="pct"/>
                  <w:noWrap w:val="0"/>
                  <w:vAlign w:val="center"/>
                </w:tcPr>
                <w:p w14:paraId="609A32C6">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不涉及</w:t>
                  </w:r>
                  <w:r>
                    <w:rPr>
                      <w:rFonts w:hint="eastAsia" w:cs="Times New Roman"/>
                      <w:color w:val="auto"/>
                      <w:sz w:val="21"/>
                      <w:szCs w:val="21"/>
                      <w:lang w:val="en-US" w:eastAsia="zh-CN"/>
                    </w:rPr>
                    <w:t>。</w:t>
                  </w:r>
                </w:p>
              </w:tc>
              <w:tc>
                <w:tcPr>
                  <w:tcW w:w="502" w:type="dxa"/>
                  <w:noWrap w:val="0"/>
                  <w:vAlign w:val="center"/>
                </w:tcPr>
                <w:p w14:paraId="5F04ACD7">
                  <w:pPr>
                    <w:pStyle w:val="56"/>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0627C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continue"/>
                  <w:noWrap w:val="0"/>
                  <w:vAlign w:val="center"/>
                </w:tcPr>
                <w:p w14:paraId="406A1AEC">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p>
              </w:tc>
              <w:tc>
                <w:tcPr>
                  <w:tcW w:w="2688" w:type="pct"/>
                  <w:noWrap w:val="0"/>
                  <w:vAlign w:val="center"/>
                </w:tcPr>
                <w:p w14:paraId="677AACAE">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r>
                    <w:rPr>
                      <w:rFonts w:hint="default" w:ascii="Times New Roman" w:hAnsi="Times New Roman" w:eastAsia="宋体" w:cs="Times New Roman"/>
                      <w:color w:val="auto"/>
                      <w:sz w:val="21"/>
                      <w:szCs w:val="21"/>
                      <w:lang w:val="zh-CN" w:eastAsia="zh-CN"/>
                    </w:rPr>
                    <w:t>“十四五”能耗强度降低17.5%。</w:t>
                  </w:r>
                </w:p>
              </w:tc>
              <w:tc>
                <w:tcPr>
                  <w:tcW w:w="1446" w:type="pct"/>
                  <w:noWrap w:val="0"/>
                  <w:vAlign w:val="center"/>
                </w:tcPr>
                <w:p w14:paraId="456C2AA6">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项目选用低能耗的生产设备。</w:t>
                  </w:r>
                </w:p>
              </w:tc>
              <w:tc>
                <w:tcPr>
                  <w:tcW w:w="502" w:type="dxa"/>
                  <w:noWrap w:val="0"/>
                  <w:vAlign w:val="center"/>
                </w:tcPr>
                <w:p w14:paraId="56BA8BBC">
                  <w:pPr>
                    <w:pStyle w:val="56"/>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78DBD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21" w:type="pct"/>
                  <w:vMerge w:val="continue"/>
                  <w:noWrap w:val="0"/>
                  <w:vAlign w:val="center"/>
                </w:tcPr>
                <w:p w14:paraId="7C9C8B7C">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p>
              </w:tc>
              <w:tc>
                <w:tcPr>
                  <w:tcW w:w="2688" w:type="pct"/>
                  <w:noWrap w:val="0"/>
                  <w:vAlign w:val="center"/>
                </w:tcPr>
                <w:p w14:paraId="056EDF7A">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zh-CN" w:eastAsia="zh-CN"/>
                    </w:rPr>
                  </w:pPr>
                  <w:r>
                    <w:rPr>
                      <w:rFonts w:hint="default" w:ascii="Times New Roman" w:hAnsi="Times New Roman" w:eastAsia="宋体" w:cs="Times New Roman"/>
                      <w:color w:val="auto"/>
                      <w:sz w:val="21"/>
                      <w:szCs w:val="21"/>
                      <w:lang w:val="zh-CN" w:eastAsia="zh-CN"/>
                    </w:rPr>
                    <w:t>禁止新增工业用水取用地下水，经依法批准开采的矿泉水、地热水除外。</w:t>
                  </w:r>
                </w:p>
              </w:tc>
              <w:tc>
                <w:tcPr>
                  <w:tcW w:w="1446" w:type="pct"/>
                  <w:noWrap w:val="0"/>
                  <w:vAlign w:val="center"/>
                </w:tcPr>
                <w:p w14:paraId="5142DF8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不涉及</w:t>
                  </w:r>
                  <w:r>
                    <w:rPr>
                      <w:rFonts w:hint="eastAsia" w:cs="Times New Roman"/>
                      <w:color w:val="auto"/>
                      <w:sz w:val="21"/>
                      <w:szCs w:val="21"/>
                      <w:lang w:val="en-US" w:eastAsia="zh-CN"/>
                    </w:rPr>
                    <w:t>。</w:t>
                  </w:r>
                </w:p>
              </w:tc>
              <w:tc>
                <w:tcPr>
                  <w:tcW w:w="502" w:type="dxa"/>
                  <w:noWrap w:val="0"/>
                  <w:vAlign w:val="center"/>
                </w:tcPr>
                <w:p w14:paraId="3D9F1B18">
                  <w:pPr>
                    <w:pStyle w:val="56"/>
                    <w:keepNext w:val="0"/>
                    <w:keepLines w:val="0"/>
                    <w:suppressLineNumbers w:val="0"/>
                    <w:spacing w:before="0" w:beforeLines="0" w:beforeAutospacing="0" w:after="0" w:afterLines="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bl>
          <w:p w14:paraId="65D65CD3">
            <w:pPr>
              <w:pStyle w:val="74"/>
              <w:keepNext w:val="0"/>
              <w:keepLines w:val="0"/>
              <w:suppressLineNumbers w:val="0"/>
              <w:spacing w:before="0" w:beforeAutospacing="0" w:after="0" w:afterAutospacing="0"/>
              <w:ind w:left="0" w:right="0" w:firstLine="480"/>
              <w:rPr>
                <w:rFonts w:hint="default" w:ascii="Times New Roman" w:hAnsi="Times New Roman" w:cs="Times New Roman"/>
                <w:color w:val="auto"/>
              </w:rPr>
            </w:pPr>
            <w:r>
              <w:rPr>
                <w:rFonts w:hint="default" w:ascii="Times New Roman" w:hAnsi="Times New Roman" w:cs="Times New Roman"/>
                <w:color w:val="auto"/>
              </w:rPr>
              <w:t>综上，本项目符合</w:t>
            </w:r>
            <w:r>
              <w:rPr>
                <w:rFonts w:hint="default" w:ascii="Times New Roman" w:hAnsi="Times New Roman" w:cs="Times New Roman"/>
                <w:color w:val="auto"/>
                <w:lang w:eastAsia="zh-CN"/>
              </w:rPr>
              <w:t>宜春市和高安市</w:t>
            </w:r>
            <w:r>
              <w:rPr>
                <w:rFonts w:hint="default" w:ascii="Times New Roman" w:hAnsi="Times New Roman" w:cs="Times New Roman"/>
                <w:color w:val="auto"/>
              </w:rPr>
              <w:t>环境准入总体要求。</w:t>
            </w:r>
          </w:p>
          <w:p w14:paraId="3DB46A1D">
            <w:pPr>
              <w:keepNext w:val="0"/>
              <w:keepLines w:val="0"/>
              <w:numPr>
                <w:ilvl w:val="0"/>
                <w:numId w:val="7"/>
              </w:numPr>
              <w:suppressLineNumbers w:val="0"/>
              <w:bidi w:val="0"/>
              <w:spacing w:before="0" w:beforeAutospacing="0" w:after="0" w:afterAutospacing="0"/>
              <w:ind w:left="0" w:leftChars="0" w:right="0" w:firstLine="480" w:firstLineChars="0"/>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本项目位于江西高安高新技术产业园建筑陶瓷产业园内，属于重点管控单元，与江西省生态环境总体准入清单（2023版）中重点管控单元</w:t>
            </w:r>
            <w:r>
              <w:rPr>
                <w:rFonts w:hint="eastAsia" w:ascii="Times New Roman" w:hAnsi="Times New Roman" w:eastAsia="宋体" w:cs="Times New Roman"/>
                <w:color w:val="auto"/>
                <w:kern w:val="2"/>
                <w:sz w:val="24"/>
                <w:szCs w:val="24"/>
                <w:lang w:val="en-US" w:eastAsia="zh-CN" w:bidi="ar-SA"/>
              </w:rPr>
              <w:t>相符性分析</w:t>
            </w:r>
            <w:r>
              <w:rPr>
                <w:rFonts w:hint="default" w:ascii="Times New Roman" w:hAnsi="Times New Roman" w:eastAsia="宋体" w:cs="Times New Roman"/>
                <w:color w:val="auto"/>
                <w:kern w:val="2"/>
                <w:sz w:val="24"/>
                <w:szCs w:val="24"/>
                <w:lang w:val="en-US" w:eastAsia="zh-CN" w:bidi="ar-SA"/>
              </w:rPr>
              <w:t>见</w:t>
            </w:r>
            <w:r>
              <w:rPr>
                <w:rFonts w:hint="eastAsia" w:ascii="Times New Roman" w:hAnsi="Times New Roman" w:eastAsia="宋体" w:cs="Times New Roman"/>
                <w:color w:val="auto"/>
                <w:kern w:val="2"/>
                <w:sz w:val="24"/>
                <w:szCs w:val="24"/>
                <w:lang w:val="en-US" w:eastAsia="zh-CN" w:bidi="ar-SA"/>
              </w:rPr>
              <w:t>表1-6</w:t>
            </w:r>
            <w:r>
              <w:rPr>
                <w:rFonts w:hint="default" w:ascii="Times New Roman" w:hAnsi="Times New Roman" w:eastAsia="宋体" w:cs="Times New Roman"/>
                <w:color w:val="auto"/>
                <w:kern w:val="2"/>
                <w:sz w:val="24"/>
                <w:szCs w:val="24"/>
                <w:lang w:val="en-US" w:eastAsia="zh-CN" w:bidi="ar-SA"/>
              </w:rPr>
              <w:t>。</w:t>
            </w:r>
          </w:p>
          <w:p w14:paraId="0C1E3EBD">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default"/>
                <w:color w:val="auto"/>
                <w:lang w:val="en-US" w:eastAsia="zh-CN"/>
              </w:rPr>
            </w:pPr>
            <w:r>
              <w:rPr>
                <w:rFonts w:hint="default"/>
                <w:color w:val="auto"/>
                <w:lang w:val="en-US" w:eastAsia="zh-CN"/>
              </w:rPr>
              <w:t>江西省生态环境总体准入清单（2023版）</w:t>
            </w:r>
            <w:r>
              <w:rPr>
                <w:rFonts w:hint="eastAsia"/>
                <w:color w:val="auto"/>
                <w:lang w:val="en-US" w:eastAsia="zh-CN"/>
              </w:rPr>
              <w:t>相符性分析</w:t>
            </w:r>
          </w:p>
          <w:tbl>
            <w:tblPr>
              <w:tblStyle w:val="2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2"/>
              <w:gridCol w:w="479"/>
              <w:gridCol w:w="5303"/>
              <w:gridCol w:w="1791"/>
              <w:gridCol w:w="509"/>
            </w:tblGrid>
            <w:tr w14:paraId="6C15B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noWrap w:val="0"/>
                  <w:vAlign w:val="center"/>
                </w:tcPr>
                <w:p w14:paraId="50FBC2A3">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单元类别</w:t>
                  </w:r>
                </w:p>
              </w:tc>
              <w:tc>
                <w:tcPr>
                  <w:tcW w:w="280" w:type="pct"/>
                  <w:noWrap w:val="0"/>
                  <w:vAlign w:val="center"/>
                </w:tcPr>
                <w:p w14:paraId="19E06EFE">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维度</w:t>
                  </w:r>
                </w:p>
              </w:tc>
              <w:tc>
                <w:tcPr>
                  <w:tcW w:w="3097" w:type="pct"/>
                  <w:noWrap w:val="0"/>
                  <w:vAlign w:val="center"/>
                </w:tcPr>
                <w:p w14:paraId="1494D2C2">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准入要求</w:t>
                  </w:r>
                </w:p>
              </w:tc>
              <w:tc>
                <w:tcPr>
                  <w:tcW w:w="1046" w:type="pct"/>
                  <w:noWrap w:val="0"/>
                  <w:vAlign w:val="center"/>
                </w:tcPr>
                <w:p w14:paraId="1B877BBC">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本项目符合性分析</w:t>
                  </w:r>
                </w:p>
              </w:tc>
              <w:tc>
                <w:tcPr>
                  <w:tcW w:w="297" w:type="pct"/>
                  <w:noWrap w:val="0"/>
                  <w:vAlign w:val="center"/>
                </w:tcPr>
                <w:p w14:paraId="7F7A73DE">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相符情况</w:t>
                  </w:r>
                </w:p>
              </w:tc>
            </w:tr>
            <w:tr w14:paraId="09B7A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restart"/>
                  <w:noWrap w:val="0"/>
                  <w:vAlign w:val="center"/>
                </w:tcPr>
                <w:p w14:paraId="2A51986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重点管控单元</w:t>
                  </w:r>
                </w:p>
              </w:tc>
              <w:tc>
                <w:tcPr>
                  <w:tcW w:w="280" w:type="pct"/>
                  <w:vMerge w:val="restart"/>
                  <w:noWrap w:val="0"/>
                  <w:vAlign w:val="center"/>
                </w:tcPr>
                <w:p w14:paraId="7406D4F1">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空间布局约</w:t>
                  </w:r>
                </w:p>
              </w:tc>
              <w:tc>
                <w:tcPr>
                  <w:tcW w:w="3097" w:type="pct"/>
                  <w:noWrap w:val="0"/>
                  <w:vAlign w:val="center"/>
                </w:tcPr>
                <w:p w14:paraId="51A8F8EA">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禁止新、扩建不符合国家石化、现代煤化工等产业布局规划的项目。禁止新建、扩建法律法规和相关政策明令禁止的落后产能项目。禁止开展投资建设属于淘汰类的项目及其相关活动，禁止开展投资新建、扩建属于限制类的项目及其相关活动。禁止新建、扩建不符合国家产能置换要求的钢铁、电解铝、水泥熟料、平板玻璃、船舶等严重过剩产能行业的项目。对确有必要建设的，必须严格执行产能置换实施办法，实施减量或等量置换，依法依规办理有关手续。禁止新建、扩建不符合要求的高耗能高排放项目。</w:t>
                  </w:r>
                </w:p>
              </w:tc>
              <w:tc>
                <w:tcPr>
                  <w:tcW w:w="1046" w:type="pct"/>
                  <w:noWrap w:val="0"/>
                  <w:vAlign w:val="center"/>
                </w:tcPr>
                <w:p w14:paraId="52623CBB">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本项目不在《产业结构调整指导目录（2024年本）》中国家限制类、淘汰类之列，项目</w:t>
                  </w:r>
                  <w:r>
                    <w:rPr>
                      <w:rFonts w:hint="eastAsia" w:ascii="Times New Roman" w:hAnsi="Times New Roman" w:eastAsia="宋体" w:cs="Times New Roman"/>
                      <w:color w:val="auto"/>
                      <w:sz w:val="21"/>
                      <w:szCs w:val="21"/>
                      <w:lang w:val="en-US" w:eastAsia="zh-CN"/>
                    </w:rPr>
                    <w:t>属于</w:t>
                  </w:r>
                  <w:r>
                    <w:rPr>
                      <w:rFonts w:hint="default" w:ascii="Times New Roman" w:hAnsi="Times New Roman" w:eastAsia="宋体" w:cs="Times New Roman"/>
                      <w:color w:val="auto"/>
                      <w:sz w:val="21"/>
                      <w:szCs w:val="21"/>
                      <w:lang w:val="en-US" w:eastAsia="zh-CN"/>
                    </w:rPr>
                    <w:t>允许类；不属于高耗能高排放项目</w:t>
                  </w:r>
                  <w:r>
                    <w:rPr>
                      <w:rFonts w:hint="eastAsia" w:cs="Times New Roman"/>
                      <w:color w:val="auto"/>
                      <w:sz w:val="21"/>
                      <w:szCs w:val="21"/>
                      <w:lang w:val="en-US" w:eastAsia="zh-CN"/>
                    </w:rPr>
                    <w:t>。</w:t>
                  </w:r>
                </w:p>
              </w:tc>
              <w:tc>
                <w:tcPr>
                  <w:tcW w:w="297" w:type="pct"/>
                  <w:noWrap w:val="0"/>
                  <w:vAlign w:val="center"/>
                </w:tcPr>
                <w:p w14:paraId="789AAE5C">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03CF0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6" w:type="pct"/>
                  <w:vMerge w:val="continue"/>
                  <w:noWrap w:val="0"/>
                  <w:vAlign w:val="center"/>
                </w:tcPr>
                <w:p w14:paraId="4F1C9873">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80" w:type="pct"/>
                  <w:vMerge w:val="continue"/>
                  <w:noWrap w:val="0"/>
                  <w:vAlign w:val="center"/>
                </w:tcPr>
                <w:p w14:paraId="5C1A8D4E">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3097" w:type="pct"/>
                  <w:noWrap w:val="0"/>
                  <w:vAlign w:val="center"/>
                </w:tcPr>
                <w:p w14:paraId="1E7B6B78">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县级及以上城市建成区原则上不再新建35蒸吨/小时及以下燃煤锅炉。</w:t>
                  </w:r>
                </w:p>
              </w:tc>
              <w:tc>
                <w:tcPr>
                  <w:tcW w:w="1046" w:type="pct"/>
                  <w:noWrap w:val="0"/>
                  <w:vAlign w:val="center"/>
                </w:tcPr>
                <w:p w14:paraId="72ADA2D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本项目</w:t>
                  </w:r>
                  <w:r>
                    <w:rPr>
                      <w:rFonts w:hint="default" w:ascii="Times New Roman" w:hAnsi="Times New Roman" w:eastAsia="宋体" w:cs="Times New Roman"/>
                      <w:color w:val="auto"/>
                      <w:sz w:val="21"/>
                      <w:szCs w:val="21"/>
                      <w:lang w:val="en-US" w:eastAsia="zh-CN"/>
                    </w:rPr>
                    <w:t>不使用锅炉</w:t>
                  </w:r>
                </w:p>
              </w:tc>
              <w:tc>
                <w:tcPr>
                  <w:tcW w:w="297" w:type="pct"/>
                  <w:noWrap w:val="0"/>
                  <w:vAlign w:val="center"/>
                </w:tcPr>
                <w:p w14:paraId="2C336CD4">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70516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continue"/>
                  <w:noWrap w:val="0"/>
                  <w:vAlign w:val="center"/>
                </w:tcPr>
                <w:p w14:paraId="1D29B8B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80" w:type="pct"/>
                  <w:vMerge w:val="continue"/>
                  <w:noWrap w:val="0"/>
                  <w:vAlign w:val="center"/>
                </w:tcPr>
                <w:p w14:paraId="2425A923">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3097" w:type="pct"/>
                  <w:noWrap w:val="0"/>
                  <w:vAlign w:val="center"/>
                </w:tcPr>
                <w:p w14:paraId="50B4EFB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禁止在长江干支流、重要湖泊岸线1公里范围内新建、扩建化工园区和化工项目。禁止在合规园区外新建、扩建钢铁、石化、化工、焦化、建材、有色、制浆造纸等高污染项目。</w:t>
                  </w:r>
                </w:p>
              </w:tc>
              <w:tc>
                <w:tcPr>
                  <w:tcW w:w="1046" w:type="pct"/>
                  <w:noWrap w:val="0"/>
                  <w:vAlign w:val="center"/>
                </w:tcPr>
                <w:p w14:paraId="6E6BBF93">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不在长江</w:t>
                  </w:r>
                  <w:r>
                    <w:rPr>
                      <w:rFonts w:hint="eastAsia" w:cs="Times New Roman"/>
                      <w:color w:val="auto"/>
                      <w:sz w:val="21"/>
                      <w:szCs w:val="21"/>
                      <w:lang w:val="en-US" w:eastAsia="zh-CN"/>
                    </w:rPr>
                    <w:t>干</w:t>
                  </w:r>
                  <w:r>
                    <w:rPr>
                      <w:rFonts w:hint="default" w:ascii="Times New Roman" w:hAnsi="Times New Roman" w:eastAsia="宋体" w:cs="Times New Roman"/>
                      <w:color w:val="auto"/>
                      <w:sz w:val="21"/>
                      <w:szCs w:val="21"/>
                      <w:lang w:val="en-US" w:eastAsia="zh-CN"/>
                    </w:rPr>
                    <w:t>支流、重要湖泊岸线1公里范围内</w:t>
                  </w:r>
                  <w:r>
                    <w:rPr>
                      <w:rFonts w:hint="eastAsia" w:cs="Times New Roman"/>
                      <w:color w:val="auto"/>
                      <w:sz w:val="21"/>
                      <w:szCs w:val="21"/>
                      <w:lang w:val="en-US" w:eastAsia="zh-CN"/>
                    </w:rPr>
                    <w:t>。</w:t>
                  </w:r>
                </w:p>
              </w:tc>
              <w:tc>
                <w:tcPr>
                  <w:tcW w:w="297" w:type="pct"/>
                  <w:noWrap w:val="0"/>
                  <w:vAlign w:val="center"/>
                </w:tcPr>
                <w:p w14:paraId="7A367484">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3DABD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continue"/>
                  <w:noWrap w:val="0"/>
                  <w:vAlign w:val="center"/>
                </w:tcPr>
                <w:p w14:paraId="78CAEF8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80" w:type="pct"/>
                  <w:vMerge w:val="continue"/>
                  <w:noWrap w:val="0"/>
                  <w:vAlign w:val="center"/>
                </w:tcPr>
                <w:p w14:paraId="2E4EF1F5">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3097" w:type="pct"/>
                  <w:noWrap w:val="0"/>
                  <w:vAlign w:val="center"/>
                </w:tcPr>
                <w:p w14:paraId="0167B412">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禁止建设不符合国家和省级港口布局规划以及港口总体规划的码头项目。</w:t>
                  </w:r>
                </w:p>
              </w:tc>
              <w:tc>
                <w:tcPr>
                  <w:tcW w:w="1046" w:type="pct"/>
                  <w:noWrap w:val="0"/>
                  <w:vAlign w:val="center"/>
                </w:tcPr>
                <w:p w14:paraId="01316BD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不涉及</w:t>
                  </w:r>
                  <w:r>
                    <w:rPr>
                      <w:rFonts w:hint="eastAsia" w:cs="Times New Roman"/>
                      <w:color w:val="auto"/>
                      <w:sz w:val="21"/>
                      <w:szCs w:val="21"/>
                      <w:lang w:val="en-US" w:eastAsia="zh-CN"/>
                    </w:rPr>
                    <w:t>。</w:t>
                  </w:r>
                </w:p>
              </w:tc>
              <w:tc>
                <w:tcPr>
                  <w:tcW w:w="297" w:type="pct"/>
                  <w:noWrap w:val="0"/>
                  <w:vAlign w:val="center"/>
                </w:tcPr>
                <w:p w14:paraId="28C33E62">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4BE84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continue"/>
                  <w:noWrap w:val="0"/>
                  <w:vAlign w:val="center"/>
                </w:tcPr>
                <w:p w14:paraId="6A6BEBF5">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80" w:type="pct"/>
                  <w:vMerge w:val="continue"/>
                  <w:noWrap w:val="0"/>
                  <w:vAlign w:val="center"/>
                </w:tcPr>
                <w:p w14:paraId="0C758911">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3097" w:type="pct"/>
                  <w:noWrap w:val="0"/>
                  <w:vAlign w:val="center"/>
                </w:tcPr>
                <w:p w14:paraId="170B5C5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禁止在江河、湖泊、运河、渠道、水库最高水位线以下的滩地和岸坡堆放、存贮固体废弃物和其他污染物。</w:t>
                  </w:r>
                </w:p>
              </w:tc>
              <w:tc>
                <w:tcPr>
                  <w:tcW w:w="1046" w:type="pct"/>
                  <w:noWrap w:val="0"/>
                  <w:vAlign w:val="center"/>
                </w:tcPr>
                <w:p w14:paraId="36272BC6">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不涉及</w:t>
                  </w:r>
                  <w:r>
                    <w:rPr>
                      <w:rFonts w:hint="eastAsia" w:cs="Times New Roman"/>
                      <w:color w:val="auto"/>
                      <w:sz w:val="21"/>
                      <w:szCs w:val="21"/>
                      <w:lang w:val="en-US" w:eastAsia="zh-CN"/>
                    </w:rPr>
                    <w:t>。</w:t>
                  </w:r>
                </w:p>
              </w:tc>
              <w:tc>
                <w:tcPr>
                  <w:tcW w:w="297" w:type="pct"/>
                  <w:noWrap w:val="0"/>
                  <w:vAlign w:val="center"/>
                </w:tcPr>
                <w:p w14:paraId="15433494">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390C5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continue"/>
                  <w:noWrap w:val="0"/>
                  <w:vAlign w:val="center"/>
                </w:tcPr>
                <w:p w14:paraId="0190B972">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80" w:type="pct"/>
                  <w:vMerge w:val="continue"/>
                  <w:noWrap w:val="0"/>
                  <w:vAlign w:val="center"/>
                </w:tcPr>
                <w:p w14:paraId="41FCE901">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3097" w:type="pct"/>
                  <w:noWrap w:val="0"/>
                  <w:vAlign w:val="center"/>
                </w:tcPr>
                <w:p w14:paraId="5F4086E3">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城市建成区内人口密集区、环境脆弱敏感区周边的钢铁、石油、化工、有色金属、水泥、平板玻璃、建筑陶瓷等行业中的高排放、高污染项目，应当逐步进行搬迁、改造或者转型、退出。</w:t>
                  </w:r>
                </w:p>
              </w:tc>
              <w:tc>
                <w:tcPr>
                  <w:tcW w:w="1046" w:type="pct"/>
                  <w:noWrap w:val="0"/>
                  <w:vAlign w:val="center"/>
                </w:tcPr>
                <w:p w14:paraId="07150B6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不属于钢铁、石油、化工、有色金属、水泥、平板玻璃、建筑陶瓷等行业</w:t>
                  </w:r>
                  <w:r>
                    <w:rPr>
                      <w:rFonts w:hint="eastAsia" w:cs="Times New Roman"/>
                      <w:color w:val="auto"/>
                      <w:sz w:val="21"/>
                      <w:szCs w:val="21"/>
                      <w:lang w:val="en-US" w:eastAsia="zh-CN"/>
                    </w:rPr>
                    <w:t>。</w:t>
                  </w:r>
                </w:p>
              </w:tc>
              <w:tc>
                <w:tcPr>
                  <w:tcW w:w="297" w:type="pct"/>
                  <w:noWrap w:val="0"/>
                  <w:vAlign w:val="center"/>
                </w:tcPr>
                <w:p w14:paraId="6E12F0B6">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1FF1D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continue"/>
                  <w:noWrap w:val="0"/>
                  <w:vAlign w:val="center"/>
                </w:tcPr>
                <w:p w14:paraId="5867AC96">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80" w:type="pct"/>
                  <w:vMerge w:val="continue"/>
                  <w:noWrap w:val="0"/>
                  <w:vAlign w:val="center"/>
                </w:tcPr>
                <w:p w14:paraId="4A866DD3">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3097" w:type="pct"/>
                  <w:noWrap w:val="0"/>
                  <w:vAlign w:val="center"/>
                </w:tcPr>
                <w:p w14:paraId="08B131E4">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禁止在居民区和学校、医院、疗养院、养老院等单位周边新建、改扩建可能造成土壤污染的建设项目；在永久基本农田集中区域，不得新建可能造成土壤污染的项目，已经建成的，限期关闭拆除。</w:t>
                  </w:r>
                </w:p>
              </w:tc>
              <w:tc>
                <w:tcPr>
                  <w:tcW w:w="1046" w:type="pct"/>
                  <w:noWrap w:val="0"/>
                  <w:vAlign w:val="center"/>
                </w:tcPr>
                <w:p w14:paraId="7CA45BE9">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本项目位于建筑陶瓷产业园。</w:t>
                  </w:r>
                </w:p>
              </w:tc>
              <w:tc>
                <w:tcPr>
                  <w:tcW w:w="297" w:type="pct"/>
                  <w:noWrap w:val="0"/>
                  <w:vAlign w:val="center"/>
                </w:tcPr>
                <w:p w14:paraId="52874B54">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258A7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continue"/>
                  <w:noWrap w:val="0"/>
                  <w:vAlign w:val="center"/>
                </w:tcPr>
                <w:p w14:paraId="78729E4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80" w:type="pct"/>
                  <w:vMerge w:val="restart"/>
                  <w:noWrap w:val="0"/>
                  <w:vAlign w:val="center"/>
                </w:tcPr>
                <w:p w14:paraId="0F6F052C">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污染物排放管控</w:t>
                  </w:r>
                </w:p>
              </w:tc>
              <w:tc>
                <w:tcPr>
                  <w:tcW w:w="3097" w:type="pct"/>
                  <w:noWrap w:val="0"/>
                  <w:vAlign w:val="center"/>
                </w:tcPr>
                <w:p w14:paraId="2EC2D779">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城镇开发边界内划定的特别用途区原则上禁止任何新增城镇集中建设行为，实施建设用地总量控制，原则上不得新增除市政基础设施、交通物流基础设施、生态修复工程、必要的配套及游憩设施外的其他城镇建设用地。</w:t>
                  </w:r>
                </w:p>
              </w:tc>
              <w:tc>
                <w:tcPr>
                  <w:tcW w:w="1046" w:type="pct"/>
                  <w:noWrap w:val="0"/>
                  <w:vAlign w:val="center"/>
                </w:tcPr>
                <w:p w14:paraId="7BCD0CC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不涉及</w:t>
                  </w:r>
                  <w:r>
                    <w:rPr>
                      <w:rFonts w:hint="eastAsia" w:cs="Times New Roman"/>
                      <w:color w:val="auto"/>
                      <w:sz w:val="21"/>
                      <w:szCs w:val="21"/>
                      <w:lang w:val="en-US" w:eastAsia="zh-CN"/>
                    </w:rPr>
                    <w:t>。</w:t>
                  </w:r>
                </w:p>
              </w:tc>
              <w:tc>
                <w:tcPr>
                  <w:tcW w:w="297" w:type="pct"/>
                  <w:noWrap w:val="0"/>
                  <w:vAlign w:val="center"/>
                </w:tcPr>
                <w:p w14:paraId="1AF7A554">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73ECB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continue"/>
                  <w:noWrap w:val="0"/>
                  <w:vAlign w:val="center"/>
                </w:tcPr>
                <w:p w14:paraId="45F44739">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80" w:type="pct"/>
                  <w:vMerge w:val="continue"/>
                  <w:noWrap w:val="0"/>
                  <w:vAlign w:val="center"/>
                </w:tcPr>
                <w:p w14:paraId="724A301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3097" w:type="pct"/>
                  <w:noWrap w:val="0"/>
                  <w:vAlign w:val="center"/>
                </w:tcPr>
                <w:p w14:paraId="3868C213">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到2025年，全省单位生产总值能源消耗比2020年下降14%，力争达到14.5%，能源消费总量得到合理控制，氮氧化物、挥发性有机物、化学需氧量、氨氮重点工程减排量分别达到2.73万吨、1.41万吨、8.41万吨、0.55万吨。</w:t>
                  </w:r>
                </w:p>
              </w:tc>
              <w:tc>
                <w:tcPr>
                  <w:tcW w:w="1046" w:type="pct"/>
                  <w:noWrap w:val="0"/>
                  <w:vAlign w:val="center"/>
                </w:tcPr>
                <w:p w14:paraId="49A71FDE">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本项目污染</w:t>
                  </w:r>
                  <w:r>
                    <w:rPr>
                      <w:rFonts w:hint="eastAsia" w:cs="Times New Roman"/>
                      <w:color w:val="auto"/>
                      <w:sz w:val="21"/>
                      <w:szCs w:val="21"/>
                      <w:lang w:val="en-US" w:eastAsia="zh-CN"/>
                    </w:rPr>
                    <w:t>排</w:t>
                  </w:r>
                  <w:r>
                    <w:rPr>
                      <w:rFonts w:hint="default" w:ascii="Times New Roman" w:hAnsi="Times New Roman" w:eastAsia="宋体" w:cs="Times New Roman"/>
                      <w:color w:val="auto"/>
                      <w:sz w:val="21"/>
                      <w:szCs w:val="21"/>
                      <w:lang w:val="en-US" w:eastAsia="zh-CN"/>
                    </w:rPr>
                    <w:t>放符合相关</w:t>
                  </w:r>
                  <w:r>
                    <w:rPr>
                      <w:rFonts w:hint="eastAsia" w:ascii="Times New Roman" w:hAnsi="Times New Roman" w:cs="Times New Roman"/>
                      <w:color w:val="auto"/>
                      <w:sz w:val="21"/>
                      <w:szCs w:val="21"/>
                      <w:lang w:val="en-US" w:eastAsia="zh-CN"/>
                    </w:rPr>
                    <w:t>要求</w:t>
                  </w:r>
                  <w:r>
                    <w:rPr>
                      <w:rFonts w:hint="eastAsia" w:cs="Times New Roman"/>
                      <w:color w:val="auto"/>
                      <w:sz w:val="21"/>
                      <w:szCs w:val="21"/>
                      <w:lang w:val="en-US" w:eastAsia="zh-CN"/>
                    </w:rPr>
                    <w:t>。</w:t>
                  </w:r>
                </w:p>
              </w:tc>
              <w:tc>
                <w:tcPr>
                  <w:tcW w:w="297" w:type="pct"/>
                  <w:noWrap w:val="0"/>
                  <w:vAlign w:val="center"/>
                </w:tcPr>
                <w:p w14:paraId="59AC229C">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06236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continue"/>
                  <w:noWrap w:val="0"/>
                  <w:vAlign w:val="center"/>
                </w:tcPr>
                <w:p w14:paraId="2F62DD4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80" w:type="pct"/>
                  <w:vMerge w:val="continue"/>
                  <w:noWrap w:val="0"/>
                  <w:vAlign w:val="center"/>
                </w:tcPr>
                <w:p w14:paraId="22BD4F84">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3097" w:type="pct"/>
                  <w:noWrap w:val="0"/>
                  <w:vAlign w:val="center"/>
                </w:tcPr>
                <w:p w14:paraId="62FD4CBB">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禁止新建不符合国家产业政策的小型造纸、制革、印染、染料、炼焦、炼硫、炼砷、炼汞、炼油、电镀、农药、石棉、水泥、玻璃、钢铁、火电以及其他严重污染水环境的生产项目。</w:t>
                  </w:r>
                </w:p>
              </w:tc>
              <w:tc>
                <w:tcPr>
                  <w:tcW w:w="1046" w:type="pct"/>
                  <w:noWrap w:val="0"/>
                  <w:vAlign w:val="center"/>
                </w:tcPr>
                <w:p w14:paraId="15FA9441">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本</w:t>
                  </w:r>
                  <w:r>
                    <w:rPr>
                      <w:rFonts w:hint="eastAsia" w:cs="Times New Roman"/>
                      <w:color w:val="auto"/>
                      <w:sz w:val="21"/>
                      <w:szCs w:val="21"/>
                      <w:lang w:val="en-US" w:eastAsia="zh-CN"/>
                    </w:rPr>
                    <w:t>项目为固体废物综合利用项目</w:t>
                  </w:r>
                  <w:r>
                    <w:rPr>
                      <w:rFonts w:hint="default" w:ascii="Times New Roman" w:hAnsi="Times New Roman" w:eastAsia="宋体" w:cs="Times New Roman"/>
                      <w:color w:val="auto"/>
                      <w:sz w:val="21"/>
                      <w:szCs w:val="21"/>
                      <w:lang w:val="en-US" w:eastAsia="zh-CN"/>
                    </w:rPr>
                    <w:t>，不涉及</w:t>
                  </w:r>
                  <w:r>
                    <w:rPr>
                      <w:rFonts w:hint="eastAsia" w:cs="Times New Roman"/>
                      <w:color w:val="auto"/>
                      <w:sz w:val="21"/>
                      <w:szCs w:val="21"/>
                      <w:lang w:val="en-US" w:eastAsia="zh-CN"/>
                    </w:rPr>
                    <w:t>。</w:t>
                  </w:r>
                </w:p>
              </w:tc>
              <w:tc>
                <w:tcPr>
                  <w:tcW w:w="297" w:type="pct"/>
                  <w:noWrap w:val="0"/>
                  <w:vAlign w:val="center"/>
                </w:tcPr>
                <w:p w14:paraId="6818F73A">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74CF0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continue"/>
                  <w:noWrap w:val="0"/>
                  <w:vAlign w:val="center"/>
                </w:tcPr>
                <w:p w14:paraId="6337F012">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80" w:type="pct"/>
                  <w:vMerge w:val="continue"/>
                  <w:noWrap w:val="0"/>
                  <w:vAlign w:val="center"/>
                </w:tcPr>
                <w:p w14:paraId="7007DE82">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3097" w:type="pct"/>
                  <w:noWrap w:val="0"/>
                  <w:vAlign w:val="center"/>
                </w:tcPr>
                <w:p w14:paraId="25CD341C">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新建、改建、扩建造纸、焦化、氮肥、有色金属、印染、农副食品加工、原料药制造、制革、农药、电镀等重点行业建设项目，实行主要污染物排放等量或减量置换。</w:t>
                  </w:r>
                </w:p>
              </w:tc>
              <w:tc>
                <w:tcPr>
                  <w:tcW w:w="1046" w:type="pct"/>
                  <w:noWrap w:val="0"/>
                  <w:vAlign w:val="center"/>
                </w:tcPr>
                <w:p w14:paraId="1CEEA12A">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w:t>
                  </w:r>
                  <w:r>
                    <w:rPr>
                      <w:rFonts w:hint="eastAsia" w:cs="Times New Roman"/>
                      <w:color w:val="auto"/>
                      <w:sz w:val="21"/>
                      <w:szCs w:val="21"/>
                      <w:lang w:val="en-US" w:eastAsia="zh-CN"/>
                    </w:rPr>
                    <w:t>项目为固体废物综合利用项目</w:t>
                  </w:r>
                  <w:r>
                    <w:rPr>
                      <w:rFonts w:hint="default" w:ascii="Times New Roman" w:hAnsi="Times New Roman" w:eastAsia="宋体" w:cs="Times New Roman"/>
                      <w:color w:val="auto"/>
                      <w:sz w:val="21"/>
                      <w:szCs w:val="21"/>
                      <w:lang w:val="en-US" w:eastAsia="zh-CN"/>
                    </w:rPr>
                    <w:t>，不涉及</w:t>
                  </w:r>
                  <w:r>
                    <w:rPr>
                      <w:rFonts w:hint="eastAsia" w:cs="Times New Roman"/>
                      <w:color w:val="auto"/>
                      <w:sz w:val="21"/>
                      <w:szCs w:val="21"/>
                      <w:lang w:val="en-US" w:eastAsia="zh-CN"/>
                    </w:rPr>
                    <w:t>。</w:t>
                  </w:r>
                </w:p>
              </w:tc>
              <w:tc>
                <w:tcPr>
                  <w:tcW w:w="297" w:type="pct"/>
                  <w:noWrap w:val="0"/>
                  <w:vAlign w:val="center"/>
                </w:tcPr>
                <w:p w14:paraId="0443A8FC">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7BF37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continue"/>
                  <w:noWrap w:val="0"/>
                  <w:vAlign w:val="center"/>
                </w:tcPr>
                <w:p w14:paraId="60A6BF32">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80" w:type="pct"/>
                  <w:vMerge w:val="continue"/>
                  <w:noWrap w:val="0"/>
                  <w:vAlign w:val="center"/>
                </w:tcPr>
                <w:p w14:paraId="09269CAE">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3097" w:type="pct"/>
                  <w:noWrap w:val="0"/>
                  <w:vAlign w:val="center"/>
                </w:tcPr>
                <w:p w14:paraId="7F89986D">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严格落实钢铁、水泥、平板玻璃产能减量置换政策。推进钢铁、水泥、焦化行业及燃煤锅炉超低排放改造。</w:t>
                  </w:r>
                </w:p>
              </w:tc>
              <w:tc>
                <w:tcPr>
                  <w:tcW w:w="1046" w:type="pct"/>
                  <w:noWrap w:val="0"/>
                  <w:vAlign w:val="center"/>
                </w:tcPr>
                <w:p w14:paraId="34A2CFEC">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w:t>
                  </w:r>
                  <w:r>
                    <w:rPr>
                      <w:rFonts w:hint="eastAsia" w:cs="Times New Roman"/>
                      <w:color w:val="auto"/>
                      <w:sz w:val="21"/>
                      <w:szCs w:val="21"/>
                      <w:lang w:val="en-US" w:eastAsia="zh-CN"/>
                    </w:rPr>
                    <w:t>项目为固体废物综合利用项目</w:t>
                  </w:r>
                  <w:r>
                    <w:rPr>
                      <w:rFonts w:hint="default" w:ascii="Times New Roman" w:hAnsi="Times New Roman" w:eastAsia="宋体" w:cs="Times New Roman"/>
                      <w:color w:val="auto"/>
                      <w:sz w:val="21"/>
                      <w:szCs w:val="21"/>
                      <w:lang w:val="en-US" w:eastAsia="zh-CN"/>
                    </w:rPr>
                    <w:t>，不涉及</w:t>
                  </w:r>
                  <w:r>
                    <w:rPr>
                      <w:rFonts w:hint="eastAsia" w:cs="Times New Roman"/>
                      <w:color w:val="auto"/>
                      <w:sz w:val="21"/>
                      <w:szCs w:val="21"/>
                      <w:lang w:val="en-US" w:eastAsia="zh-CN"/>
                    </w:rPr>
                    <w:t>。</w:t>
                  </w:r>
                </w:p>
              </w:tc>
              <w:tc>
                <w:tcPr>
                  <w:tcW w:w="297" w:type="pct"/>
                  <w:noWrap w:val="0"/>
                  <w:vAlign w:val="center"/>
                </w:tcPr>
                <w:p w14:paraId="2D2BA0D9">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6DFF6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continue"/>
                  <w:noWrap w:val="0"/>
                  <w:vAlign w:val="center"/>
                </w:tcPr>
                <w:p w14:paraId="7502442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80" w:type="pct"/>
                  <w:vMerge w:val="continue"/>
                  <w:noWrap w:val="0"/>
                  <w:vAlign w:val="center"/>
                </w:tcPr>
                <w:p w14:paraId="792E424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3097" w:type="pct"/>
                  <w:noWrap w:val="0"/>
                  <w:vAlign w:val="center"/>
                </w:tcPr>
                <w:p w14:paraId="5FB7CFB2">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推动全省34个涉气重点行业企业绩效分级，积极引导污染物排放总量大、污染物排放浓度高的行业企业开展超低排放改造。</w:t>
                  </w:r>
                </w:p>
              </w:tc>
              <w:tc>
                <w:tcPr>
                  <w:tcW w:w="1046" w:type="pct"/>
                  <w:noWrap w:val="0"/>
                  <w:vAlign w:val="center"/>
                </w:tcPr>
                <w:p w14:paraId="09DF218C">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不涉及涉气重点行业</w:t>
                  </w:r>
                  <w:r>
                    <w:rPr>
                      <w:rFonts w:hint="eastAsia" w:cs="Times New Roman"/>
                      <w:color w:val="auto"/>
                      <w:sz w:val="21"/>
                      <w:szCs w:val="21"/>
                      <w:lang w:val="en-US" w:eastAsia="zh-CN"/>
                    </w:rPr>
                    <w:t>。</w:t>
                  </w:r>
                </w:p>
              </w:tc>
              <w:tc>
                <w:tcPr>
                  <w:tcW w:w="297" w:type="pct"/>
                  <w:noWrap w:val="0"/>
                  <w:vAlign w:val="center"/>
                </w:tcPr>
                <w:p w14:paraId="0ABDD39D">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13300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continue"/>
                  <w:noWrap w:val="0"/>
                  <w:vAlign w:val="center"/>
                </w:tcPr>
                <w:p w14:paraId="75259A05">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80" w:type="pct"/>
                  <w:vMerge w:val="continue"/>
                  <w:noWrap w:val="0"/>
                  <w:vAlign w:val="center"/>
                </w:tcPr>
                <w:p w14:paraId="09D33194">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3097" w:type="pct"/>
                  <w:noWrap w:val="0"/>
                  <w:vAlign w:val="center"/>
                </w:tcPr>
                <w:p w14:paraId="5D5A264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禁止新建、扩建不符合要求的高耗能高排放项目。</w:t>
                  </w:r>
                </w:p>
              </w:tc>
              <w:tc>
                <w:tcPr>
                  <w:tcW w:w="1046" w:type="pct"/>
                  <w:noWrap w:val="0"/>
                  <w:vAlign w:val="center"/>
                </w:tcPr>
                <w:p w14:paraId="6D295D0B">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本项目不属于高耗能高排放项目</w:t>
                  </w:r>
                  <w:r>
                    <w:rPr>
                      <w:rFonts w:hint="eastAsia" w:cs="Times New Roman"/>
                      <w:color w:val="auto"/>
                      <w:sz w:val="21"/>
                      <w:szCs w:val="21"/>
                      <w:lang w:val="en-US" w:eastAsia="zh-CN"/>
                    </w:rPr>
                    <w:t>。</w:t>
                  </w:r>
                </w:p>
              </w:tc>
              <w:tc>
                <w:tcPr>
                  <w:tcW w:w="297" w:type="pct"/>
                  <w:noWrap w:val="0"/>
                  <w:vAlign w:val="center"/>
                </w:tcPr>
                <w:p w14:paraId="56FE3D81">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34C62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continue"/>
                  <w:noWrap w:val="0"/>
                  <w:vAlign w:val="center"/>
                </w:tcPr>
                <w:p w14:paraId="4B86ED6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p>
              </w:tc>
              <w:tc>
                <w:tcPr>
                  <w:tcW w:w="280" w:type="pct"/>
                  <w:vMerge w:val="restart"/>
                  <w:noWrap w:val="0"/>
                  <w:vAlign w:val="center"/>
                </w:tcPr>
                <w:p w14:paraId="6106973B">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环境风险防控</w:t>
                  </w:r>
                </w:p>
              </w:tc>
              <w:tc>
                <w:tcPr>
                  <w:tcW w:w="3097" w:type="pct"/>
                  <w:noWrap w:val="0"/>
                  <w:vAlign w:val="center"/>
                </w:tcPr>
                <w:p w14:paraId="7A7431E4">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在居民集中区、医院和学校附近、重要水源涵养生态功能区等环境风险防控重点区域，禁止新建或扩建化工石化、有色冶炼、制浆造纸等可能引发环境风险的项目。</w:t>
                  </w:r>
                </w:p>
              </w:tc>
              <w:tc>
                <w:tcPr>
                  <w:tcW w:w="1046" w:type="pct"/>
                  <w:noWrap w:val="0"/>
                  <w:vAlign w:val="center"/>
                </w:tcPr>
                <w:p w14:paraId="652107F1">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本项目位于工业园区，不属于可能引发环境风险的项目</w:t>
                  </w:r>
                  <w:r>
                    <w:rPr>
                      <w:rFonts w:hint="eastAsia" w:cs="Times New Roman"/>
                      <w:color w:val="auto"/>
                      <w:sz w:val="21"/>
                      <w:szCs w:val="21"/>
                      <w:lang w:val="en-US" w:eastAsia="zh-CN"/>
                    </w:rPr>
                    <w:t>。</w:t>
                  </w:r>
                </w:p>
              </w:tc>
              <w:tc>
                <w:tcPr>
                  <w:tcW w:w="297" w:type="pct"/>
                  <w:noWrap w:val="0"/>
                  <w:vAlign w:val="center"/>
                </w:tcPr>
                <w:p w14:paraId="351B07A6">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5C46E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continue"/>
                  <w:noWrap w:val="0"/>
                  <w:vAlign w:val="center"/>
                </w:tcPr>
                <w:p w14:paraId="298BE93D">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80" w:type="pct"/>
                  <w:vMerge w:val="continue"/>
                  <w:noWrap w:val="0"/>
                  <w:vAlign w:val="center"/>
                </w:tcPr>
                <w:p w14:paraId="50E25AFE">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3097" w:type="pct"/>
                  <w:noWrap w:val="0"/>
                  <w:vAlign w:val="center"/>
                </w:tcPr>
                <w:p w14:paraId="0531D6D3">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含有毒有害氰化物电镀工艺（电镀金、银、铜基合金及予镀铜打底工艺除外）。</w:t>
                  </w:r>
                </w:p>
              </w:tc>
              <w:tc>
                <w:tcPr>
                  <w:tcW w:w="1046" w:type="pct"/>
                  <w:noWrap w:val="0"/>
                  <w:vAlign w:val="center"/>
                </w:tcPr>
                <w:p w14:paraId="0B7A6235">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不涉及</w:t>
                  </w:r>
                  <w:r>
                    <w:rPr>
                      <w:rFonts w:hint="eastAsia" w:cs="Times New Roman"/>
                      <w:color w:val="auto"/>
                      <w:sz w:val="21"/>
                      <w:szCs w:val="21"/>
                      <w:lang w:val="en-US" w:eastAsia="zh-CN"/>
                    </w:rPr>
                    <w:t>。</w:t>
                  </w:r>
                </w:p>
              </w:tc>
              <w:tc>
                <w:tcPr>
                  <w:tcW w:w="297" w:type="pct"/>
                  <w:noWrap w:val="0"/>
                  <w:vAlign w:val="center"/>
                </w:tcPr>
                <w:p w14:paraId="4CA5C3DD">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06A86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continue"/>
                  <w:noWrap w:val="0"/>
                  <w:vAlign w:val="center"/>
                </w:tcPr>
                <w:p w14:paraId="6F3390C5">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80" w:type="pct"/>
                  <w:vMerge w:val="continue"/>
                  <w:noWrap w:val="0"/>
                  <w:vAlign w:val="center"/>
                </w:tcPr>
                <w:p w14:paraId="55F5F481">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3097" w:type="pct"/>
                  <w:noWrap w:val="0"/>
                  <w:vAlign w:val="center"/>
                </w:tcPr>
                <w:p w14:paraId="7D40B45C">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港口、码头、装卸站和船舶修造厂应当备有足够的船舶污染物、废弃物的接收设施；从事船舶污染物、废弃物接收作业，或者从事装载油类、污染危害性货物船舱清洗作业的单位，应当具备与其运营规模相适应的接收处理能力。</w:t>
                  </w:r>
                </w:p>
              </w:tc>
              <w:tc>
                <w:tcPr>
                  <w:tcW w:w="1046" w:type="pct"/>
                  <w:noWrap w:val="0"/>
                  <w:vAlign w:val="center"/>
                </w:tcPr>
                <w:p w14:paraId="7C271826">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不涉及</w:t>
                  </w:r>
                  <w:r>
                    <w:rPr>
                      <w:rFonts w:hint="eastAsia" w:cs="Times New Roman"/>
                      <w:color w:val="auto"/>
                      <w:sz w:val="21"/>
                      <w:szCs w:val="21"/>
                      <w:lang w:val="en-US" w:eastAsia="zh-CN"/>
                    </w:rPr>
                    <w:t>。</w:t>
                  </w:r>
                </w:p>
              </w:tc>
              <w:tc>
                <w:tcPr>
                  <w:tcW w:w="297" w:type="pct"/>
                  <w:noWrap w:val="0"/>
                  <w:vAlign w:val="center"/>
                </w:tcPr>
                <w:p w14:paraId="1D000CDB">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5632C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continue"/>
                  <w:noWrap w:val="0"/>
                  <w:vAlign w:val="center"/>
                </w:tcPr>
                <w:p w14:paraId="4D2FBB06">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80" w:type="pct"/>
                  <w:vMerge w:val="continue"/>
                  <w:noWrap w:val="0"/>
                  <w:vAlign w:val="center"/>
                </w:tcPr>
                <w:p w14:paraId="18583A02">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3097" w:type="pct"/>
                  <w:noWrap w:val="0"/>
                  <w:vAlign w:val="center"/>
                </w:tcPr>
                <w:p w14:paraId="4AAFDFB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位于城镇人口密集区内，安全、卫生防护距离不能满足相关要求和不符合规划的现有危险化学品生产企业限期退出或依法关停。</w:t>
                  </w:r>
                </w:p>
              </w:tc>
              <w:tc>
                <w:tcPr>
                  <w:tcW w:w="1046" w:type="pct"/>
                  <w:noWrap w:val="0"/>
                  <w:vAlign w:val="center"/>
                </w:tcPr>
                <w:p w14:paraId="413E7B8D">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不涉及</w:t>
                  </w:r>
                  <w:r>
                    <w:rPr>
                      <w:rFonts w:hint="eastAsia" w:cs="Times New Roman"/>
                      <w:color w:val="auto"/>
                      <w:sz w:val="21"/>
                      <w:szCs w:val="21"/>
                      <w:lang w:val="en-US" w:eastAsia="zh-CN"/>
                    </w:rPr>
                    <w:t>。</w:t>
                  </w:r>
                </w:p>
              </w:tc>
              <w:tc>
                <w:tcPr>
                  <w:tcW w:w="297" w:type="pct"/>
                  <w:noWrap w:val="0"/>
                  <w:vAlign w:val="center"/>
                </w:tcPr>
                <w:p w14:paraId="6ABFD9D7">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07F1F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continue"/>
                  <w:noWrap w:val="0"/>
                  <w:vAlign w:val="center"/>
                </w:tcPr>
                <w:p w14:paraId="27B5342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80" w:type="pct"/>
                  <w:vMerge w:val="continue"/>
                  <w:noWrap w:val="0"/>
                  <w:vAlign w:val="center"/>
                </w:tcPr>
                <w:p w14:paraId="467A7C94">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3097" w:type="pct"/>
                  <w:noWrap w:val="0"/>
                  <w:vAlign w:val="center"/>
                </w:tcPr>
                <w:p w14:paraId="7FF84D2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禁止在长江干流岸线三公里范围内和重要支流岸线公里范围内新建、改建、扩建尾矿库、冶炼渣库和磷石膏库，以提升安全、生态环境保护水平为目</w:t>
                  </w:r>
                  <w:r>
                    <w:rPr>
                      <w:rFonts w:hint="eastAsia" w:cs="Times New Roman"/>
                      <w:color w:val="auto"/>
                      <w:sz w:val="21"/>
                      <w:szCs w:val="21"/>
                      <w:lang w:val="en-US" w:eastAsia="zh-CN"/>
                    </w:rPr>
                    <w:t>的</w:t>
                  </w:r>
                  <w:r>
                    <w:rPr>
                      <w:rFonts w:hint="default" w:ascii="Times New Roman" w:hAnsi="Times New Roman" w:eastAsia="宋体" w:cs="Times New Roman"/>
                      <w:color w:val="auto"/>
                      <w:sz w:val="21"/>
                      <w:szCs w:val="21"/>
                      <w:lang w:val="en-US" w:eastAsia="zh-CN"/>
                    </w:rPr>
                    <w:t>改建除外。</w:t>
                  </w:r>
                </w:p>
              </w:tc>
              <w:tc>
                <w:tcPr>
                  <w:tcW w:w="1046" w:type="pct"/>
                  <w:noWrap w:val="0"/>
                  <w:vAlign w:val="center"/>
                </w:tcPr>
                <w:p w14:paraId="30E21442">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本项目</w:t>
                  </w:r>
                  <w:r>
                    <w:rPr>
                      <w:rFonts w:hint="default" w:ascii="Times New Roman" w:hAnsi="Times New Roman" w:eastAsia="宋体" w:cs="Times New Roman"/>
                      <w:color w:val="auto"/>
                      <w:sz w:val="21"/>
                      <w:szCs w:val="21"/>
                      <w:lang w:val="en-US" w:eastAsia="zh-CN"/>
                    </w:rPr>
                    <w:t>不在长江干流岸线三公里范围内和重要支流岸线一公里范围内</w:t>
                  </w:r>
                  <w:r>
                    <w:rPr>
                      <w:rFonts w:hint="eastAsia" w:cs="Times New Roman"/>
                      <w:color w:val="auto"/>
                      <w:sz w:val="21"/>
                      <w:szCs w:val="21"/>
                      <w:lang w:val="en-US" w:eastAsia="zh-CN"/>
                    </w:rPr>
                    <w:t>。</w:t>
                  </w:r>
                </w:p>
              </w:tc>
              <w:tc>
                <w:tcPr>
                  <w:tcW w:w="297" w:type="pct"/>
                  <w:noWrap w:val="0"/>
                  <w:vAlign w:val="center"/>
                </w:tcPr>
                <w:p w14:paraId="46CE55E6">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034A7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continue"/>
                  <w:noWrap w:val="0"/>
                  <w:vAlign w:val="center"/>
                </w:tcPr>
                <w:p w14:paraId="4BAA3B0D">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80" w:type="pct"/>
                  <w:vMerge w:val="restart"/>
                  <w:noWrap w:val="0"/>
                  <w:vAlign w:val="center"/>
                </w:tcPr>
                <w:p w14:paraId="187A52A8">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资源利用效率要求</w:t>
                  </w:r>
                </w:p>
              </w:tc>
              <w:tc>
                <w:tcPr>
                  <w:tcW w:w="3097" w:type="pct"/>
                  <w:noWrap w:val="0"/>
                  <w:vAlign w:val="center"/>
                </w:tcPr>
                <w:p w14:paraId="29FEDC1D">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对取用水总量已达到或超过控制指标的地区，暂停审批建设项目新增取水。对取用水总量接近控制指标的地区，限制审批建设项目新增取水。</w:t>
                  </w:r>
                </w:p>
              </w:tc>
              <w:tc>
                <w:tcPr>
                  <w:tcW w:w="1046" w:type="pct"/>
                  <w:noWrap w:val="0"/>
                  <w:vAlign w:val="center"/>
                </w:tcPr>
                <w:p w14:paraId="78283DA6">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本项目不在已达到或超过控制指标的地区，用水由市政管网供给</w:t>
                  </w:r>
                  <w:r>
                    <w:rPr>
                      <w:rFonts w:hint="eastAsia" w:cs="Times New Roman"/>
                      <w:color w:val="auto"/>
                      <w:sz w:val="21"/>
                      <w:szCs w:val="21"/>
                      <w:lang w:val="en-US" w:eastAsia="zh-CN"/>
                    </w:rPr>
                    <w:t>。</w:t>
                  </w:r>
                </w:p>
              </w:tc>
              <w:tc>
                <w:tcPr>
                  <w:tcW w:w="297" w:type="pct"/>
                  <w:noWrap w:val="0"/>
                  <w:vAlign w:val="center"/>
                </w:tcPr>
                <w:p w14:paraId="1E2D8824">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r w14:paraId="626AD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76" w:type="pct"/>
                  <w:vMerge w:val="continue"/>
                  <w:noWrap w:val="0"/>
                  <w:vAlign w:val="center"/>
                </w:tcPr>
                <w:p w14:paraId="1601F1A6">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280" w:type="pct"/>
                  <w:vMerge w:val="continue"/>
                  <w:noWrap w:val="0"/>
                  <w:vAlign w:val="center"/>
                </w:tcPr>
                <w:p w14:paraId="3156AF81">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tc>
              <w:tc>
                <w:tcPr>
                  <w:tcW w:w="3097" w:type="pct"/>
                  <w:noWrap w:val="0"/>
                  <w:vAlign w:val="center"/>
                </w:tcPr>
                <w:p w14:paraId="52F92C61">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在禁燃区内，禁止新建、扩建燃用高污染燃料的项目和设施，已建成的应逐步改用天然气、电或者其他清洁能源。</w:t>
                  </w:r>
                </w:p>
              </w:tc>
              <w:tc>
                <w:tcPr>
                  <w:tcW w:w="1046" w:type="pct"/>
                  <w:noWrap w:val="0"/>
                  <w:vAlign w:val="center"/>
                </w:tcPr>
                <w:p w14:paraId="57638C8D">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本项目不使用燃料</w:t>
                  </w:r>
                  <w:r>
                    <w:rPr>
                      <w:rFonts w:hint="eastAsia" w:cs="Times New Roman"/>
                      <w:color w:val="auto"/>
                      <w:sz w:val="21"/>
                      <w:szCs w:val="21"/>
                      <w:lang w:val="en-US" w:eastAsia="zh-CN"/>
                    </w:rPr>
                    <w:t>。</w:t>
                  </w:r>
                </w:p>
              </w:tc>
              <w:tc>
                <w:tcPr>
                  <w:tcW w:w="297" w:type="pct"/>
                  <w:noWrap w:val="0"/>
                  <w:vAlign w:val="center"/>
                </w:tcPr>
                <w:p w14:paraId="44A49764">
                  <w:pPr>
                    <w:pStyle w:val="56"/>
                    <w:keepNext w:val="0"/>
                    <w:keepLines w:val="0"/>
                    <w:suppressLineNumbers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4"/>
                    </w:rPr>
                    <w:t>相符</w:t>
                  </w:r>
                </w:p>
              </w:tc>
            </w:tr>
          </w:tbl>
          <w:p w14:paraId="24DC5B0E">
            <w:pPr>
              <w:keepNext w:val="0"/>
              <w:keepLines w:val="0"/>
              <w:numPr>
                <w:ilvl w:val="0"/>
                <w:numId w:val="7"/>
              </w:numPr>
              <w:suppressLineNumbers w:val="0"/>
              <w:bidi w:val="0"/>
              <w:spacing w:before="0" w:beforeAutospacing="0" w:after="0" w:afterAutospacing="0"/>
              <w:ind w:left="0" w:leftChars="0" w:right="0" w:firstLine="480" w:firstLineChars="0"/>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根据《固体废物再生利用污染防治技术导则》（HJ1091-2020），与本项目相关的控制要求</w:t>
            </w:r>
            <w:r>
              <w:rPr>
                <w:rFonts w:hint="eastAsia" w:ascii="Times New Roman" w:hAnsi="Times New Roman" w:eastAsia="宋体" w:cs="Times New Roman"/>
                <w:color w:val="auto"/>
                <w:kern w:val="2"/>
                <w:sz w:val="24"/>
                <w:szCs w:val="24"/>
                <w:lang w:val="en-US" w:eastAsia="zh-CN" w:bidi="ar-SA"/>
              </w:rPr>
              <w:t>相符性分析</w:t>
            </w:r>
            <w:r>
              <w:rPr>
                <w:rFonts w:hint="default" w:ascii="Times New Roman" w:hAnsi="Times New Roman" w:eastAsia="宋体" w:cs="Times New Roman"/>
                <w:color w:val="auto"/>
                <w:kern w:val="2"/>
                <w:sz w:val="24"/>
                <w:szCs w:val="24"/>
                <w:lang w:val="en-US" w:eastAsia="zh-CN" w:bidi="ar-SA"/>
              </w:rPr>
              <w:t>如下：</w:t>
            </w:r>
          </w:p>
          <w:p w14:paraId="75E09730">
            <w:pPr>
              <w:pStyle w:val="37"/>
              <w:keepNext w:val="0"/>
              <w:keepLines w:val="0"/>
              <w:suppressLineNumbers w:val="0"/>
              <w:bidi w:val="0"/>
              <w:spacing w:before="0" w:beforeAutospacing="0" w:after="0" w:afterAutospacing="0"/>
              <w:ind w:left="0" w:right="0"/>
              <w:rPr>
                <w:rFonts w:hint="default"/>
                <w:color w:val="auto"/>
                <w:lang w:eastAsia="zh-CN"/>
              </w:rPr>
            </w:pPr>
            <w:r>
              <w:rPr>
                <w:rFonts w:hint="default"/>
                <w:color w:val="auto"/>
                <w:lang w:val="en-US" w:eastAsia="zh-CN"/>
              </w:rPr>
              <w:t>表1-</w:t>
            </w:r>
            <w:r>
              <w:rPr>
                <w:rFonts w:hint="eastAsia"/>
                <w:color w:val="auto"/>
                <w:lang w:val="en-US" w:eastAsia="zh-CN"/>
              </w:rPr>
              <w:t>7</w:t>
            </w:r>
            <w:r>
              <w:rPr>
                <w:rFonts w:hint="default"/>
                <w:color w:val="auto"/>
                <w:lang w:val="en-US" w:eastAsia="zh-CN"/>
              </w:rPr>
              <w:t xml:space="preserve"> 与</w:t>
            </w:r>
            <w:r>
              <w:rPr>
                <w:rFonts w:hint="default"/>
                <w:color w:val="auto"/>
                <w:lang w:eastAsia="zh-CN"/>
              </w:rPr>
              <w:t>HJ1091-2020符合性分析</w:t>
            </w:r>
          </w:p>
          <w:tbl>
            <w:tblPr>
              <w:tblStyle w:val="28"/>
              <w:tblW w:w="8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
              <w:gridCol w:w="4363"/>
              <w:gridCol w:w="2816"/>
              <w:gridCol w:w="495"/>
            </w:tblGrid>
            <w:tr w14:paraId="02B41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127320C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标号</w:t>
                  </w:r>
                </w:p>
              </w:tc>
              <w:tc>
                <w:tcPr>
                  <w:tcW w:w="2552" w:type="pct"/>
                  <w:tcBorders>
                    <w:tl2br w:val="nil"/>
                    <w:tr2bl w:val="nil"/>
                  </w:tcBorders>
                  <w:noWrap w:val="0"/>
                  <w:vAlign w:val="center"/>
                </w:tcPr>
                <w:p w14:paraId="47220C9A">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总体</w:t>
                  </w:r>
                  <w:r>
                    <w:rPr>
                      <w:rFonts w:hint="default" w:ascii="Times New Roman" w:hAnsi="Times New Roman" w:cs="Times New Roman"/>
                      <w:color w:val="auto"/>
                      <w:sz w:val="21"/>
                      <w:szCs w:val="21"/>
                    </w:rPr>
                    <w:t>要求</w:t>
                  </w:r>
                </w:p>
              </w:tc>
              <w:tc>
                <w:tcPr>
                  <w:tcW w:w="1648" w:type="pct"/>
                  <w:tcBorders>
                    <w:tl2br w:val="nil"/>
                    <w:tr2bl w:val="nil"/>
                  </w:tcBorders>
                  <w:noWrap w:val="0"/>
                  <w:vAlign w:val="center"/>
                </w:tcPr>
                <w:p w14:paraId="0D1C4AA1">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本项目</w:t>
                  </w:r>
                </w:p>
              </w:tc>
              <w:tc>
                <w:tcPr>
                  <w:tcW w:w="292" w:type="pct"/>
                  <w:tcBorders>
                    <w:tl2br w:val="nil"/>
                    <w:tr2bl w:val="nil"/>
                  </w:tcBorders>
                  <w:noWrap w:val="0"/>
                  <w:vAlign w:val="center"/>
                </w:tcPr>
                <w:p w14:paraId="1AA3C6AA">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符合性</w:t>
                  </w:r>
                </w:p>
              </w:tc>
            </w:tr>
            <w:tr w14:paraId="585BA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3E6DB03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4.3</w:t>
                  </w:r>
                </w:p>
              </w:tc>
              <w:tc>
                <w:tcPr>
                  <w:tcW w:w="2552" w:type="pct"/>
                  <w:tcBorders>
                    <w:tl2br w:val="nil"/>
                    <w:tr2bl w:val="nil"/>
                  </w:tcBorders>
                  <w:noWrap w:val="0"/>
                  <w:vAlign w:val="center"/>
                </w:tcPr>
                <w:p w14:paraId="7EABD856">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固体废物再生利用建设项目的选址应符合区域性环境保护规划和当地的城乡总体规划。</w:t>
                  </w:r>
                </w:p>
              </w:tc>
              <w:tc>
                <w:tcPr>
                  <w:tcW w:w="1648" w:type="pct"/>
                  <w:tcBorders>
                    <w:tl2br w:val="nil"/>
                    <w:tr2bl w:val="nil"/>
                  </w:tcBorders>
                  <w:noWrap w:val="0"/>
                  <w:vAlign w:val="center"/>
                </w:tcPr>
                <w:p w14:paraId="47FCB787">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本项目位于建筑陶瓷产业园，租用已建厂房建设。</w:t>
                  </w:r>
                </w:p>
              </w:tc>
              <w:tc>
                <w:tcPr>
                  <w:tcW w:w="292" w:type="pct"/>
                  <w:tcBorders>
                    <w:tl2br w:val="nil"/>
                    <w:tr2bl w:val="nil"/>
                  </w:tcBorders>
                  <w:noWrap w:val="0"/>
                  <w:vAlign w:val="center"/>
                </w:tcPr>
                <w:p w14:paraId="30D12289">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6E8CD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4474139E">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4.4</w:t>
                  </w:r>
                </w:p>
              </w:tc>
              <w:tc>
                <w:tcPr>
                  <w:tcW w:w="2552" w:type="pct"/>
                  <w:tcBorders>
                    <w:tl2br w:val="nil"/>
                    <w:tr2bl w:val="nil"/>
                  </w:tcBorders>
                  <w:noWrap w:val="0"/>
                  <w:vAlign w:val="center"/>
                </w:tcPr>
                <w:p w14:paraId="4150C428">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体废物再生利用建设项目的设计、施工、验收和运行应遵守国家现行的相关法规的规定，同时建立完善的环境管理制度，包括环境影响评价、环境管理计划、环境保护责任、排污许可、监测、信息公开、环境应急预案和环境保护档案管理等制度。</w:t>
                  </w:r>
                </w:p>
              </w:tc>
              <w:tc>
                <w:tcPr>
                  <w:tcW w:w="1648" w:type="pct"/>
                  <w:tcBorders>
                    <w:tl2br w:val="nil"/>
                    <w:tr2bl w:val="nil"/>
                  </w:tcBorders>
                  <w:noWrap w:val="0"/>
                  <w:vAlign w:val="center"/>
                </w:tcPr>
                <w:p w14:paraId="7944DB09">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本</w:t>
                  </w:r>
                  <w:r>
                    <w:rPr>
                      <w:rFonts w:hint="default" w:ascii="Times New Roman" w:hAnsi="Times New Roman" w:cs="Times New Roman"/>
                      <w:color w:val="auto"/>
                      <w:sz w:val="21"/>
                      <w:szCs w:val="21"/>
                    </w:rPr>
                    <w:t>项目遵守国家现行的相关法规的规定，</w:t>
                  </w:r>
                  <w:r>
                    <w:rPr>
                      <w:rFonts w:hint="default" w:ascii="Times New Roman" w:hAnsi="Times New Roman" w:cs="Times New Roman"/>
                      <w:color w:val="auto"/>
                      <w:sz w:val="21"/>
                      <w:szCs w:val="21"/>
                      <w:lang w:val="en-US" w:eastAsia="zh-CN"/>
                    </w:rPr>
                    <w:t>正在履行环境影响评价制度。</w:t>
                  </w:r>
                </w:p>
              </w:tc>
              <w:tc>
                <w:tcPr>
                  <w:tcW w:w="292" w:type="pct"/>
                  <w:tcBorders>
                    <w:tl2br w:val="nil"/>
                    <w:tr2bl w:val="nil"/>
                  </w:tcBorders>
                  <w:noWrap w:val="0"/>
                  <w:vAlign w:val="center"/>
                </w:tcPr>
                <w:p w14:paraId="1B990193">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14:paraId="246D4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7" w:type="pct"/>
                  <w:tcBorders>
                    <w:tl2br w:val="nil"/>
                    <w:tr2bl w:val="nil"/>
                  </w:tcBorders>
                  <w:noWrap w:val="0"/>
                  <w:vAlign w:val="center"/>
                </w:tcPr>
                <w:p w14:paraId="5C30E488">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4.5</w:t>
                  </w:r>
                </w:p>
              </w:tc>
              <w:tc>
                <w:tcPr>
                  <w:tcW w:w="2552" w:type="pct"/>
                  <w:tcBorders>
                    <w:tl2br w:val="nil"/>
                    <w:tr2bl w:val="nil"/>
                  </w:tcBorders>
                  <w:noWrap w:val="0"/>
                  <w:vAlign w:val="center"/>
                </w:tcPr>
                <w:p w14:paraId="4430F69F">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应对固体废物再生利用各技术环节的环境污染因子进行识别，采取有效污染控制措施，配备污染物监测设备设施，避免污染物的无组织排放，防止发生二次污染，妥善处置产生的废物。</w:t>
                  </w:r>
                </w:p>
              </w:tc>
              <w:tc>
                <w:tcPr>
                  <w:tcW w:w="1648" w:type="pct"/>
                  <w:tcBorders>
                    <w:tl2br w:val="nil"/>
                    <w:tr2bl w:val="nil"/>
                  </w:tcBorders>
                  <w:noWrap w:val="0"/>
                  <w:vAlign w:val="center"/>
                </w:tcPr>
                <w:p w14:paraId="5794D9AD">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本项目已对</w:t>
                  </w:r>
                  <w:r>
                    <w:rPr>
                      <w:rFonts w:hint="default" w:ascii="Times New Roman" w:hAnsi="Times New Roman" w:cs="Times New Roman"/>
                      <w:color w:val="auto"/>
                      <w:sz w:val="21"/>
                      <w:szCs w:val="21"/>
                    </w:rPr>
                    <w:t>再生利用各技术环节的环境污染因子进行识别，</w:t>
                  </w:r>
                  <w:r>
                    <w:rPr>
                      <w:rFonts w:hint="default" w:ascii="Times New Roman" w:hAnsi="Times New Roman" w:cs="Times New Roman"/>
                      <w:color w:val="auto"/>
                      <w:sz w:val="21"/>
                      <w:szCs w:val="21"/>
                      <w:lang w:val="en-US" w:eastAsia="zh-CN"/>
                    </w:rPr>
                    <w:t>并</w:t>
                  </w:r>
                  <w:r>
                    <w:rPr>
                      <w:rFonts w:hint="default" w:ascii="Times New Roman" w:hAnsi="Times New Roman" w:cs="Times New Roman"/>
                      <w:color w:val="auto"/>
                      <w:sz w:val="21"/>
                      <w:szCs w:val="21"/>
                    </w:rPr>
                    <w:t>采取有效污染控制措施，</w:t>
                  </w:r>
                  <w:r>
                    <w:rPr>
                      <w:rFonts w:hint="default" w:ascii="Times New Roman" w:hAnsi="Times New Roman" w:cs="Times New Roman"/>
                      <w:color w:val="auto"/>
                      <w:sz w:val="21"/>
                      <w:szCs w:val="21"/>
                      <w:lang w:val="en-US" w:eastAsia="zh-CN"/>
                    </w:rPr>
                    <w:t>本项目对厂界污染物进行例行监测</w:t>
                  </w:r>
                  <w:r>
                    <w:rPr>
                      <w:rFonts w:hint="default" w:ascii="Times New Roman" w:hAnsi="Times New Roman" w:cs="Times New Roman"/>
                      <w:color w:val="auto"/>
                      <w:sz w:val="21"/>
                      <w:szCs w:val="21"/>
                    </w:rPr>
                    <w:t>，避免污染物的无组织排放，</w:t>
                  </w:r>
                  <w:r>
                    <w:rPr>
                      <w:rFonts w:hint="default" w:ascii="Times New Roman" w:hAnsi="Times New Roman" w:cs="Times New Roman"/>
                      <w:color w:val="auto"/>
                      <w:sz w:val="21"/>
                      <w:szCs w:val="21"/>
                      <w:lang w:val="en-US" w:eastAsia="zh-CN"/>
                    </w:rPr>
                    <w:t>各类固废均</w:t>
                  </w:r>
                  <w:r>
                    <w:rPr>
                      <w:rFonts w:hint="default" w:ascii="Times New Roman" w:hAnsi="Times New Roman" w:cs="Times New Roman"/>
                      <w:color w:val="auto"/>
                      <w:sz w:val="21"/>
                      <w:szCs w:val="21"/>
                    </w:rPr>
                    <w:t>妥善处置。</w:t>
                  </w:r>
                </w:p>
              </w:tc>
              <w:tc>
                <w:tcPr>
                  <w:tcW w:w="292" w:type="pct"/>
                  <w:tcBorders>
                    <w:tl2br w:val="nil"/>
                    <w:tr2bl w:val="nil"/>
                  </w:tcBorders>
                  <w:noWrap w:val="0"/>
                  <w:vAlign w:val="center"/>
                </w:tcPr>
                <w:p w14:paraId="1898BED3">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14:paraId="5272F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639F7B0E">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4.6</w:t>
                  </w:r>
                </w:p>
              </w:tc>
              <w:tc>
                <w:tcPr>
                  <w:tcW w:w="2552" w:type="pct"/>
                  <w:tcBorders>
                    <w:tl2br w:val="nil"/>
                    <w:tr2bl w:val="nil"/>
                  </w:tcBorders>
                  <w:noWrap w:val="0"/>
                  <w:vAlign w:val="center"/>
                </w:tcPr>
                <w:p w14:paraId="2ACA143B">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固体废物再生利用过</w:t>
                  </w:r>
                  <w:r>
                    <w:rPr>
                      <w:rFonts w:hint="eastAsia" w:ascii="Times New Roman" w:hAnsi="Times New Roman" w:cs="Times New Roman"/>
                      <w:color w:val="auto"/>
                      <w:sz w:val="21"/>
                      <w:szCs w:val="21"/>
                      <w:lang w:eastAsia="zh-CN"/>
                    </w:rPr>
                    <w:t>程中</w:t>
                  </w:r>
                  <w:r>
                    <w:rPr>
                      <w:rFonts w:hint="default" w:ascii="Times New Roman" w:hAnsi="Times New Roman" w:cs="Times New Roman"/>
                      <w:color w:val="auto"/>
                      <w:sz w:val="21"/>
                      <w:szCs w:val="21"/>
                    </w:rPr>
                    <w:t>产生的各种污染物的排放应满足国家和地方的污染物排放</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控制</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标准与排污许可要求。</w:t>
                  </w:r>
                </w:p>
              </w:tc>
              <w:tc>
                <w:tcPr>
                  <w:tcW w:w="1648" w:type="pct"/>
                  <w:tcBorders>
                    <w:tl2br w:val="nil"/>
                    <w:tr2bl w:val="nil"/>
                  </w:tcBorders>
                  <w:noWrap w:val="0"/>
                  <w:vAlign w:val="center"/>
                </w:tcPr>
                <w:p w14:paraId="54C5CCCE">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本项目</w:t>
                  </w:r>
                  <w:r>
                    <w:rPr>
                      <w:rFonts w:hint="default" w:ascii="Times New Roman" w:hAnsi="Times New Roman" w:cs="Times New Roman"/>
                      <w:color w:val="auto"/>
                      <w:sz w:val="21"/>
                      <w:szCs w:val="21"/>
                    </w:rPr>
                    <w:t>各种污染物的排放</w:t>
                  </w:r>
                  <w:r>
                    <w:rPr>
                      <w:rFonts w:hint="default" w:ascii="Times New Roman" w:hAnsi="Times New Roman" w:cs="Times New Roman"/>
                      <w:color w:val="auto"/>
                      <w:sz w:val="21"/>
                      <w:szCs w:val="21"/>
                      <w:lang w:val="en-US" w:eastAsia="zh-CN"/>
                    </w:rPr>
                    <w:t>均</w:t>
                  </w:r>
                  <w:r>
                    <w:rPr>
                      <w:rFonts w:hint="default" w:ascii="Times New Roman" w:hAnsi="Times New Roman" w:cs="Times New Roman"/>
                      <w:color w:val="auto"/>
                      <w:sz w:val="21"/>
                      <w:szCs w:val="21"/>
                    </w:rPr>
                    <w:t>满足国家和地方的污染物排放标准与排污许可要求。</w:t>
                  </w:r>
                </w:p>
              </w:tc>
              <w:tc>
                <w:tcPr>
                  <w:tcW w:w="292" w:type="pct"/>
                  <w:tcBorders>
                    <w:tl2br w:val="nil"/>
                    <w:tr2bl w:val="nil"/>
                  </w:tcBorders>
                  <w:noWrap w:val="0"/>
                  <w:vAlign w:val="center"/>
                </w:tcPr>
                <w:p w14:paraId="7AF7DB0C">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14:paraId="7A119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3CA3A74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4.</w:t>
                  </w:r>
                  <w:r>
                    <w:rPr>
                      <w:rFonts w:hint="default" w:ascii="Times New Roman" w:hAnsi="Times New Roman" w:cs="Times New Roman"/>
                      <w:color w:val="auto"/>
                      <w:sz w:val="21"/>
                      <w:szCs w:val="21"/>
                      <w:lang w:val="en-US" w:eastAsia="zh-CN"/>
                    </w:rPr>
                    <w:t>7</w:t>
                  </w:r>
                </w:p>
              </w:tc>
              <w:tc>
                <w:tcPr>
                  <w:tcW w:w="2552" w:type="pct"/>
                  <w:tcBorders>
                    <w:tl2br w:val="nil"/>
                    <w:tr2bl w:val="nil"/>
                  </w:tcBorders>
                  <w:noWrap w:val="0"/>
                  <w:vAlign w:val="center"/>
                </w:tcPr>
                <w:p w14:paraId="41700A3F">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固体废物再生利用产物作为产品的，应符合GB 34330中要求的国家、地方制定或行业通行的产品质量标准，与国家相关污染控制标准或技术规范要求，包括该产物生产过程中排放到环境中的特征污染物含量标准和该产物中特征污染物的含量标准。</w:t>
                  </w:r>
                </w:p>
              </w:tc>
              <w:tc>
                <w:tcPr>
                  <w:tcW w:w="1648" w:type="pct"/>
                  <w:tcBorders>
                    <w:tl2br w:val="nil"/>
                    <w:tr2bl w:val="nil"/>
                  </w:tcBorders>
                  <w:noWrap w:val="0"/>
                  <w:vAlign w:val="center"/>
                </w:tcPr>
                <w:p w14:paraId="3579CFB1">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项目生产过程中各污染物排放均能达到</w:t>
                  </w:r>
                  <w:r>
                    <w:rPr>
                      <w:rFonts w:hint="default" w:ascii="Times New Roman" w:hAnsi="Times New Roman" w:cs="Times New Roman"/>
                      <w:color w:val="auto"/>
                      <w:sz w:val="21"/>
                      <w:szCs w:val="21"/>
                    </w:rPr>
                    <w:t>国家相关污染控制标准</w:t>
                  </w:r>
                  <w:r>
                    <w:rPr>
                      <w:rFonts w:hint="default" w:ascii="Times New Roman" w:hAnsi="Times New Roman" w:cs="Times New Roman"/>
                      <w:color w:val="auto"/>
                      <w:sz w:val="21"/>
                      <w:szCs w:val="21"/>
                      <w:lang w:val="en-US" w:eastAsia="zh-CN"/>
                    </w:rPr>
                    <w:t>要求。</w:t>
                  </w:r>
                </w:p>
              </w:tc>
              <w:tc>
                <w:tcPr>
                  <w:tcW w:w="292" w:type="pct"/>
                  <w:tcBorders>
                    <w:tl2br w:val="nil"/>
                    <w:tr2bl w:val="nil"/>
                  </w:tcBorders>
                  <w:noWrap w:val="0"/>
                  <w:vAlign w:val="center"/>
                </w:tcPr>
                <w:p w14:paraId="70EADE5E">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64FB3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7F4E7A7D">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标号</w:t>
                  </w:r>
                </w:p>
              </w:tc>
              <w:tc>
                <w:tcPr>
                  <w:tcW w:w="2552" w:type="pct"/>
                  <w:tcBorders>
                    <w:tl2br w:val="nil"/>
                    <w:tr2bl w:val="nil"/>
                  </w:tcBorders>
                  <w:noWrap w:val="0"/>
                  <w:vAlign w:val="center"/>
                </w:tcPr>
                <w:p w14:paraId="350B2596">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主要工艺单元污染防治技术要求</w:t>
                  </w:r>
                </w:p>
              </w:tc>
              <w:tc>
                <w:tcPr>
                  <w:tcW w:w="1648" w:type="pct"/>
                  <w:tcBorders>
                    <w:tl2br w:val="nil"/>
                    <w:tr2bl w:val="nil"/>
                  </w:tcBorders>
                  <w:noWrap w:val="0"/>
                  <w:vAlign w:val="center"/>
                </w:tcPr>
                <w:p w14:paraId="606DB56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本项目</w:t>
                  </w:r>
                </w:p>
              </w:tc>
              <w:tc>
                <w:tcPr>
                  <w:tcW w:w="292" w:type="pct"/>
                  <w:tcBorders>
                    <w:tl2br w:val="nil"/>
                    <w:tr2bl w:val="nil"/>
                  </w:tcBorders>
                  <w:noWrap w:val="0"/>
                  <w:vAlign w:val="center"/>
                </w:tcPr>
                <w:p w14:paraId="4FB23C06">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符合性</w:t>
                  </w:r>
                </w:p>
              </w:tc>
            </w:tr>
            <w:tr w14:paraId="17762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7" w:type="pct"/>
                  <w:tcBorders>
                    <w:tl2br w:val="nil"/>
                    <w:tr2bl w:val="nil"/>
                  </w:tcBorders>
                  <w:noWrap w:val="0"/>
                  <w:vAlign w:val="center"/>
                </w:tcPr>
                <w:p w14:paraId="11C873F6">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xml:space="preserve">5.1.1 </w:t>
                  </w:r>
                </w:p>
              </w:tc>
              <w:tc>
                <w:tcPr>
                  <w:tcW w:w="2552" w:type="pct"/>
                  <w:tcBorders>
                    <w:tl2br w:val="nil"/>
                    <w:tr2bl w:val="nil"/>
                  </w:tcBorders>
                  <w:noWrap w:val="0"/>
                  <w:vAlign w:val="center"/>
                </w:tcPr>
                <w:p w14:paraId="6400313E">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进行再生利用作业前，应明确固体废物的理化特性，并采取相应的安全防护措施，以防止固体废物在清洗、破碎、中和反应等过程中引起有毒有害物质的释放。</w:t>
                  </w:r>
                </w:p>
              </w:tc>
              <w:tc>
                <w:tcPr>
                  <w:tcW w:w="1648" w:type="pct"/>
                  <w:tcBorders>
                    <w:tl2br w:val="nil"/>
                    <w:tr2bl w:val="nil"/>
                  </w:tcBorders>
                  <w:noWrap w:val="0"/>
                  <w:vAlign w:val="center"/>
                </w:tcPr>
                <w:p w14:paraId="5922040F">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本项目的原料都属于一般固废，本项目工艺不涉及清洗</w:t>
                  </w:r>
                  <w:r>
                    <w:rPr>
                      <w:rFonts w:hint="eastAsia" w:cs="Times New Roman"/>
                      <w:color w:val="auto"/>
                      <w:sz w:val="21"/>
                      <w:szCs w:val="21"/>
                      <w:lang w:val="en-US" w:eastAsia="zh-CN"/>
                    </w:rPr>
                    <w:t>，项目在使用水泥与固化剂时不会产生有毒有害物质。</w:t>
                  </w:r>
                </w:p>
              </w:tc>
              <w:tc>
                <w:tcPr>
                  <w:tcW w:w="292" w:type="pct"/>
                  <w:tcBorders>
                    <w:tl2br w:val="nil"/>
                    <w:tr2bl w:val="nil"/>
                  </w:tcBorders>
                  <w:noWrap w:val="0"/>
                  <w:vAlign w:val="center"/>
                </w:tcPr>
                <w:p w14:paraId="7C5D8B93">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相符</w:t>
                  </w:r>
                </w:p>
              </w:tc>
            </w:tr>
            <w:tr w14:paraId="7F68F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0292B291">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5.1.2</w:t>
                  </w:r>
                </w:p>
              </w:tc>
              <w:tc>
                <w:tcPr>
                  <w:tcW w:w="2552" w:type="pct"/>
                  <w:tcBorders>
                    <w:tl2br w:val="nil"/>
                    <w:tr2bl w:val="nil"/>
                  </w:tcBorders>
                  <w:noWrap w:val="0"/>
                  <w:vAlign w:val="center"/>
                </w:tcPr>
                <w:p w14:paraId="66FD3ED9">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具有物理化学危险特性的固体废物，应首先进行稳定化处理。</w:t>
                  </w:r>
                </w:p>
              </w:tc>
              <w:tc>
                <w:tcPr>
                  <w:tcW w:w="1648" w:type="pct"/>
                  <w:tcBorders>
                    <w:tl2br w:val="nil"/>
                    <w:tr2bl w:val="nil"/>
                  </w:tcBorders>
                  <w:noWrap w:val="0"/>
                  <w:vAlign w:val="center"/>
                </w:tcPr>
                <w:p w14:paraId="4AE8E175">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本项目原料不</w:t>
                  </w:r>
                  <w:r>
                    <w:rPr>
                      <w:rFonts w:hint="default" w:ascii="Times New Roman" w:hAnsi="Times New Roman" w:cs="Times New Roman"/>
                      <w:color w:val="auto"/>
                      <w:sz w:val="21"/>
                      <w:szCs w:val="21"/>
                    </w:rPr>
                    <w:t>具有物理化学危险特性</w:t>
                  </w:r>
                </w:p>
              </w:tc>
              <w:tc>
                <w:tcPr>
                  <w:tcW w:w="292" w:type="pct"/>
                  <w:tcBorders>
                    <w:tl2br w:val="nil"/>
                    <w:tr2bl w:val="nil"/>
                  </w:tcBorders>
                  <w:noWrap w:val="0"/>
                  <w:vAlign w:val="center"/>
                </w:tcPr>
                <w:p w14:paraId="43CB1F5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相符</w:t>
                  </w:r>
                </w:p>
              </w:tc>
            </w:tr>
            <w:tr w14:paraId="54F13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65BF1462">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xml:space="preserve">5.1.3 </w:t>
                  </w:r>
                </w:p>
              </w:tc>
              <w:tc>
                <w:tcPr>
                  <w:tcW w:w="2552" w:type="pct"/>
                  <w:tcBorders>
                    <w:tl2br w:val="nil"/>
                    <w:tr2bl w:val="nil"/>
                  </w:tcBorders>
                  <w:noWrap w:val="0"/>
                  <w:vAlign w:val="center"/>
                </w:tcPr>
                <w:p w14:paraId="5B5E2D4D">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应根据固体废物的特性设置必要的防扬撒、防渗漏、防腐蚀设施，配备废气处理、废水处理、噪声控制等污染防治设施，按要求对主要环境影响指标进行在线监测。</w:t>
                  </w:r>
                </w:p>
              </w:tc>
              <w:tc>
                <w:tcPr>
                  <w:tcW w:w="1648" w:type="pct"/>
                  <w:tcBorders>
                    <w:tl2br w:val="nil"/>
                    <w:tr2bl w:val="nil"/>
                  </w:tcBorders>
                  <w:noWrap w:val="0"/>
                  <w:vAlign w:val="center"/>
                </w:tcPr>
                <w:p w14:paraId="4B933E8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不涉及</w:t>
                  </w:r>
                </w:p>
              </w:tc>
              <w:tc>
                <w:tcPr>
                  <w:tcW w:w="292" w:type="pct"/>
                  <w:tcBorders>
                    <w:tl2br w:val="nil"/>
                    <w:tr2bl w:val="nil"/>
                  </w:tcBorders>
                  <w:noWrap w:val="0"/>
                  <w:vAlign w:val="center"/>
                </w:tcPr>
                <w:p w14:paraId="751F44C6">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相符</w:t>
                  </w:r>
                </w:p>
              </w:tc>
            </w:tr>
            <w:tr w14:paraId="0C762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1A3557F1">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5.1.4</w:t>
                  </w:r>
                </w:p>
              </w:tc>
              <w:tc>
                <w:tcPr>
                  <w:tcW w:w="2552" w:type="pct"/>
                  <w:tcBorders>
                    <w:tl2br w:val="nil"/>
                    <w:tr2bl w:val="nil"/>
                  </w:tcBorders>
                  <w:noWrap w:val="0"/>
                  <w:vAlign w:val="center"/>
                </w:tcPr>
                <w:p w14:paraId="247C1E57">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产生粉尘和有毒有害气体的作业区应采取除尘和有毒有害气体收集措施。扬尘点应设置吸尘罩和收尘设备，有毒有害气体逸散区应设置吸附</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吸收</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转化装置，保证作业区粉尘、有害气体浓度满足GBZ 2.1的要求。</w:t>
                  </w:r>
                </w:p>
              </w:tc>
              <w:tc>
                <w:tcPr>
                  <w:tcW w:w="1648" w:type="pct"/>
                  <w:tcBorders>
                    <w:tl2br w:val="nil"/>
                    <w:tr2bl w:val="nil"/>
                  </w:tcBorders>
                  <w:noWrap w:val="0"/>
                  <w:vAlign w:val="center"/>
                </w:tcPr>
                <w:p w14:paraId="6A60AA12">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本项目在破碎</w:t>
                  </w:r>
                  <w:r>
                    <w:rPr>
                      <w:rFonts w:hint="eastAsia" w:ascii="Times New Roman" w:hAnsi="Times New Roman" w:cs="Times New Roman"/>
                      <w:color w:val="auto"/>
                      <w:sz w:val="21"/>
                      <w:szCs w:val="21"/>
                      <w:lang w:val="en-US" w:eastAsia="zh-CN"/>
                    </w:rPr>
                    <w:t>、筛选、</w:t>
                  </w:r>
                  <w:r>
                    <w:rPr>
                      <w:rFonts w:hint="default" w:ascii="Times New Roman" w:hAnsi="Times New Roman" w:cs="Times New Roman"/>
                      <w:color w:val="auto"/>
                      <w:sz w:val="21"/>
                      <w:szCs w:val="21"/>
                      <w:lang w:val="en-US" w:eastAsia="zh-CN"/>
                    </w:rPr>
                    <w:t>工艺会产生粉尘，</w:t>
                  </w:r>
                  <w:r>
                    <w:rPr>
                      <w:rFonts w:hint="eastAsia" w:ascii="Times New Roman" w:hAnsi="Times New Roman" w:cs="Times New Roman"/>
                      <w:color w:val="auto"/>
                      <w:sz w:val="21"/>
                      <w:szCs w:val="21"/>
                      <w:lang w:val="en-US" w:eastAsia="zh-CN"/>
                    </w:rPr>
                    <w:t>经收集处理后</w:t>
                  </w:r>
                  <w:r>
                    <w:rPr>
                      <w:rFonts w:hint="default" w:ascii="Times New Roman" w:hAnsi="Times New Roman" w:cs="Times New Roman"/>
                      <w:color w:val="auto"/>
                      <w:sz w:val="21"/>
                      <w:szCs w:val="21"/>
                      <w:lang w:val="en-US" w:eastAsia="zh-CN"/>
                    </w:rPr>
                    <w:t>达标排放。</w:t>
                  </w:r>
                </w:p>
              </w:tc>
              <w:tc>
                <w:tcPr>
                  <w:tcW w:w="292" w:type="pct"/>
                  <w:tcBorders>
                    <w:tl2br w:val="nil"/>
                    <w:tr2bl w:val="nil"/>
                  </w:tcBorders>
                  <w:noWrap w:val="0"/>
                  <w:vAlign w:val="center"/>
                </w:tcPr>
                <w:p w14:paraId="730B8768">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相符</w:t>
                  </w:r>
                </w:p>
              </w:tc>
            </w:tr>
            <w:tr w14:paraId="19671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20093F7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5.1.5</w:t>
                  </w:r>
                </w:p>
              </w:tc>
              <w:tc>
                <w:tcPr>
                  <w:tcW w:w="2552" w:type="pct"/>
                  <w:tcBorders>
                    <w:tl2br w:val="nil"/>
                    <w:tr2bl w:val="nil"/>
                  </w:tcBorders>
                  <w:noWrap w:val="0"/>
                  <w:vAlign w:val="center"/>
                </w:tcPr>
                <w:p w14:paraId="28E8A5D9">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应采取大气污染控制措施，大气污染物排放应满足特定行业排放</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控制</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标准的要求。没有特定行业污染排放</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控制</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标准的，应满足GB16297的要求，特征污染物排放</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控制</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应满足环境影响评价要求。</w:t>
                  </w:r>
                </w:p>
              </w:tc>
              <w:tc>
                <w:tcPr>
                  <w:tcW w:w="1648" w:type="pct"/>
                  <w:tcBorders>
                    <w:tl2br w:val="nil"/>
                    <w:tr2bl w:val="nil"/>
                  </w:tcBorders>
                  <w:noWrap w:val="0"/>
                  <w:vAlign w:val="center"/>
                </w:tcPr>
                <w:p w14:paraId="2D7E6F7E">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本项目破碎、投料、水泥仓产生的粉尘通过布袋除尘处理达标排放。</w:t>
                  </w:r>
                </w:p>
              </w:tc>
              <w:tc>
                <w:tcPr>
                  <w:tcW w:w="292" w:type="pct"/>
                  <w:tcBorders>
                    <w:tl2br w:val="nil"/>
                    <w:tr2bl w:val="nil"/>
                  </w:tcBorders>
                  <w:noWrap w:val="0"/>
                  <w:vAlign w:val="center"/>
                </w:tcPr>
                <w:p w14:paraId="6E1D570E">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相符</w:t>
                  </w:r>
                </w:p>
              </w:tc>
            </w:tr>
            <w:tr w14:paraId="6F274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11BDE92E">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xml:space="preserve">5.1.6 </w:t>
                  </w:r>
                </w:p>
              </w:tc>
              <w:tc>
                <w:tcPr>
                  <w:tcW w:w="2552" w:type="pct"/>
                  <w:tcBorders>
                    <w:tl2br w:val="nil"/>
                    <w:tr2bl w:val="nil"/>
                  </w:tcBorders>
                  <w:noWrap w:val="0"/>
                  <w:vAlign w:val="center"/>
                </w:tcPr>
                <w:p w14:paraId="0A0CF89D">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应采取必要的措施防止恶臭物质扩散，周界恶臭污染物浓度应符合GB14554的要求。</w:t>
                  </w:r>
                </w:p>
              </w:tc>
              <w:tc>
                <w:tcPr>
                  <w:tcW w:w="1648" w:type="pct"/>
                  <w:tcBorders>
                    <w:tl2br w:val="nil"/>
                    <w:tr2bl w:val="nil"/>
                  </w:tcBorders>
                  <w:noWrap w:val="0"/>
                  <w:vAlign w:val="center"/>
                </w:tcPr>
                <w:p w14:paraId="2E70BEA4">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本项目不涉及</w:t>
                  </w:r>
                </w:p>
              </w:tc>
              <w:tc>
                <w:tcPr>
                  <w:tcW w:w="292" w:type="pct"/>
                  <w:tcBorders>
                    <w:tl2br w:val="nil"/>
                    <w:tr2bl w:val="nil"/>
                  </w:tcBorders>
                  <w:noWrap w:val="0"/>
                  <w:vAlign w:val="center"/>
                </w:tcPr>
                <w:p w14:paraId="216EE0C7">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相符</w:t>
                  </w:r>
                </w:p>
              </w:tc>
            </w:tr>
            <w:tr w14:paraId="6C84A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177D03E3">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xml:space="preserve">5.1.7 </w:t>
                  </w:r>
                </w:p>
              </w:tc>
              <w:tc>
                <w:tcPr>
                  <w:tcW w:w="2552" w:type="pct"/>
                  <w:tcBorders>
                    <w:tl2br w:val="nil"/>
                    <w:tr2bl w:val="nil"/>
                  </w:tcBorders>
                  <w:noWrap w:val="0"/>
                  <w:vAlign w:val="center"/>
                </w:tcPr>
                <w:p w14:paraId="0231DF1C">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产生的冷凝液、浓缩液、渗滤液等废液应进行有效收集后集中处理。处理后产生的废水应优先考虑循环利用</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排放时应满足特定行业排放</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控制</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标准的要求</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没有特定行业污染排放</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控制</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标准的，应满足GB8978的要求，特征污染物排放</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控制</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应满足环境影响评价要求。</w:t>
                  </w:r>
                </w:p>
              </w:tc>
              <w:tc>
                <w:tcPr>
                  <w:tcW w:w="1648" w:type="pct"/>
                  <w:tcBorders>
                    <w:tl2br w:val="nil"/>
                    <w:tr2bl w:val="nil"/>
                  </w:tcBorders>
                  <w:noWrap w:val="0"/>
                  <w:vAlign w:val="center"/>
                </w:tcPr>
                <w:p w14:paraId="5C75091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本项目</w:t>
                  </w:r>
                  <w:r>
                    <w:rPr>
                      <w:rFonts w:hint="eastAsia" w:cs="Times New Roman"/>
                      <w:color w:val="auto"/>
                      <w:sz w:val="21"/>
                      <w:szCs w:val="21"/>
                      <w:lang w:val="en-US" w:eastAsia="zh-CN"/>
                    </w:rPr>
                    <w:t>生活污水经过化粪池处理后排入污水处理厂。</w:t>
                  </w:r>
                </w:p>
              </w:tc>
              <w:tc>
                <w:tcPr>
                  <w:tcW w:w="292" w:type="pct"/>
                  <w:tcBorders>
                    <w:tl2br w:val="nil"/>
                    <w:tr2bl w:val="nil"/>
                  </w:tcBorders>
                  <w:noWrap w:val="0"/>
                  <w:vAlign w:val="center"/>
                </w:tcPr>
                <w:p w14:paraId="1DA0B78B">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相符</w:t>
                  </w:r>
                </w:p>
              </w:tc>
            </w:tr>
            <w:tr w14:paraId="3FE71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1E9F9E19">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5.1.8</w:t>
                  </w:r>
                </w:p>
              </w:tc>
              <w:tc>
                <w:tcPr>
                  <w:tcW w:w="2552" w:type="pct"/>
                  <w:tcBorders>
                    <w:tl2br w:val="nil"/>
                    <w:tr2bl w:val="nil"/>
                  </w:tcBorders>
                  <w:noWrap w:val="0"/>
                  <w:vAlign w:val="center"/>
                </w:tcPr>
                <w:p w14:paraId="2479CDAC">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应防止噪声污染。设备运转时厂界噪声应符合GB12348的要求，作业车间噪声应符合GBZ 2.2的要求。</w:t>
                  </w:r>
                </w:p>
              </w:tc>
              <w:tc>
                <w:tcPr>
                  <w:tcW w:w="1648" w:type="pct"/>
                  <w:tcBorders>
                    <w:tl2br w:val="nil"/>
                    <w:tr2bl w:val="nil"/>
                  </w:tcBorders>
                  <w:noWrap w:val="0"/>
                  <w:vAlign w:val="center"/>
                </w:tcPr>
                <w:p w14:paraId="5CA39893">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本项目满足要求</w:t>
                  </w:r>
                </w:p>
              </w:tc>
              <w:tc>
                <w:tcPr>
                  <w:tcW w:w="292" w:type="pct"/>
                  <w:tcBorders>
                    <w:tl2br w:val="nil"/>
                    <w:tr2bl w:val="nil"/>
                  </w:tcBorders>
                  <w:noWrap w:val="0"/>
                  <w:vAlign w:val="center"/>
                </w:tcPr>
                <w:p w14:paraId="04C0F428">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相符</w:t>
                  </w:r>
                </w:p>
              </w:tc>
            </w:tr>
            <w:tr w14:paraId="73BBA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210D6009">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5.1.9</w:t>
                  </w:r>
                </w:p>
              </w:tc>
              <w:tc>
                <w:tcPr>
                  <w:tcW w:w="2552" w:type="pct"/>
                  <w:tcBorders>
                    <w:tl2br w:val="nil"/>
                    <w:tr2bl w:val="nil"/>
                  </w:tcBorders>
                  <w:noWrap w:val="0"/>
                  <w:vAlign w:val="center"/>
                </w:tcPr>
                <w:p w14:paraId="74D288BC">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产生的污泥、底渣、废油类等固体废物应按照其管理属性分别处置。不能自行综合利用或处置的，应交给有相应资质和处理能力的企业进行综合利用或处置。</w:t>
                  </w:r>
                </w:p>
              </w:tc>
              <w:tc>
                <w:tcPr>
                  <w:tcW w:w="1648" w:type="pct"/>
                  <w:tcBorders>
                    <w:tl2br w:val="nil"/>
                    <w:tr2bl w:val="nil"/>
                  </w:tcBorders>
                  <w:noWrap w:val="0"/>
                  <w:vAlign w:val="center"/>
                </w:tcPr>
                <w:p w14:paraId="0A1016D4">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本项目不涉及</w:t>
                  </w:r>
                </w:p>
              </w:tc>
              <w:tc>
                <w:tcPr>
                  <w:tcW w:w="292" w:type="pct"/>
                  <w:tcBorders>
                    <w:tl2br w:val="nil"/>
                    <w:tr2bl w:val="nil"/>
                  </w:tcBorders>
                  <w:noWrap w:val="0"/>
                  <w:vAlign w:val="center"/>
                </w:tcPr>
                <w:p w14:paraId="7A769F19">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相符</w:t>
                  </w:r>
                </w:p>
              </w:tc>
            </w:tr>
            <w:tr w14:paraId="2CCF5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12CA5074">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xml:space="preserve">5.1.10 </w:t>
                  </w:r>
                </w:p>
              </w:tc>
              <w:tc>
                <w:tcPr>
                  <w:tcW w:w="2552" w:type="pct"/>
                  <w:tcBorders>
                    <w:tl2br w:val="nil"/>
                    <w:tr2bl w:val="nil"/>
                  </w:tcBorders>
                  <w:noWrap w:val="0"/>
                  <w:vAlign w:val="center"/>
                </w:tcPr>
                <w:p w14:paraId="2AD26C05">
                  <w:pPr>
                    <w:pStyle w:val="74"/>
                    <w:keepNext w:val="0"/>
                    <w:keepLines w:val="0"/>
                    <w:suppressLineNumbers w:val="0"/>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危险废物的贮存、包装、处置等应符合GB18597、HJ2042等危险废物专用标准的要求。</w:t>
                  </w:r>
                </w:p>
              </w:tc>
              <w:tc>
                <w:tcPr>
                  <w:tcW w:w="1648" w:type="pct"/>
                  <w:tcBorders>
                    <w:tl2br w:val="nil"/>
                    <w:tr2bl w:val="nil"/>
                  </w:tcBorders>
                  <w:noWrap w:val="0"/>
                  <w:vAlign w:val="center"/>
                </w:tcPr>
                <w:p w14:paraId="5EEFA19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本项目满足要求</w:t>
                  </w:r>
                </w:p>
              </w:tc>
              <w:tc>
                <w:tcPr>
                  <w:tcW w:w="292" w:type="pct"/>
                  <w:tcBorders>
                    <w:tl2br w:val="nil"/>
                    <w:tr2bl w:val="nil"/>
                  </w:tcBorders>
                  <w:noWrap w:val="0"/>
                  <w:vAlign w:val="center"/>
                </w:tcPr>
                <w:p w14:paraId="0C4B7C81">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相符</w:t>
                  </w:r>
                </w:p>
              </w:tc>
            </w:tr>
            <w:tr w14:paraId="209DB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21DA7505">
                  <w:pPr>
                    <w:pStyle w:val="74"/>
                    <w:keepNext w:val="0"/>
                    <w:keepLines w:val="0"/>
                    <w:suppressLineNumbers w:val="0"/>
                    <w:tabs>
                      <w:tab w:val="left" w:pos="757"/>
                    </w:tabs>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5.4</w:t>
                  </w:r>
                </w:p>
              </w:tc>
              <w:tc>
                <w:tcPr>
                  <w:tcW w:w="2552" w:type="pct"/>
                  <w:tcBorders>
                    <w:tl2br w:val="nil"/>
                    <w:tr2bl w:val="nil"/>
                  </w:tcBorders>
                  <w:noWrap w:val="0"/>
                  <w:vAlign w:val="center"/>
                </w:tcPr>
                <w:p w14:paraId="6D9DF3BE">
                  <w:pPr>
                    <w:pStyle w:val="74"/>
                    <w:keepNext w:val="0"/>
                    <w:keepLines w:val="0"/>
                    <w:suppressLineNumbers w:val="0"/>
                    <w:tabs>
                      <w:tab w:val="left" w:pos="757"/>
                    </w:tabs>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ab/>
                  </w:r>
                  <w:r>
                    <w:rPr>
                      <w:rFonts w:hint="default" w:ascii="Times New Roman" w:hAnsi="Times New Roman" w:cs="Times New Roman"/>
                      <w:color w:val="auto"/>
                      <w:sz w:val="21"/>
                      <w:szCs w:val="21"/>
                      <w:lang w:eastAsia="zh-CN"/>
                    </w:rPr>
                    <w:t>破碎技术要求</w:t>
                  </w:r>
                </w:p>
              </w:tc>
              <w:tc>
                <w:tcPr>
                  <w:tcW w:w="1648" w:type="pct"/>
                  <w:tcBorders>
                    <w:tl2br w:val="nil"/>
                    <w:tr2bl w:val="nil"/>
                  </w:tcBorders>
                  <w:noWrap w:val="0"/>
                  <w:vAlign w:val="center"/>
                </w:tcPr>
                <w:p w14:paraId="1D1D4B2D">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本项目</w:t>
                  </w:r>
                </w:p>
              </w:tc>
              <w:tc>
                <w:tcPr>
                  <w:tcW w:w="292" w:type="pct"/>
                  <w:tcBorders>
                    <w:tl2br w:val="nil"/>
                    <w:tr2bl w:val="nil"/>
                  </w:tcBorders>
                  <w:noWrap w:val="0"/>
                  <w:vAlign w:val="center"/>
                </w:tcPr>
                <w:p w14:paraId="3203BF58">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符合性</w:t>
                  </w:r>
                </w:p>
              </w:tc>
            </w:tr>
            <w:tr w14:paraId="64733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43836302">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eastAsia="zh-CN"/>
                    </w:rPr>
                    <w:t>5.4.</w:t>
                  </w:r>
                  <w:r>
                    <w:rPr>
                      <w:rFonts w:hint="eastAsia" w:ascii="Times New Roman" w:hAnsi="Times New Roman" w:cs="Times New Roman"/>
                      <w:color w:val="auto"/>
                      <w:sz w:val="21"/>
                      <w:szCs w:val="21"/>
                      <w:lang w:val="en-US" w:eastAsia="zh-CN"/>
                    </w:rPr>
                    <w:t>1</w:t>
                  </w:r>
                </w:p>
              </w:tc>
              <w:tc>
                <w:tcPr>
                  <w:tcW w:w="2552" w:type="pct"/>
                  <w:tcBorders>
                    <w:tl2br w:val="nil"/>
                    <w:tr2bl w:val="nil"/>
                  </w:tcBorders>
                  <w:noWrap w:val="0"/>
                  <w:vAlign w:val="center"/>
                </w:tcPr>
                <w:p w14:paraId="6ED3A604">
                  <w:pPr>
                    <w:pStyle w:val="74"/>
                    <w:keepNext w:val="0"/>
                    <w:keepLines w:val="0"/>
                    <w:suppressLineNumbers w:val="0"/>
                    <w:tabs>
                      <w:tab w:val="left" w:pos="757"/>
                    </w:tabs>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易燃易爆或易释放挥发性毒性物质的固体废物</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不应直接进行破碎处理。为防止爆燃，内部含有液体的固体废物</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如废铅酸蓄电池、废溶剂桶等</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在破碎处理前，应采用有效措施将液体清空，再进行破碎处理。含有不相容成分的固体废物不应进行混合破碎处理。</w:t>
                  </w:r>
                </w:p>
              </w:tc>
              <w:tc>
                <w:tcPr>
                  <w:tcW w:w="1648" w:type="pct"/>
                  <w:tcBorders>
                    <w:tl2br w:val="nil"/>
                    <w:tr2bl w:val="nil"/>
                  </w:tcBorders>
                  <w:noWrap w:val="0"/>
                  <w:vAlign w:val="center"/>
                </w:tcPr>
                <w:p w14:paraId="38FAAD05">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不涉及</w:t>
                  </w:r>
                </w:p>
              </w:tc>
              <w:tc>
                <w:tcPr>
                  <w:tcW w:w="292" w:type="pct"/>
                  <w:tcBorders>
                    <w:tl2br w:val="nil"/>
                    <w:tr2bl w:val="nil"/>
                  </w:tcBorders>
                  <w:noWrap w:val="0"/>
                  <w:vAlign w:val="center"/>
                </w:tcPr>
                <w:p w14:paraId="2CB85CFC">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相符</w:t>
                  </w:r>
                </w:p>
              </w:tc>
            </w:tr>
            <w:tr w14:paraId="6BEF0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0DB8DFEF">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eastAsia="zh-CN"/>
                    </w:rPr>
                    <w:t>5.4.</w:t>
                  </w:r>
                  <w:r>
                    <w:rPr>
                      <w:rFonts w:hint="eastAsia" w:ascii="Times New Roman" w:hAnsi="Times New Roman" w:cs="Times New Roman"/>
                      <w:color w:val="auto"/>
                      <w:sz w:val="21"/>
                      <w:szCs w:val="21"/>
                      <w:lang w:val="en-US" w:eastAsia="zh-CN"/>
                    </w:rPr>
                    <w:t>2</w:t>
                  </w:r>
                </w:p>
              </w:tc>
              <w:tc>
                <w:tcPr>
                  <w:tcW w:w="2552" w:type="pct"/>
                  <w:tcBorders>
                    <w:tl2br w:val="nil"/>
                    <w:tr2bl w:val="nil"/>
                  </w:tcBorders>
                  <w:noWrap w:val="0"/>
                  <w:vAlign w:val="center"/>
                </w:tcPr>
                <w:p w14:paraId="1AAB116A">
                  <w:pPr>
                    <w:pStyle w:val="74"/>
                    <w:keepNext w:val="0"/>
                    <w:keepLines w:val="0"/>
                    <w:suppressLineNumbers w:val="0"/>
                    <w:tabs>
                      <w:tab w:val="left" w:pos="757"/>
                    </w:tabs>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废塑料、废橡胶等固体废物的破碎宜采用干法破碎</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铬渣、硼泥等固体废物的破碎宜采用湿法破碎。</w:t>
                  </w:r>
                </w:p>
              </w:tc>
              <w:tc>
                <w:tcPr>
                  <w:tcW w:w="1648" w:type="pct"/>
                  <w:tcBorders>
                    <w:tl2br w:val="nil"/>
                    <w:tr2bl w:val="nil"/>
                  </w:tcBorders>
                  <w:noWrap w:val="0"/>
                  <w:vAlign w:val="center"/>
                </w:tcPr>
                <w:p w14:paraId="1D674CF0">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不涉及</w:t>
                  </w:r>
                </w:p>
              </w:tc>
              <w:tc>
                <w:tcPr>
                  <w:tcW w:w="292" w:type="pct"/>
                  <w:tcBorders>
                    <w:tl2br w:val="nil"/>
                    <w:tr2bl w:val="nil"/>
                  </w:tcBorders>
                  <w:noWrap w:val="0"/>
                  <w:vAlign w:val="center"/>
                </w:tcPr>
                <w:p w14:paraId="77BCBCDA">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相符</w:t>
                  </w:r>
                </w:p>
              </w:tc>
            </w:tr>
            <w:tr w14:paraId="17BDC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244993A8">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eastAsia="zh-CN"/>
                    </w:rPr>
                    <w:t>5.4.</w:t>
                  </w:r>
                  <w:r>
                    <w:rPr>
                      <w:rFonts w:hint="eastAsia" w:ascii="Times New Roman" w:hAnsi="Times New Roman" w:cs="Times New Roman"/>
                      <w:color w:val="auto"/>
                      <w:sz w:val="21"/>
                      <w:szCs w:val="21"/>
                      <w:lang w:val="en-US" w:eastAsia="zh-CN"/>
                    </w:rPr>
                    <w:t>3</w:t>
                  </w:r>
                </w:p>
              </w:tc>
              <w:tc>
                <w:tcPr>
                  <w:tcW w:w="2552" w:type="pct"/>
                  <w:tcBorders>
                    <w:tl2br w:val="nil"/>
                    <w:tr2bl w:val="nil"/>
                  </w:tcBorders>
                  <w:noWrap w:val="0"/>
                  <w:vAlign w:val="center"/>
                </w:tcPr>
                <w:p w14:paraId="6B83CB6A">
                  <w:pPr>
                    <w:pStyle w:val="74"/>
                    <w:keepNext w:val="0"/>
                    <w:keepLines w:val="0"/>
                    <w:suppressLineNumbers w:val="0"/>
                    <w:tabs>
                      <w:tab w:val="left" w:pos="757"/>
                    </w:tabs>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固体废物破碎处理前应对其进行预处理，以保证给料的均匀性，防止非破碎物混入，引起破碎机械的过载损坏。</w:t>
                  </w:r>
                </w:p>
              </w:tc>
              <w:tc>
                <w:tcPr>
                  <w:tcW w:w="1648" w:type="pct"/>
                  <w:tcBorders>
                    <w:tl2br w:val="nil"/>
                    <w:tr2bl w:val="nil"/>
                  </w:tcBorders>
                  <w:noWrap w:val="0"/>
                  <w:vAlign w:val="center"/>
                </w:tcPr>
                <w:p w14:paraId="3206D465">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在进入破碎机之前，先对其进行分拣，分拣出非破碎物</w:t>
                  </w:r>
                </w:p>
              </w:tc>
              <w:tc>
                <w:tcPr>
                  <w:tcW w:w="292" w:type="pct"/>
                  <w:tcBorders>
                    <w:tl2br w:val="nil"/>
                    <w:tr2bl w:val="nil"/>
                  </w:tcBorders>
                  <w:noWrap w:val="0"/>
                  <w:vAlign w:val="center"/>
                </w:tcPr>
                <w:p w14:paraId="57544F86">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相符</w:t>
                  </w:r>
                </w:p>
              </w:tc>
            </w:tr>
            <w:tr w14:paraId="3CF17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7" w:type="pct"/>
                  <w:tcBorders>
                    <w:tl2br w:val="nil"/>
                    <w:tr2bl w:val="nil"/>
                  </w:tcBorders>
                  <w:noWrap w:val="0"/>
                  <w:vAlign w:val="center"/>
                </w:tcPr>
                <w:p w14:paraId="6BDF99C8">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5.4.</w:t>
                  </w:r>
                  <w:r>
                    <w:rPr>
                      <w:rFonts w:hint="eastAsia" w:ascii="Times New Roman" w:hAnsi="Times New Roman" w:cs="Times New Roman"/>
                      <w:color w:val="auto"/>
                      <w:sz w:val="21"/>
                      <w:szCs w:val="21"/>
                      <w:lang w:val="en-US" w:eastAsia="zh-CN"/>
                    </w:rPr>
                    <w:t>4</w:t>
                  </w:r>
                  <w:r>
                    <w:rPr>
                      <w:rFonts w:hint="default" w:ascii="Times New Roman" w:hAnsi="Times New Roman" w:cs="Times New Roman"/>
                      <w:color w:val="auto"/>
                      <w:sz w:val="21"/>
                      <w:szCs w:val="21"/>
                      <w:lang w:eastAsia="zh-CN"/>
                    </w:rPr>
                    <w:t xml:space="preserve"> </w:t>
                  </w:r>
                </w:p>
              </w:tc>
              <w:tc>
                <w:tcPr>
                  <w:tcW w:w="2552" w:type="pct"/>
                  <w:tcBorders>
                    <w:tl2br w:val="nil"/>
                    <w:tr2bl w:val="nil"/>
                  </w:tcBorders>
                  <w:noWrap w:val="0"/>
                  <w:vAlign w:val="center"/>
                </w:tcPr>
                <w:p w14:paraId="54B44BA3">
                  <w:pPr>
                    <w:pStyle w:val="74"/>
                    <w:keepNext w:val="0"/>
                    <w:keepLines w:val="0"/>
                    <w:suppressLineNumbers w:val="0"/>
                    <w:tabs>
                      <w:tab w:val="left" w:pos="757"/>
                    </w:tabs>
                    <w:adjustRightInd w:val="0"/>
                    <w:snapToGrid w:val="0"/>
                    <w:spacing w:before="0" w:beforeAutospacing="0" w:after="0" w:afterAutospacing="0" w:line="240" w:lineRule="auto"/>
                    <w:ind w:left="0" w:right="0" w:firstLine="0" w:firstLineChars="0"/>
                    <w:jc w:val="both"/>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固体废物粉磨过程应严格控制粉尘的颗粒度、挥发性和火源等，防止发生粉尘爆炸。</w:t>
                  </w:r>
                </w:p>
              </w:tc>
              <w:tc>
                <w:tcPr>
                  <w:tcW w:w="1648" w:type="pct"/>
                  <w:tcBorders>
                    <w:tl2br w:val="nil"/>
                    <w:tr2bl w:val="nil"/>
                  </w:tcBorders>
                  <w:noWrap w:val="0"/>
                  <w:vAlign w:val="center"/>
                </w:tcPr>
                <w:p w14:paraId="1955BB35">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本项目</w:t>
                  </w:r>
                  <w:r>
                    <w:rPr>
                      <w:rFonts w:hint="eastAsia" w:cs="Times New Roman"/>
                      <w:color w:val="auto"/>
                      <w:sz w:val="21"/>
                      <w:szCs w:val="21"/>
                      <w:lang w:val="en-US" w:eastAsia="zh-CN"/>
                    </w:rPr>
                    <w:t>固体</w:t>
                  </w:r>
                  <w:r>
                    <w:rPr>
                      <w:rFonts w:hint="eastAsia" w:ascii="Times New Roman" w:hAnsi="Times New Roman" w:cs="Times New Roman"/>
                      <w:color w:val="auto"/>
                      <w:sz w:val="21"/>
                      <w:szCs w:val="21"/>
                      <w:lang w:val="en-US" w:eastAsia="zh-CN"/>
                    </w:rPr>
                    <w:t>废物粉磨过程已严格控制粉尘的颗粒度，颗粒度按要求排放</w:t>
                  </w:r>
                </w:p>
              </w:tc>
              <w:tc>
                <w:tcPr>
                  <w:tcW w:w="292" w:type="pct"/>
                  <w:tcBorders>
                    <w:tl2br w:val="nil"/>
                    <w:tr2bl w:val="nil"/>
                  </w:tcBorders>
                  <w:noWrap w:val="0"/>
                  <w:vAlign w:val="center"/>
                </w:tcPr>
                <w:p w14:paraId="1C583532">
                  <w:pPr>
                    <w:pStyle w:val="7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项目</w:t>
                  </w:r>
                </w:p>
              </w:tc>
            </w:tr>
          </w:tbl>
          <w:p w14:paraId="2B1BD149">
            <w:pPr>
              <w:keepNext w:val="0"/>
              <w:keepLines w:val="0"/>
              <w:numPr>
                <w:ilvl w:val="0"/>
                <w:numId w:val="7"/>
              </w:numPr>
              <w:suppressLineNumbers w:val="0"/>
              <w:bidi w:val="0"/>
              <w:spacing w:before="0" w:beforeAutospacing="0" w:after="0" w:afterAutospacing="0"/>
              <w:ind w:left="0" w:leftChars="0" w:right="0" w:firstLine="480" w:firstLineChars="0"/>
              <w:rPr>
                <w:rFonts w:hint="default" w:ascii="Times New Roman" w:hAnsi="Times New Roman" w:cs="Times New Roman"/>
                <w:color w:val="auto"/>
                <w:lang w:val="en-US" w:eastAsia="zh-CN"/>
              </w:rPr>
            </w:pPr>
            <w:r>
              <w:rPr>
                <w:rFonts w:hint="default" w:ascii="Times New Roman" w:hAnsi="Times New Roman" w:eastAsia="宋体" w:cs="Times New Roman"/>
                <w:color w:val="auto"/>
                <w:lang w:val="en-US" w:eastAsia="zh-CN"/>
              </w:rPr>
              <w:t>与</w:t>
            </w:r>
            <w:r>
              <w:rPr>
                <w:rFonts w:hint="default" w:ascii="Times New Roman" w:hAnsi="Times New Roman" w:cs="Times New Roman"/>
                <w:color w:val="auto"/>
                <w:lang w:val="en-US" w:eastAsia="zh-CN"/>
              </w:rPr>
              <w:t>《中华人民共和国固体废物污染环境防治法》</w:t>
            </w:r>
            <w:r>
              <w:rPr>
                <w:rFonts w:hint="eastAsia" w:cs="Times New Roman"/>
                <w:color w:val="auto"/>
                <w:lang w:val="en-US" w:eastAsia="zh-CN"/>
              </w:rPr>
              <w:t>相符性分析</w:t>
            </w:r>
          </w:p>
          <w:p w14:paraId="7585F508">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default"/>
                <w:color w:val="auto"/>
                <w:lang w:val="en-US" w:eastAsia="zh-CN"/>
              </w:rPr>
            </w:pPr>
            <w:r>
              <w:rPr>
                <w:rFonts w:hint="default"/>
                <w:color w:val="auto"/>
                <w:lang w:val="en-US" w:eastAsia="zh-CN"/>
              </w:rPr>
              <w:t>《中华人民共和国固体废物污染环境防治法》</w:t>
            </w:r>
            <w:r>
              <w:rPr>
                <w:rFonts w:hint="eastAsia"/>
                <w:color w:val="auto"/>
                <w:lang w:val="en-US" w:eastAsia="zh-CN"/>
              </w:rPr>
              <w:t>相符性分析</w:t>
            </w:r>
          </w:p>
          <w:tbl>
            <w:tblPr>
              <w:tblStyle w:val="2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6"/>
              <w:gridCol w:w="4644"/>
              <w:gridCol w:w="2362"/>
              <w:gridCol w:w="832"/>
            </w:tblGrid>
            <w:tr w14:paraId="05C58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 w:type="pct"/>
                  <w:noWrap w:val="0"/>
                  <w:vAlign w:val="center"/>
                </w:tcPr>
                <w:p w14:paraId="01537FE4">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标号</w:t>
                  </w:r>
                </w:p>
              </w:tc>
              <w:tc>
                <w:tcPr>
                  <w:tcW w:w="2713" w:type="pct"/>
                  <w:noWrap w:val="0"/>
                  <w:vAlign w:val="center"/>
                </w:tcPr>
                <w:p w14:paraId="5F833A58">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要求</w:t>
                  </w:r>
                </w:p>
              </w:tc>
              <w:tc>
                <w:tcPr>
                  <w:tcW w:w="1380" w:type="pct"/>
                  <w:noWrap w:val="0"/>
                  <w:vAlign w:val="center"/>
                </w:tcPr>
                <w:p w14:paraId="632E1D90">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rPr>
                    <w:t>本项目</w:t>
                  </w:r>
                </w:p>
              </w:tc>
              <w:tc>
                <w:tcPr>
                  <w:tcW w:w="486" w:type="pct"/>
                  <w:noWrap w:val="0"/>
                  <w:vAlign w:val="center"/>
                </w:tcPr>
                <w:p w14:paraId="0D767324">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rPr>
                    <w:t>符合性</w:t>
                  </w:r>
                </w:p>
              </w:tc>
            </w:tr>
            <w:tr w14:paraId="5C872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 w:type="pct"/>
                  <w:noWrap w:val="0"/>
                  <w:vAlign w:val="center"/>
                </w:tcPr>
                <w:p w14:paraId="72156751">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第四条</w:t>
                  </w:r>
                </w:p>
              </w:tc>
              <w:tc>
                <w:tcPr>
                  <w:tcW w:w="2713" w:type="pct"/>
                  <w:noWrap w:val="0"/>
                  <w:vAlign w:val="center"/>
                </w:tcPr>
                <w:p w14:paraId="7EC086CF">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固体废物污染环境防治坚持减量化、资源化和无害化的原则。任何单位和个人都应当采取措施，减少固体废物的产生量，促进固体废物的综合利用，降低固体废物的危害性。</w:t>
                  </w:r>
                </w:p>
              </w:tc>
              <w:tc>
                <w:tcPr>
                  <w:tcW w:w="1380" w:type="pct"/>
                  <w:noWrap w:val="0"/>
                  <w:vAlign w:val="center"/>
                </w:tcPr>
                <w:p w14:paraId="60E84722">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w:t>
                  </w:r>
                  <w:r>
                    <w:rPr>
                      <w:rFonts w:hint="eastAsia" w:ascii="Times New Roman" w:hAnsi="Times New Roman" w:cs="Times New Roman"/>
                      <w:color w:val="auto"/>
                      <w:lang w:val="en-US" w:eastAsia="zh-CN"/>
                    </w:rPr>
                    <w:t>原料为建筑废料等，加工后用于生产免烧砖（环保砖）与再生道路复合稳定料</w:t>
                  </w:r>
                  <w:r>
                    <w:rPr>
                      <w:rFonts w:hint="default" w:ascii="Times New Roman" w:hAnsi="Times New Roman" w:cs="Times New Roman"/>
                      <w:color w:val="auto"/>
                      <w:lang w:eastAsia="zh-CN"/>
                    </w:rPr>
                    <w:t>。</w:t>
                  </w:r>
                </w:p>
              </w:tc>
              <w:tc>
                <w:tcPr>
                  <w:tcW w:w="486" w:type="pct"/>
                  <w:noWrap w:val="0"/>
                  <w:vAlign w:val="center"/>
                </w:tcPr>
                <w:p w14:paraId="6348C818">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1E4E2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 w:type="pct"/>
                  <w:noWrap w:val="0"/>
                  <w:vAlign w:val="center"/>
                </w:tcPr>
                <w:p w14:paraId="2039EAC0">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rPr>
                    <w:t>第十七条</w:t>
                  </w:r>
                </w:p>
              </w:tc>
              <w:tc>
                <w:tcPr>
                  <w:tcW w:w="2713" w:type="pct"/>
                  <w:noWrap w:val="0"/>
                  <w:vAlign w:val="center"/>
                </w:tcPr>
                <w:p w14:paraId="3F734E19">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rPr>
                    <w:t>建设产生、贮存、利用、处置固体废物的项目，应当依法进行环境影响评价，并遵守国家有关建设项目环境保护管理的规定。</w:t>
                  </w:r>
                </w:p>
              </w:tc>
              <w:tc>
                <w:tcPr>
                  <w:tcW w:w="1380" w:type="pct"/>
                  <w:noWrap w:val="0"/>
                  <w:vAlign w:val="center"/>
                </w:tcPr>
                <w:p w14:paraId="4BFC8A47">
                  <w:pPr>
                    <w:pStyle w:val="56"/>
                    <w:keepNext w:val="0"/>
                    <w:keepLines w:val="0"/>
                    <w:suppressLineNumbers w:val="0"/>
                    <w:bidi w:val="0"/>
                    <w:spacing w:before="0" w:beforeAutospacing="0" w:after="0" w:afterAutospacing="0"/>
                    <w:ind w:left="0" w:right="0"/>
                    <w:jc w:val="center"/>
                    <w:rPr>
                      <w:rFonts w:hint="eastAsia" w:ascii="Times New Roman" w:hAnsi="Times New Roman" w:eastAsia="宋体" w:cs="Times New Roman"/>
                      <w:color w:val="auto"/>
                      <w:lang w:val="en-US" w:eastAsia="zh-CN"/>
                    </w:rPr>
                  </w:pPr>
                  <w:r>
                    <w:rPr>
                      <w:rFonts w:hint="default" w:ascii="Times New Roman" w:hAnsi="Times New Roman" w:cs="Times New Roman"/>
                      <w:color w:val="auto"/>
                      <w:lang w:val="en-US" w:eastAsia="zh-CN"/>
                    </w:rPr>
                    <w:t>符合</w:t>
                  </w:r>
                  <w:r>
                    <w:rPr>
                      <w:rFonts w:hint="default" w:ascii="Times New Roman" w:hAnsi="Times New Roman" w:cs="Times New Roman"/>
                      <w:color w:val="auto"/>
                    </w:rPr>
                    <w:t>《固体废物再生利用污染防治技术导则》（HJ1091-2020）</w:t>
                  </w:r>
                  <w:r>
                    <w:rPr>
                      <w:rFonts w:hint="eastAsia" w:cs="Times New Roman"/>
                      <w:color w:val="auto"/>
                      <w:lang w:eastAsia="zh-CN"/>
                    </w:rPr>
                    <w:t>。</w:t>
                  </w:r>
                </w:p>
              </w:tc>
              <w:tc>
                <w:tcPr>
                  <w:tcW w:w="486" w:type="pct"/>
                  <w:noWrap w:val="0"/>
                  <w:vAlign w:val="center"/>
                </w:tcPr>
                <w:p w14:paraId="71378048">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符合</w:t>
                  </w:r>
                </w:p>
              </w:tc>
            </w:tr>
            <w:tr w14:paraId="64AAD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8" w:type="pct"/>
                  <w:noWrap w:val="0"/>
                  <w:vAlign w:val="center"/>
                </w:tcPr>
                <w:p w14:paraId="7A24A17E">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rPr>
                    <w:t>第十八条</w:t>
                  </w:r>
                </w:p>
              </w:tc>
              <w:tc>
                <w:tcPr>
                  <w:tcW w:w="2713" w:type="pct"/>
                  <w:noWrap w:val="0"/>
                  <w:vAlign w:val="center"/>
                </w:tcPr>
                <w:p w14:paraId="1D73C76B">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建设项目的环境影响评价文件确定需要配套建设的固体废物污染环境防治设施，应当与主体工程同时设计、同时施工、同时投入使用。建设项目的初步设计，应当按照环境保护设计规范的要求，将固体废物污染环境防治内容纳入环境影响评价文件，落实防治固体废物污染环境和破坏生态的措施以及固体废物污染环境防治设施投资概算。</w:t>
                  </w:r>
                </w:p>
              </w:tc>
              <w:tc>
                <w:tcPr>
                  <w:tcW w:w="1380" w:type="pct"/>
                  <w:noWrap w:val="0"/>
                  <w:vAlign w:val="center"/>
                </w:tcPr>
                <w:p w14:paraId="5E64FA50">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本项目满足要求</w:t>
                  </w:r>
                  <w:r>
                    <w:rPr>
                      <w:rFonts w:hint="eastAsia" w:cs="Times New Roman"/>
                      <w:color w:val="auto"/>
                      <w:lang w:val="en-US" w:eastAsia="zh-CN"/>
                    </w:rPr>
                    <w:t>。</w:t>
                  </w:r>
                </w:p>
              </w:tc>
              <w:tc>
                <w:tcPr>
                  <w:tcW w:w="486" w:type="pct"/>
                  <w:noWrap w:val="0"/>
                  <w:vAlign w:val="center"/>
                </w:tcPr>
                <w:p w14:paraId="4D2EEACA">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符合</w:t>
                  </w:r>
                </w:p>
              </w:tc>
            </w:tr>
            <w:tr w14:paraId="26CE0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 w:type="pct"/>
                  <w:noWrap w:val="0"/>
                  <w:vAlign w:val="center"/>
                </w:tcPr>
                <w:p w14:paraId="02D519F7">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rPr>
                    <w:t>第十九条</w:t>
                  </w:r>
                </w:p>
              </w:tc>
              <w:tc>
                <w:tcPr>
                  <w:tcW w:w="2713" w:type="pct"/>
                  <w:noWrap w:val="0"/>
                  <w:vAlign w:val="center"/>
                </w:tcPr>
                <w:p w14:paraId="0575973E">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收集、贮存、运输、利用、处置固体废物的单位和其他生产经营者，应当加强对相关设施、设备和场所的管理和维护，保证其正常运行和使用。建设单位应当依照有关法律法规的规定，对配套建设的固体废物污染环境防治设施进行验收，编制验收报告，并向社会公开。</w:t>
                  </w:r>
                </w:p>
              </w:tc>
              <w:tc>
                <w:tcPr>
                  <w:tcW w:w="1380" w:type="pct"/>
                  <w:noWrap w:val="0"/>
                  <w:vAlign w:val="center"/>
                </w:tcPr>
                <w:p w14:paraId="299EEAE2">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本项目满足要求</w:t>
                  </w:r>
                  <w:r>
                    <w:rPr>
                      <w:rFonts w:hint="eastAsia" w:cs="Times New Roman"/>
                      <w:color w:val="auto"/>
                      <w:lang w:val="en-US" w:eastAsia="zh-CN"/>
                    </w:rPr>
                    <w:t>。</w:t>
                  </w:r>
                </w:p>
              </w:tc>
              <w:tc>
                <w:tcPr>
                  <w:tcW w:w="486" w:type="pct"/>
                  <w:noWrap w:val="0"/>
                  <w:vAlign w:val="center"/>
                </w:tcPr>
                <w:p w14:paraId="5D7319F0">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符合</w:t>
                  </w:r>
                </w:p>
              </w:tc>
            </w:tr>
            <w:tr w14:paraId="0120A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 w:type="pct"/>
                  <w:noWrap w:val="0"/>
                  <w:vAlign w:val="center"/>
                </w:tcPr>
                <w:p w14:paraId="7BEB8F95">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rPr>
                    <w:t>第二十一条</w:t>
                  </w:r>
                </w:p>
              </w:tc>
              <w:tc>
                <w:tcPr>
                  <w:tcW w:w="2713" w:type="pct"/>
                  <w:noWrap w:val="0"/>
                  <w:vAlign w:val="center"/>
                </w:tcPr>
                <w:p w14:paraId="0BFD7699">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在生态保护红线区域、永久基本农田集中区域和其他需要特别保护的区域内，禁止建设工业固体废物、危险废物集中贮存、利用、处置的设施、场所和生活垃圾填埋场。</w:t>
                  </w:r>
                </w:p>
              </w:tc>
              <w:tc>
                <w:tcPr>
                  <w:tcW w:w="1380" w:type="pct"/>
                  <w:noWrap w:val="0"/>
                  <w:vAlign w:val="center"/>
                </w:tcPr>
                <w:p w14:paraId="7A95331B">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本项目不涉及</w:t>
                  </w:r>
                  <w:r>
                    <w:rPr>
                      <w:rFonts w:hint="eastAsia" w:cs="Times New Roman"/>
                      <w:color w:val="auto"/>
                      <w:lang w:val="en-US" w:eastAsia="zh-CN"/>
                    </w:rPr>
                    <w:t>。</w:t>
                  </w:r>
                </w:p>
              </w:tc>
              <w:tc>
                <w:tcPr>
                  <w:tcW w:w="486" w:type="pct"/>
                  <w:noWrap w:val="0"/>
                  <w:vAlign w:val="center"/>
                </w:tcPr>
                <w:p w14:paraId="653F674A">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符合</w:t>
                  </w:r>
                </w:p>
              </w:tc>
            </w:tr>
          </w:tbl>
          <w:p w14:paraId="0A7DA25E">
            <w:pPr>
              <w:keepNext w:val="0"/>
              <w:keepLines w:val="0"/>
              <w:numPr>
                <w:ilvl w:val="0"/>
                <w:numId w:val="7"/>
              </w:numPr>
              <w:suppressLineNumbers w:val="0"/>
              <w:bidi w:val="0"/>
              <w:spacing w:before="0" w:beforeAutospacing="0" w:after="0" w:afterAutospacing="0"/>
              <w:ind w:left="0" w:leftChars="0" w:right="0" w:firstLine="480" w:firstLineChars="0"/>
              <w:rPr>
                <w:rFonts w:hint="eastAsia"/>
                <w:color w:val="auto"/>
                <w:lang w:val="en-US" w:eastAsia="zh-CN"/>
              </w:rPr>
            </w:pPr>
            <w:r>
              <w:rPr>
                <w:rFonts w:hint="eastAsia"/>
                <w:color w:val="auto"/>
                <w:lang w:val="en-US" w:eastAsia="zh-CN"/>
              </w:rPr>
              <w:t>与《关于做好发挥监测预警作用、防范我市锂电产业环境风险相关工作的通知》（宜环委办字〔2022〕113号）相符性分析</w:t>
            </w:r>
          </w:p>
          <w:p w14:paraId="40A580D1">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default"/>
                <w:b/>
                <w:bCs/>
                <w:color w:val="auto"/>
                <w:vertAlign w:val="baseline"/>
                <w:lang w:val="en-US" w:eastAsia="zh-CN"/>
              </w:rPr>
            </w:pPr>
            <w:r>
              <w:rPr>
                <w:rFonts w:hint="eastAsia"/>
                <w:b/>
                <w:bCs/>
                <w:color w:val="auto"/>
                <w:lang w:val="en-US" w:eastAsia="zh-CN"/>
              </w:rPr>
              <w:t>与（宜环委办字〔2022〕113号）相符性分析</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4114"/>
              <w:gridCol w:w="2983"/>
              <w:gridCol w:w="515"/>
            </w:tblGrid>
            <w:tr w14:paraId="3E627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426A1CBA">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类别</w:t>
                  </w:r>
                </w:p>
              </w:tc>
              <w:tc>
                <w:tcPr>
                  <w:tcW w:w="0" w:type="auto"/>
                  <w:vAlign w:val="center"/>
                </w:tcPr>
                <w:p w14:paraId="7C356751">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要求</w:t>
                  </w:r>
                </w:p>
              </w:tc>
              <w:tc>
                <w:tcPr>
                  <w:tcW w:w="0" w:type="auto"/>
                  <w:vAlign w:val="center"/>
                </w:tcPr>
                <w:p w14:paraId="11A4D9E7">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本项目</w:t>
                  </w:r>
                </w:p>
              </w:tc>
              <w:tc>
                <w:tcPr>
                  <w:tcW w:w="0" w:type="auto"/>
                  <w:vAlign w:val="center"/>
                </w:tcPr>
                <w:p w14:paraId="603B615A">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相符性分析</w:t>
                  </w:r>
                </w:p>
              </w:tc>
            </w:tr>
            <w:tr w14:paraId="0CEA3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497B3191">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一、提升监测断面自动监测预警能力</w:t>
                  </w:r>
                </w:p>
              </w:tc>
              <w:tc>
                <w:tcPr>
                  <w:tcW w:w="0" w:type="auto"/>
                  <w:vAlign w:val="center"/>
                </w:tcPr>
                <w:p w14:paraId="7546493D">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各地应在全市锂电行业企业（包括但不限于锂云母浮选企业碳酸锂生产企业、锂电池制造企业和陶瓷窑炉改焙烧锂渣企业等，以下简称涉锂企业）污水处理设施排放口（含污水处理厂总排口）下游的主要市控自动监测站点加装特征污染物（氟化物和铊）在线监测设备。在线设备与市、县两级水质自动监测管理平台联网，自动监测数据传输应满足有关技术要求。</w:t>
                  </w:r>
                </w:p>
              </w:tc>
              <w:tc>
                <w:tcPr>
                  <w:tcW w:w="0" w:type="auto"/>
                  <w:vAlign w:val="center"/>
                </w:tcPr>
                <w:p w14:paraId="68C7DCD6">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项目生产废水不外排，生活污水经化粪池处理后排入园区污水处理厂进一步处理后排放，评价要求企业在雨水排放口安装在线监测装置（氟化物、铊）。</w:t>
                  </w:r>
                </w:p>
              </w:tc>
              <w:tc>
                <w:tcPr>
                  <w:tcW w:w="0" w:type="auto"/>
                  <w:vAlign w:val="center"/>
                </w:tcPr>
                <w:p w14:paraId="17E6DD0F">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相符</w:t>
                  </w:r>
                </w:p>
              </w:tc>
            </w:tr>
            <w:tr w14:paraId="02BAF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restart"/>
                  <w:vAlign w:val="center"/>
                </w:tcPr>
                <w:p w14:paraId="2F80A193">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二、督促企业落实自行监测主体责任</w:t>
                  </w:r>
                </w:p>
              </w:tc>
              <w:tc>
                <w:tcPr>
                  <w:tcW w:w="0" w:type="auto"/>
                  <w:vAlign w:val="center"/>
                </w:tcPr>
                <w:p w14:paraId="40E5E849">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（一）涉锂企业在废水污染防治设施排口和厂区雨水排口安装特征污染物（氟化物和铊）在线监测设备。在线设备应与市。县两级污染源监控系统平台联网，自动监测数据传输应满足有关技术要求。</w:t>
                  </w:r>
                </w:p>
              </w:tc>
              <w:tc>
                <w:tcPr>
                  <w:tcW w:w="0" w:type="auto"/>
                  <w:vAlign w:val="center"/>
                </w:tcPr>
                <w:p w14:paraId="3B9DDDAB">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项目生产废水不外排，生活污水经化粪池处理后排入园区污水处理厂进一步处理后排放，评价要求企业在雨水排放口安装在线监测装置（氟化物、铊）。</w:t>
                  </w:r>
                </w:p>
              </w:tc>
              <w:tc>
                <w:tcPr>
                  <w:tcW w:w="0" w:type="auto"/>
                  <w:vAlign w:val="center"/>
                </w:tcPr>
                <w:p w14:paraId="3B07255F">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40CD9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vMerge w:val="continue"/>
                  <w:vAlign w:val="center"/>
                </w:tcPr>
                <w:p w14:paraId="72558147">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p>
              </w:tc>
              <w:tc>
                <w:tcPr>
                  <w:tcW w:w="0" w:type="auto"/>
                  <w:vAlign w:val="center"/>
                </w:tcPr>
                <w:p w14:paraId="5BDA1B57">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（二）督促涉锂企业加密开展自行监</w:t>
                  </w:r>
                  <w:r>
                    <w:rPr>
                      <w:rFonts w:hint="eastAsia" w:cs="Times New Roman"/>
                      <w:color w:val="auto"/>
                      <w:lang w:val="en-US" w:eastAsia="zh-CN"/>
                    </w:rPr>
                    <w:t>测</w:t>
                  </w:r>
                  <w:r>
                    <w:rPr>
                      <w:rFonts w:hint="default" w:ascii="Times New Roman" w:hAnsi="Times New Roman" w:cs="Times New Roman"/>
                      <w:color w:val="auto"/>
                      <w:lang w:val="en-US" w:eastAsia="zh-CN"/>
                    </w:rPr>
                    <w:t>，原则上各废气、废水治理设施和雨水排口（有流动水的情况下）的特征污染物（氟化物和铊）自行监测频次不少于每月1次，监测结果及时报送属地生态环境管理部门。</w:t>
                  </w:r>
                </w:p>
              </w:tc>
              <w:tc>
                <w:tcPr>
                  <w:tcW w:w="0" w:type="auto"/>
                  <w:vAlign w:val="center"/>
                </w:tcPr>
                <w:p w14:paraId="68D2F75C">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评价要求企业在雨水排放口安装在线监测装置（氟化物、铊）。</w:t>
                  </w:r>
                </w:p>
              </w:tc>
              <w:tc>
                <w:tcPr>
                  <w:tcW w:w="0" w:type="auto"/>
                  <w:vAlign w:val="center"/>
                </w:tcPr>
                <w:p w14:paraId="372D16F5">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2ED08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14:paraId="0DD325A9">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p>
              </w:tc>
              <w:tc>
                <w:tcPr>
                  <w:tcW w:w="0" w:type="auto"/>
                  <w:vAlign w:val="center"/>
                </w:tcPr>
                <w:p w14:paraId="5B935942">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三）督促涉锂企业的工业园区污水处理厂进水口、总排口和园区雨水总排口加装特征污染物（氟化物和铊）在线监测设备。在线设备与市、县两级污染源监控系统平台联网，自动监测数据传输应满足有关技术要求。</w:t>
                  </w:r>
                </w:p>
              </w:tc>
              <w:tc>
                <w:tcPr>
                  <w:tcW w:w="0" w:type="auto"/>
                  <w:vAlign w:val="center"/>
                </w:tcPr>
                <w:p w14:paraId="486BE703">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项目位于高安市建筑陶瓷产业园，园区污水处理厂进水口、总排口和园区雨水总排口己加装特征污染物（氟化物和铊）在线监测设备。在线设备与市、县两级污染源监控系统平台联网，自动监测数据传输应满足有关技术要求。</w:t>
                  </w:r>
                </w:p>
              </w:tc>
              <w:tc>
                <w:tcPr>
                  <w:tcW w:w="0" w:type="auto"/>
                  <w:vAlign w:val="center"/>
                </w:tcPr>
                <w:p w14:paraId="29433142">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bl>
          <w:p w14:paraId="44D751B2">
            <w:pPr>
              <w:pStyle w:val="74"/>
              <w:keepNext w:val="0"/>
              <w:keepLines w:val="0"/>
              <w:suppressLineNumbers w:val="0"/>
              <w:spacing w:before="0" w:beforeAutospacing="0" w:after="0" w:afterAutospacing="0"/>
              <w:ind w:left="0" w:leftChars="0" w:right="0" w:firstLine="480" w:firstLineChars="200"/>
              <w:rPr>
                <w:rFonts w:hint="default"/>
                <w:color w:val="auto"/>
                <w:lang w:val="en-US" w:eastAsia="zh-CN"/>
              </w:rPr>
            </w:pPr>
            <w:r>
              <w:rPr>
                <w:rFonts w:hint="default"/>
                <w:color w:val="auto"/>
                <w:lang w:val="en-US" w:eastAsia="zh-CN"/>
              </w:rPr>
              <w:t>由上表可知，本项目与《关于做好发挥监测预警作用、防范我市锂电产业环境风险相关工作的通知》（宜环委办字</w:t>
            </w:r>
            <w:r>
              <w:rPr>
                <w:rFonts w:hint="eastAsia"/>
                <w:color w:val="auto"/>
                <w:lang w:val="en-US" w:eastAsia="zh-CN"/>
              </w:rPr>
              <w:t>〔2022〕113号</w:t>
            </w:r>
            <w:r>
              <w:rPr>
                <w:rFonts w:hint="default"/>
                <w:color w:val="auto"/>
                <w:lang w:val="en-US" w:eastAsia="zh-CN"/>
              </w:rPr>
              <w:t>）相符。</w:t>
            </w:r>
          </w:p>
          <w:p w14:paraId="7EBE5DB1">
            <w:pPr>
              <w:keepNext w:val="0"/>
              <w:keepLines w:val="0"/>
              <w:numPr>
                <w:ilvl w:val="0"/>
                <w:numId w:val="7"/>
              </w:numPr>
              <w:suppressLineNumbers w:val="0"/>
              <w:bidi w:val="0"/>
              <w:spacing w:before="0" w:beforeAutospacing="0" w:after="0" w:afterAutospacing="0"/>
              <w:ind w:left="0" w:leftChars="0" w:right="0" w:firstLine="480" w:firstLineChars="0"/>
              <w:rPr>
                <w:rFonts w:hint="eastAsia"/>
                <w:color w:val="auto"/>
                <w:lang w:val="en-US" w:eastAsia="zh-CN"/>
              </w:rPr>
            </w:pPr>
            <w:r>
              <w:rPr>
                <w:rFonts w:hint="eastAsia"/>
                <w:color w:val="auto"/>
                <w:lang w:val="en-US" w:eastAsia="zh-CN"/>
              </w:rPr>
              <w:t>与《关于以生态环境高水平保护助推锂电新能源等产业绿色高质量发展的二十条措施》的通知（宜党发〔2023〕2号）相符性分析</w:t>
            </w:r>
          </w:p>
          <w:p w14:paraId="530A5445">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eastAsia" w:ascii="Times New Roman" w:hAnsi="Times New Roman" w:eastAsia="宋体" w:cs="Times New Roman"/>
                <w:b/>
                <w:bCs/>
                <w:color w:val="auto"/>
                <w:kern w:val="2"/>
                <w:sz w:val="21"/>
                <w:szCs w:val="20"/>
                <w:lang w:val="en-US" w:eastAsia="zh-CN" w:bidi="ar-SA"/>
              </w:rPr>
            </w:pPr>
            <w:r>
              <w:rPr>
                <w:rFonts w:hint="eastAsia" w:ascii="Times New Roman" w:hAnsi="Times New Roman" w:eastAsia="宋体" w:cs="Times New Roman"/>
                <w:b/>
                <w:bCs/>
                <w:color w:val="auto"/>
                <w:kern w:val="2"/>
                <w:sz w:val="21"/>
                <w:szCs w:val="20"/>
                <w:lang w:val="en-US" w:eastAsia="zh-CN" w:bidi="ar-SA"/>
              </w:rPr>
              <w:t>项目与（宜党发〔2023〕2号）</w:t>
            </w:r>
            <w:r>
              <w:rPr>
                <w:rFonts w:hint="eastAsia" w:cs="Times New Roman"/>
                <w:b/>
                <w:bCs/>
                <w:color w:val="auto"/>
                <w:kern w:val="2"/>
                <w:sz w:val="21"/>
                <w:szCs w:val="20"/>
                <w:lang w:val="en-US" w:eastAsia="zh-CN" w:bidi="ar-SA"/>
              </w:rPr>
              <w:t>相符性分析</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0"/>
              <w:gridCol w:w="4452"/>
              <w:gridCol w:w="2912"/>
              <w:gridCol w:w="534"/>
            </w:tblGrid>
            <w:tr w14:paraId="24971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trPr>
              <w:tc>
                <w:tcPr>
                  <w:tcW w:w="520" w:type="dxa"/>
                  <w:vAlign w:val="center"/>
                </w:tcPr>
                <w:p w14:paraId="6669658F">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序号</w:t>
                  </w:r>
                </w:p>
              </w:tc>
              <w:tc>
                <w:tcPr>
                  <w:tcW w:w="4452" w:type="dxa"/>
                  <w:vAlign w:val="center"/>
                </w:tcPr>
                <w:p w14:paraId="0FD1349C">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要求</w:t>
                  </w:r>
                </w:p>
              </w:tc>
              <w:tc>
                <w:tcPr>
                  <w:tcW w:w="2912" w:type="dxa"/>
                  <w:vAlign w:val="center"/>
                </w:tcPr>
                <w:p w14:paraId="044023F8">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项目情况</w:t>
                  </w:r>
                </w:p>
              </w:tc>
              <w:tc>
                <w:tcPr>
                  <w:tcW w:w="534" w:type="dxa"/>
                  <w:vAlign w:val="center"/>
                </w:tcPr>
                <w:p w14:paraId="0B6334DC">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相符性分析</w:t>
                  </w:r>
                </w:p>
              </w:tc>
            </w:tr>
            <w:tr w14:paraId="556C9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0" w:hRule="atLeast"/>
              </w:trPr>
              <w:tc>
                <w:tcPr>
                  <w:tcW w:w="520" w:type="dxa"/>
                  <w:vAlign w:val="center"/>
                </w:tcPr>
                <w:p w14:paraId="40284FFD">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cs="Times New Roman"/>
                      <w:color w:val="auto"/>
                      <w:lang w:val="en-US" w:eastAsia="zh-CN"/>
                    </w:rPr>
                  </w:pPr>
                  <w:r>
                    <w:rPr>
                      <w:rFonts w:hint="eastAsia" w:cs="Times New Roman"/>
                      <w:color w:val="auto"/>
                      <w:lang w:val="en-US" w:eastAsia="zh-CN"/>
                    </w:rPr>
                    <w:t>1</w:t>
                  </w:r>
                </w:p>
              </w:tc>
              <w:tc>
                <w:tcPr>
                  <w:tcW w:w="4452" w:type="dxa"/>
                  <w:vAlign w:val="center"/>
                </w:tcPr>
                <w:p w14:paraId="78BB910C">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优化空间布局。认真落实长江经济带“共抓大保护、不搞大开发”要求，严格落实《产业结构调整指导目录（2019年）》《江西省长江经济带发展负面清单实施细则（试行）》。新建锂云母选矿项目原则上布局在宜丰县、奉新县、袁州区等锂资源所在地，新建锂盐项目布局在产业基础条件好的县市区，新建碳酸锂项目规模不得小于5000吨/年，碳酸锂及中间产品项目生产按照化工项目管理要求，不须进入化工园区但原则上应进入省政府认定的工业园区；铅酸蓄电池产业布局集中在宜丰县、上高县，保持现有产能，其他县市区不再引进新铅酸蓄电池项目。（责任单位：市发改委、市工信局、市生态环境局，各县市区政府）</w:t>
                  </w:r>
                </w:p>
              </w:tc>
              <w:tc>
                <w:tcPr>
                  <w:tcW w:w="2912" w:type="dxa"/>
                  <w:vAlign w:val="center"/>
                </w:tcPr>
                <w:p w14:paraId="0C112D84">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本项目满足《产业结构调整指导目录》和</w:t>
                  </w:r>
                  <w:r>
                    <w:rPr>
                      <w:rFonts w:hint="eastAsia" w:cs="Times New Roman"/>
                      <w:color w:val="auto"/>
                      <w:lang w:val="en-US" w:eastAsia="zh-CN"/>
                    </w:rPr>
                    <w:t>《</w:t>
                  </w:r>
                  <w:r>
                    <w:rPr>
                      <w:rFonts w:hint="eastAsia" w:ascii="Times New Roman" w:hAnsi="Times New Roman" w:cs="Times New Roman"/>
                      <w:color w:val="auto"/>
                      <w:lang w:val="en-US" w:eastAsia="zh-CN"/>
                    </w:rPr>
                    <w:t>江西省长江经济带发展负面清单实施细则（试行）》要求。本项目属于“第一类鼓励类”中“四十二、环境保护与资源节约综合利用8，</w:t>
                  </w:r>
                  <w:r>
                    <w:rPr>
                      <w:rFonts w:hint="eastAsia" w:cs="Times New Roman"/>
                      <w:color w:val="auto"/>
                      <w:lang w:val="en-US" w:eastAsia="zh-CN"/>
                    </w:rPr>
                    <w:t>项目</w:t>
                  </w:r>
                  <w:r>
                    <w:rPr>
                      <w:rFonts w:hint="eastAsia" w:ascii="Times New Roman" w:hAnsi="Times New Roman" w:cs="Times New Roman"/>
                      <w:color w:val="auto"/>
                      <w:lang w:val="en-US" w:eastAsia="zh-CN"/>
                    </w:rPr>
                    <w:t>不属于碳酸锂生产型企业。</w:t>
                  </w:r>
                </w:p>
              </w:tc>
              <w:tc>
                <w:tcPr>
                  <w:tcW w:w="534" w:type="dxa"/>
                  <w:vAlign w:val="center"/>
                </w:tcPr>
                <w:p w14:paraId="6F756E87">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1D824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2" w:hRule="atLeast"/>
              </w:trPr>
              <w:tc>
                <w:tcPr>
                  <w:tcW w:w="520" w:type="dxa"/>
                  <w:vAlign w:val="center"/>
                </w:tcPr>
                <w:p w14:paraId="721C6335">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eastAsia" w:cs="Times New Roman"/>
                      <w:color w:val="auto"/>
                      <w:lang w:val="en-US" w:eastAsia="zh-CN"/>
                    </w:rPr>
                    <w:t>2</w:t>
                  </w:r>
                </w:p>
              </w:tc>
              <w:tc>
                <w:tcPr>
                  <w:tcW w:w="4452" w:type="dxa"/>
                  <w:vAlign w:val="center"/>
                </w:tcPr>
                <w:p w14:paraId="56D91387">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延链强链补链。积极发展产业链中后端领域，支持动力电池项目建设，做大做强锂电池生产环节。瞄准扩大锂电下游应用领域，加快引进知名新能源汽车生产企业以及“三电”等关键零部件配套企业，推动锂电产业链延伸和价值链提升。（责任单位：市工信局、市发改委、市商务局，各县市区政府）</w:t>
                  </w:r>
                </w:p>
              </w:tc>
              <w:tc>
                <w:tcPr>
                  <w:tcW w:w="2912" w:type="dxa"/>
                  <w:vAlign w:val="center"/>
                </w:tcPr>
                <w:p w14:paraId="1F0965BC">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本项目是对锂渣的综合利用，</w:t>
                  </w:r>
                  <w:r>
                    <w:rPr>
                      <w:rFonts w:hint="eastAsia" w:cs="Times New Roman"/>
                      <w:color w:val="auto"/>
                      <w:lang w:val="en-US" w:eastAsia="zh-CN"/>
                    </w:rPr>
                    <w:t>有利于锂渣的处置</w:t>
                  </w:r>
                  <w:r>
                    <w:rPr>
                      <w:rFonts w:hint="eastAsia" w:ascii="Times New Roman" w:hAnsi="Times New Roman" w:cs="Times New Roman"/>
                      <w:color w:val="auto"/>
                      <w:lang w:val="en-US" w:eastAsia="zh-CN"/>
                    </w:rPr>
                    <w:t>。</w:t>
                  </w:r>
                </w:p>
              </w:tc>
              <w:tc>
                <w:tcPr>
                  <w:tcW w:w="534" w:type="dxa"/>
                  <w:vAlign w:val="center"/>
                </w:tcPr>
                <w:p w14:paraId="79D30C05">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42C49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7" w:hRule="atLeast"/>
              </w:trPr>
              <w:tc>
                <w:tcPr>
                  <w:tcW w:w="520" w:type="dxa"/>
                  <w:vAlign w:val="center"/>
                </w:tcPr>
                <w:p w14:paraId="741F07B9">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eastAsia" w:cs="Times New Roman"/>
                      <w:color w:val="auto"/>
                      <w:lang w:val="en-US" w:eastAsia="zh-CN"/>
                    </w:rPr>
                    <w:t>3</w:t>
                  </w:r>
                </w:p>
              </w:tc>
              <w:tc>
                <w:tcPr>
                  <w:tcW w:w="4452" w:type="dxa"/>
                  <w:vAlign w:val="center"/>
                </w:tcPr>
                <w:p w14:paraId="0B42909A">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从严环境准入。严格执行《建设项目环境影响评价分类管理名录》要求，将以锂云母、锂辉石、锂渣等为原料进行焙烧生产碳酸锂及其他中间产品等项目划定为无机化工行业，编制环境影响评价报告书，污染物排放执行《无机化学工业污染物排放标准》（GB31573-2015）。碳酸锂及中间产品生产必须有合法合规的原料来源，如涉及危险废物、五类重金属、高氟等工业固废不得作为原料，严禁非法随意添加环评批复外的原辅材料。（责任单位：市生态环境局，各县市区政府）</w:t>
                  </w:r>
                </w:p>
              </w:tc>
              <w:tc>
                <w:tcPr>
                  <w:tcW w:w="2912" w:type="dxa"/>
                  <w:vAlign w:val="center"/>
                </w:tcPr>
                <w:p w14:paraId="6DAEE8F1">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本项目是对锂渣的综合利用，使用的每批次锂渣进行固废属性鉴定（包含铊、氟化物在内的成分分析和放射性分析），并满足环评提出的要求。</w:t>
                  </w:r>
                </w:p>
              </w:tc>
              <w:tc>
                <w:tcPr>
                  <w:tcW w:w="534" w:type="dxa"/>
                  <w:vAlign w:val="center"/>
                </w:tcPr>
                <w:p w14:paraId="5FD0E130">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1F964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6" w:hRule="atLeast"/>
              </w:trPr>
              <w:tc>
                <w:tcPr>
                  <w:tcW w:w="520" w:type="dxa"/>
                  <w:vAlign w:val="center"/>
                </w:tcPr>
                <w:p w14:paraId="28906529">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eastAsia" w:cs="Times New Roman"/>
                      <w:color w:val="auto"/>
                      <w:lang w:val="en-US" w:eastAsia="zh-CN"/>
                    </w:rPr>
                    <w:t>4</w:t>
                  </w:r>
                </w:p>
              </w:tc>
              <w:tc>
                <w:tcPr>
                  <w:tcW w:w="4452" w:type="dxa"/>
                  <w:vAlign w:val="center"/>
                </w:tcPr>
                <w:p w14:paraId="748D825C">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加快能源绿色转型。加快推进宜丰县、袁州区、万载县、靖安县、铜鼓县和高安市6个省级以上工业园区循环化改造。鼓励具备条件的煤电机组开展灵活性改造，谋划推进全市热点联产项目建设，加强电煤有效供应与煤炭清洁高效利用。加快推进全市电网、燃气管网建设，打造与全市产业发展相适应的智能化电力、燃气输送网络，加快电力、天然气替代。大力推进光伏发电，鼓励锂电企业配套建设储能设施，不断提升可再生能源消纳能力。（责任单位：市发改委、市工信局、市财政局，各县市区政府）</w:t>
                  </w:r>
                </w:p>
              </w:tc>
              <w:tc>
                <w:tcPr>
                  <w:tcW w:w="2912" w:type="dxa"/>
                  <w:vAlign w:val="center"/>
                </w:tcPr>
                <w:p w14:paraId="301C2CCF">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项目位于高安市建筑陶瓷产业园内，园区已配套市政电网等。</w:t>
                  </w:r>
                </w:p>
              </w:tc>
              <w:tc>
                <w:tcPr>
                  <w:tcW w:w="534" w:type="dxa"/>
                  <w:vAlign w:val="center"/>
                </w:tcPr>
                <w:p w14:paraId="302B6FEC">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70D47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6" w:hRule="atLeast"/>
              </w:trPr>
              <w:tc>
                <w:tcPr>
                  <w:tcW w:w="520" w:type="dxa"/>
                  <w:vAlign w:val="center"/>
                </w:tcPr>
                <w:p w14:paraId="37604CB5">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eastAsia" w:cs="Times New Roman"/>
                      <w:color w:val="auto"/>
                      <w:lang w:val="en-US" w:eastAsia="zh-CN"/>
                    </w:rPr>
                    <w:t>5</w:t>
                  </w:r>
                </w:p>
              </w:tc>
              <w:tc>
                <w:tcPr>
                  <w:tcW w:w="4452" w:type="dxa"/>
                  <w:vAlign w:val="center"/>
                </w:tcPr>
                <w:p w14:paraId="6ED3A430">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强化能耗强度硬性约束。认真落实《宜春市加强高耗能高排放项目准入管理若干措施》，对高耗能高排放项目全面推行清单管理、分类处置、动态监控。新建高耗能高排放项目严格落实产能、煤耗、能耗、碳排放、污染物排放等区域等量削减要求；对存量项目积极有序开展节能降碳技术改造，加快淘汰落后产能。（责任单位：市发改委、市工信局、市生态环境局，各县市区政府）</w:t>
                  </w:r>
                </w:p>
              </w:tc>
              <w:tc>
                <w:tcPr>
                  <w:tcW w:w="2912" w:type="dxa"/>
                  <w:vAlign w:val="center"/>
                </w:tcPr>
                <w:p w14:paraId="7CA999BB">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项目是对锂渣的综合利用，根据《江西省“两高”项目管理目录》（2023年版），本项目可不纳入“两高”项目管理。</w:t>
                  </w:r>
                </w:p>
              </w:tc>
              <w:tc>
                <w:tcPr>
                  <w:tcW w:w="534" w:type="dxa"/>
                  <w:vAlign w:val="center"/>
                </w:tcPr>
                <w:p w14:paraId="04AFDF3B">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78136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7" w:hRule="atLeast"/>
              </w:trPr>
              <w:tc>
                <w:tcPr>
                  <w:tcW w:w="520" w:type="dxa"/>
                  <w:vAlign w:val="center"/>
                </w:tcPr>
                <w:p w14:paraId="6D366CE4">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eastAsia" w:cs="Times New Roman"/>
                      <w:color w:val="auto"/>
                      <w:lang w:val="en-US" w:eastAsia="zh-CN"/>
                    </w:rPr>
                    <w:t>6</w:t>
                  </w:r>
                </w:p>
              </w:tc>
              <w:tc>
                <w:tcPr>
                  <w:tcW w:w="4452" w:type="dxa"/>
                  <w:vAlign w:val="center"/>
                </w:tcPr>
                <w:p w14:paraId="5B1BEE6E">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严格开展节能审查。按照《固定资产投资项目节能审查办法》和《江西省工业固定资产投资（技改）项目节能评估和审查办法》，加强固定资产投资项目节能管理。围绕锂电新能源、铅酸蓄电池等重点行业，开展节能审查未批先建情况自查，按照建成、在建、拟建、未批先建四种情形，形成四张清单，对未按规定进行节能审查，或节能审查未通过，擅自开工建设或擅自投入生产、使用的固定资产投资项目，由节能审查机关依法依规进行处理。（责任单位：市发改委、市工信局，各县市区政府）</w:t>
                  </w:r>
                </w:p>
              </w:tc>
              <w:tc>
                <w:tcPr>
                  <w:tcW w:w="2912" w:type="dxa"/>
                  <w:vAlign w:val="center"/>
                </w:tcPr>
                <w:p w14:paraId="42DFA0D1">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项目按要求开展节能审查。</w:t>
                  </w:r>
                </w:p>
              </w:tc>
              <w:tc>
                <w:tcPr>
                  <w:tcW w:w="534" w:type="dxa"/>
                  <w:vAlign w:val="center"/>
                </w:tcPr>
                <w:p w14:paraId="570B56F9">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332FD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5" w:hRule="atLeast"/>
              </w:trPr>
              <w:tc>
                <w:tcPr>
                  <w:tcW w:w="520" w:type="dxa"/>
                  <w:vAlign w:val="center"/>
                </w:tcPr>
                <w:p w14:paraId="766ACBC2">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eastAsia" w:cs="Times New Roman"/>
                      <w:color w:val="auto"/>
                      <w:lang w:val="en-US" w:eastAsia="zh-CN"/>
                    </w:rPr>
                    <w:t>7</w:t>
                  </w:r>
                </w:p>
              </w:tc>
              <w:tc>
                <w:tcPr>
                  <w:tcW w:w="4452" w:type="dxa"/>
                  <w:vAlign w:val="center"/>
                </w:tcPr>
                <w:p w14:paraId="7839B71F">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强化科技研发。通过“揭榜挂帅”等方式激发创新潜能，鼓励锂电、铅酸蓄电池企业开展科技研发和技术攻关，将含锂瓷土矿绿色开采、锂云母选矿、锂渣消纳处置、废旧锂电池回收利用等技术等纳入全市科技计划，给予重点支持，尤其对锂电、铅酸蓄电池行业除氟、除铊等现有技术优化升级优先支持。（责任单位：市科技局）</w:t>
                  </w:r>
                </w:p>
              </w:tc>
              <w:tc>
                <w:tcPr>
                  <w:tcW w:w="2912" w:type="dxa"/>
                  <w:vAlign w:val="center"/>
                </w:tcPr>
                <w:p w14:paraId="304D8B8E">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本项目是对锂渣的综合利用，属于锂渣消纳处置为全市科技计划，为重点支持项目。</w:t>
                  </w:r>
                </w:p>
              </w:tc>
              <w:tc>
                <w:tcPr>
                  <w:tcW w:w="534" w:type="dxa"/>
                  <w:vAlign w:val="center"/>
                </w:tcPr>
                <w:p w14:paraId="14AF8E8E">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59340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6" w:hRule="atLeast"/>
              </w:trPr>
              <w:tc>
                <w:tcPr>
                  <w:tcW w:w="520" w:type="dxa"/>
                  <w:vAlign w:val="center"/>
                </w:tcPr>
                <w:p w14:paraId="78B371D7">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8</w:t>
                  </w:r>
                </w:p>
              </w:tc>
              <w:tc>
                <w:tcPr>
                  <w:tcW w:w="4452" w:type="dxa"/>
                  <w:vAlign w:val="center"/>
                </w:tcPr>
                <w:p w14:paraId="767654B1">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实现综合利用。以全面提高长石粉、锂渣综合利用能力和水平为目标，重点在拉长产业链上下功夫，强化创新驱动，通过技术手段拓展消纳处理途径，将长石粉、锂渣转变成更多产品。在宜丰县、奉新县、万载县、高安市、袁州区（含宜春经开区）五地规范建设锂渣消纳场，探索推进锂渣公路路基筑路材料应用等锂矿资源循环利用，基本实现贮存能力、处置能力与产废情况总体匹配。（责任单位：市工信局、市科技局、市交通运输局、市公路事业发展中心，宜丰县、奉新县、万载县、高安市、袁州区政府及宜春经开区管委会）</w:t>
                  </w:r>
                </w:p>
              </w:tc>
              <w:tc>
                <w:tcPr>
                  <w:tcW w:w="2912" w:type="dxa"/>
                  <w:vAlign w:val="center"/>
                </w:tcPr>
                <w:p w14:paraId="54FE99BC">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本项目原料锂渣来源于上游锂电企业的浸出渣，如</w:t>
                  </w:r>
                  <w:r>
                    <w:rPr>
                      <w:rFonts w:hint="eastAsia" w:cs="Times New Roman"/>
                      <w:color w:val="auto"/>
                      <w:lang w:val="en-US" w:eastAsia="zh-CN"/>
                    </w:rPr>
                    <w:t>江西研硕科技研发有限公司</w:t>
                  </w:r>
                  <w:r>
                    <w:rPr>
                      <w:rFonts w:hint="eastAsia" w:ascii="Times New Roman" w:hAnsi="Times New Roman" w:cs="Times New Roman"/>
                      <w:color w:val="auto"/>
                      <w:lang w:val="en-US" w:eastAsia="zh-CN"/>
                    </w:rPr>
                    <w:t>鉴定为一般固废的浸出渣由此综合利用产生固化尾渣作为生产公路路基等的原料外售。</w:t>
                  </w:r>
                </w:p>
              </w:tc>
              <w:tc>
                <w:tcPr>
                  <w:tcW w:w="534" w:type="dxa"/>
                  <w:vAlign w:val="center"/>
                </w:tcPr>
                <w:p w14:paraId="2AFE4C3C">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76007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3" w:hRule="atLeast"/>
              </w:trPr>
              <w:tc>
                <w:tcPr>
                  <w:tcW w:w="520" w:type="dxa"/>
                  <w:vAlign w:val="center"/>
                </w:tcPr>
                <w:p w14:paraId="7D5ADE1E">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9</w:t>
                  </w:r>
                </w:p>
              </w:tc>
              <w:tc>
                <w:tcPr>
                  <w:tcW w:w="4452" w:type="dxa"/>
                  <w:vAlign w:val="center"/>
                </w:tcPr>
                <w:p w14:paraId="640BBEA2">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坚持规划引领科学布局。按照“统筹规划、合理布局、因地制宜、生态保护”原则，严守开发红线，集中设置矿权，发挥矿规龙头作用，严格落实矿山准入条件，实现小型矿山减量化，提高中大型矿山比例，全面落实矿产资源总体规划。（责任单位：市自然资源局、市生态环境局、市应急管理局、市林业局、市水利局、市农业农村局，各县市区政府）</w:t>
                  </w:r>
                </w:p>
              </w:tc>
              <w:tc>
                <w:tcPr>
                  <w:tcW w:w="2912" w:type="dxa"/>
                  <w:vAlign w:val="center"/>
                </w:tcPr>
                <w:p w14:paraId="64F200F4">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本项目不属于矿山开采项目。</w:t>
                  </w:r>
                </w:p>
              </w:tc>
              <w:tc>
                <w:tcPr>
                  <w:tcW w:w="534" w:type="dxa"/>
                  <w:vAlign w:val="center"/>
                </w:tcPr>
                <w:p w14:paraId="12346A62">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55E8D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1" w:hRule="atLeast"/>
              </w:trPr>
              <w:tc>
                <w:tcPr>
                  <w:tcW w:w="520" w:type="dxa"/>
                  <w:vAlign w:val="center"/>
                </w:tcPr>
                <w:p w14:paraId="41F759D6">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10</w:t>
                  </w:r>
                </w:p>
              </w:tc>
              <w:tc>
                <w:tcPr>
                  <w:tcW w:w="4452" w:type="dxa"/>
                  <w:vAlign w:val="center"/>
                </w:tcPr>
                <w:p w14:paraId="21FD5822">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规范矿山开发利用。督促矿山企业严格按照采矿许可证证载规模和“三合一”方案（矿产资源开发利用、地质环境恢复治理和土地复垦方案）进行规范开采。扎实推进绿色矿山建设，新建含锂瓷土矿类矿山、选矿建设项目，必须制定尾砂尾泥工业化消纳处理方案，无法消纳处理尾砂尾泥的相关建设项目必须同步规划建设尾砂库。（责任单位：市自然资源局、市生态环境局、市应急管理局、市交通运输局，各县市区政府）</w:t>
                  </w:r>
                </w:p>
              </w:tc>
              <w:tc>
                <w:tcPr>
                  <w:tcW w:w="2912" w:type="dxa"/>
                  <w:vAlign w:val="center"/>
                </w:tcPr>
                <w:p w14:paraId="7A316C0D">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b/>
                      <w:bCs/>
                      <w:color w:val="auto"/>
                      <w:lang w:val="en-US" w:eastAsia="zh-CN"/>
                    </w:rPr>
                  </w:pPr>
                  <w:r>
                    <w:rPr>
                      <w:rFonts w:hint="eastAsia" w:ascii="Times New Roman" w:hAnsi="Times New Roman" w:cs="Times New Roman"/>
                      <w:color w:val="auto"/>
                      <w:lang w:val="en-US" w:eastAsia="zh-CN"/>
                    </w:rPr>
                    <w:t>本项目不属于矿山开采项目。</w:t>
                  </w:r>
                </w:p>
              </w:tc>
              <w:tc>
                <w:tcPr>
                  <w:tcW w:w="534" w:type="dxa"/>
                  <w:vAlign w:val="center"/>
                </w:tcPr>
                <w:p w14:paraId="7475B6B1">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7F6AA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6" w:hRule="atLeast"/>
              </w:trPr>
              <w:tc>
                <w:tcPr>
                  <w:tcW w:w="520" w:type="dxa"/>
                  <w:vAlign w:val="center"/>
                </w:tcPr>
                <w:p w14:paraId="1660C3CF">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11</w:t>
                  </w:r>
                </w:p>
              </w:tc>
              <w:tc>
                <w:tcPr>
                  <w:tcW w:w="4452" w:type="dxa"/>
                  <w:vAlign w:val="center"/>
                </w:tcPr>
                <w:p w14:paraId="7D818475">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加强排土场监管。督促矿山企业做好开采时表土剥离工作，将表土层作为矿区后期复垦复绿土壤使用。排土场的选址应尽量少占土地，做好防尘管护及水土流失管护，对于已完成排土且暂不利用的排土场范围要做好复绿。（责任单位：市自然资源局、市生态环境局、市水利局，各县市区政府）</w:t>
                  </w:r>
                </w:p>
              </w:tc>
              <w:tc>
                <w:tcPr>
                  <w:tcW w:w="2912" w:type="dxa"/>
                  <w:vAlign w:val="center"/>
                </w:tcPr>
                <w:p w14:paraId="61149C52">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本项目不属于矿山开采项目。</w:t>
                  </w:r>
                </w:p>
              </w:tc>
              <w:tc>
                <w:tcPr>
                  <w:tcW w:w="534" w:type="dxa"/>
                  <w:vAlign w:val="center"/>
                </w:tcPr>
                <w:p w14:paraId="77162B28">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54AE2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5" w:hRule="atLeast"/>
              </w:trPr>
              <w:tc>
                <w:tcPr>
                  <w:tcW w:w="520" w:type="dxa"/>
                  <w:vAlign w:val="center"/>
                </w:tcPr>
                <w:p w14:paraId="5B426C62">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12</w:t>
                  </w:r>
                </w:p>
              </w:tc>
              <w:tc>
                <w:tcPr>
                  <w:tcW w:w="4452" w:type="dxa"/>
                  <w:vAlign w:val="center"/>
                </w:tcPr>
                <w:p w14:paraId="2AADCD50">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加强水环境治理。按照“清污分流、雨污分流”“雨水明沟化、污水明管化”及园区纳管企业“一企一管”要求，对园区、企业管网进行全面升级改造，加强初期雨水收集、处理和回用，科学配备初期雨水收集池和事故应急池，督促对新建的含锂瓷土矿采选、碳酸锂生产、铅酸蓄电池、冶炼等企业及相关园区污水处理厂在开展项目环境风险评估时要对铊、氟等污染因子进行分析并落实防治措施，同时对已投产的项目立即进行环评后评估，根据评估意见确定是否增设除铊除氟设施。对锂电、铅酸蓄电池、冶炼、陶瓷等行业企业的污染防治设施排口和雨水排口，以及相关工业园区污水处理厂进水口、污水总排口和雨水总排口加装氟化物、铊等特征污染物在线监控设备。（责任单位：市生态环境局、市工信局，各县市区政府）</w:t>
                  </w:r>
                </w:p>
              </w:tc>
              <w:tc>
                <w:tcPr>
                  <w:tcW w:w="2912" w:type="dxa"/>
                  <w:vAlign w:val="center"/>
                </w:tcPr>
                <w:p w14:paraId="640A2B4B">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1、项目位于江西省建筑陶瓷产业基地，已布局好雨水管网和污水管网。2、项目不属于锂电生产型企业，但本次评价要求建设单位在雨水排放口设有氟化物、铊在线监测设备，并与市、县两级在线监控管理平台联网。</w:t>
                  </w:r>
                </w:p>
              </w:tc>
              <w:tc>
                <w:tcPr>
                  <w:tcW w:w="534" w:type="dxa"/>
                  <w:vAlign w:val="center"/>
                </w:tcPr>
                <w:p w14:paraId="68AA9264">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61D96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5" w:hRule="atLeast"/>
              </w:trPr>
              <w:tc>
                <w:tcPr>
                  <w:tcW w:w="520" w:type="dxa"/>
                  <w:vAlign w:val="center"/>
                </w:tcPr>
                <w:p w14:paraId="132720E1">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13</w:t>
                  </w:r>
                </w:p>
              </w:tc>
              <w:tc>
                <w:tcPr>
                  <w:tcW w:w="4452" w:type="dxa"/>
                  <w:vAlign w:val="center"/>
                </w:tcPr>
                <w:p w14:paraId="51EBEA5B">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加强大气环境治理。督促相关企业特别是含锂瓷土矿采选、碳酸锂生产企业完善喷雾、喷淋、洒水等降尘抑尘和机扫吸尘除尘措施，高标准配备进出场车辆冲洗平台，沿线道路全面硬化，运输车辆全部篷布遮盖，严格控制碳酸锂生产企业铊等特征污染物汽化进入废气。（责任单位：市生态环境局，各县市区政府）</w:t>
                  </w:r>
                </w:p>
              </w:tc>
              <w:tc>
                <w:tcPr>
                  <w:tcW w:w="2912" w:type="dxa"/>
                  <w:vAlign w:val="center"/>
                </w:tcPr>
                <w:p w14:paraId="08274385">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1、项目运营期项目采用</w:t>
                  </w:r>
                  <w:r>
                    <w:rPr>
                      <w:rFonts w:hint="eastAsia"/>
                      <w:color w:val="auto"/>
                      <w:kern w:val="0"/>
                      <w:sz w:val="21"/>
                      <w:szCs w:val="21"/>
                    </w:rPr>
                    <w:t>螺旋输送器</w:t>
                  </w:r>
                  <w:r>
                    <w:rPr>
                      <w:rFonts w:hint="eastAsia" w:ascii="Times New Roman" w:hAnsi="Times New Roman" w:cs="Times New Roman"/>
                      <w:color w:val="auto"/>
                      <w:lang w:val="en-US" w:eastAsia="zh-CN"/>
                    </w:rPr>
                    <w:t>进行输送，物料装卸、储存、输送、破碎过程中产尘点均采取了有效抑尘措施（布袋除尘）。</w:t>
                  </w:r>
                </w:p>
                <w:p w14:paraId="26AB0E92">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2、项目运输车辆使用遮盖运输，不进行敞篷运输。</w:t>
                  </w:r>
                </w:p>
              </w:tc>
              <w:tc>
                <w:tcPr>
                  <w:tcW w:w="534" w:type="dxa"/>
                  <w:vAlign w:val="center"/>
                </w:tcPr>
                <w:p w14:paraId="7A28BC47">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32137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9" w:hRule="atLeast"/>
              </w:trPr>
              <w:tc>
                <w:tcPr>
                  <w:tcW w:w="520" w:type="dxa"/>
                  <w:vAlign w:val="center"/>
                </w:tcPr>
                <w:p w14:paraId="379D242E">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14</w:t>
                  </w:r>
                </w:p>
              </w:tc>
              <w:tc>
                <w:tcPr>
                  <w:tcW w:w="4452" w:type="dxa"/>
                  <w:vAlign w:val="center"/>
                </w:tcPr>
                <w:p w14:paraId="56485E87">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加强土壤污染防治。督促相关企业建立完善固废产生、储存、处置利用三本台账，实现工业固废可追溯、可查询闭环管理，建立健全全过程污染环境防治责任制度，按国家标准建设一般固体废物和危险废物贮存设施、场所，安全分类存放。对碳酸锂生产和锂渣坯生产等企业产生的二次提锂锂渣、废气处理循环池的污泥，组织开展危险废物属性鉴定，并根据鉴定结果实施分类管理，鉴定结果出来前，在污泥压榨、收集、储存、转运、利用、处置等环节参照危险废物管理要求进行管理。危废暂存库、污水处理池、事故池、生产车间等重点区域要严格按环评及批复要求落实防腐防渗措施，防止污染土壤和地下水。（责任单位：市生态环境局，各县市区政府）</w:t>
                  </w:r>
                </w:p>
              </w:tc>
              <w:tc>
                <w:tcPr>
                  <w:tcW w:w="2912" w:type="dxa"/>
                  <w:vAlign w:val="center"/>
                </w:tcPr>
                <w:p w14:paraId="318C57BA">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1、项目使用的原料为一般工业固废，设置了专门的储存区域。2、危废暂存库、污水处理池、事故应急池、生产车间等重点区域严格按环评及批复要求落实防腐防渗措施，防止污染土壤和地下水。</w:t>
                  </w:r>
                </w:p>
              </w:tc>
              <w:tc>
                <w:tcPr>
                  <w:tcW w:w="534" w:type="dxa"/>
                  <w:vAlign w:val="center"/>
                </w:tcPr>
                <w:p w14:paraId="258CAEE8">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2267B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20" w:type="dxa"/>
                  <w:vAlign w:val="center"/>
                </w:tcPr>
                <w:p w14:paraId="4AD60EF5">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15</w:t>
                  </w:r>
                </w:p>
              </w:tc>
              <w:tc>
                <w:tcPr>
                  <w:tcW w:w="4452" w:type="dxa"/>
                  <w:vAlign w:val="center"/>
                </w:tcPr>
                <w:p w14:paraId="34A7970E">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加强应急协调联动。完善突发生态环境事件应急联动机制，组织生态环境、应急管理、公安、消防、水利、气象等部门，在联合执法、情况通报、信息共享、处置联动、协商交流、能力建设等方面加强合作，探索开展跨区域、跨流域演练。（责任单位：市生态环境局、市应急管理局、市公安局、市消防救援支队、市水利局、市气象局，各县市区政府）</w:t>
                  </w:r>
                </w:p>
              </w:tc>
              <w:tc>
                <w:tcPr>
                  <w:tcW w:w="2912" w:type="dxa"/>
                  <w:vAlign w:val="center"/>
                </w:tcPr>
                <w:p w14:paraId="73751E0E">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本环评要求企业完善突发生态环境事件应急联动机制。</w:t>
                  </w:r>
                </w:p>
              </w:tc>
              <w:tc>
                <w:tcPr>
                  <w:tcW w:w="534" w:type="dxa"/>
                  <w:vAlign w:val="center"/>
                </w:tcPr>
                <w:p w14:paraId="2E0DDFE0">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1CCCA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6" w:hRule="atLeast"/>
              </w:trPr>
              <w:tc>
                <w:tcPr>
                  <w:tcW w:w="520" w:type="dxa"/>
                  <w:vAlign w:val="center"/>
                </w:tcPr>
                <w:p w14:paraId="40572908">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16</w:t>
                  </w:r>
                </w:p>
              </w:tc>
              <w:tc>
                <w:tcPr>
                  <w:tcW w:w="4452" w:type="dxa"/>
                  <w:vAlign w:val="center"/>
                </w:tcPr>
                <w:p w14:paraId="44F9D22E">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color w:val="auto"/>
                    </w:rPr>
                    <w:t>开展</w:t>
                  </w:r>
                  <w:r>
                    <w:rPr>
                      <w:rFonts w:hint="eastAsia"/>
                      <w:color w:val="auto"/>
                      <w:lang w:val="en-US" w:eastAsia="zh-CN"/>
                    </w:rPr>
                    <w:t>风</w:t>
                  </w:r>
                  <w:r>
                    <w:rPr>
                      <w:rFonts w:hint="eastAsia"/>
                      <w:color w:val="auto"/>
                    </w:rPr>
                    <w:t>险隐患</w:t>
                  </w:r>
                  <w:r>
                    <w:rPr>
                      <w:rFonts w:hint="eastAsia"/>
                      <w:color w:val="auto"/>
                      <w:lang w:val="en-US" w:eastAsia="zh-CN"/>
                    </w:rPr>
                    <w:t>排查</w:t>
                  </w:r>
                  <w:r>
                    <w:rPr>
                      <w:rFonts w:hint="eastAsia"/>
                      <w:color w:val="auto"/>
                    </w:rPr>
                    <w:t>。紧盯危险废物、危险化学品、尾矿库等高风险领域和重点环节开展隐患大排查，建立健全河流环境隐患日常排查制度，加强干支流断面和饮用水水源地环境监管，定期巡查监测，发现水质异常及时报告、及时处理。（责任单位：市生态环境局、市应急管理局、市水利局，各县市区政府）</w:t>
                  </w:r>
                </w:p>
              </w:tc>
              <w:tc>
                <w:tcPr>
                  <w:tcW w:w="2912" w:type="dxa"/>
                  <w:vAlign w:val="center"/>
                </w:tcPr>
                <w:p w14:paraId="62722EEB">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本项目严格按照固废管理制度执行。</w:t>
                  </w:r>
                </w:p>
              </w:tc>
              <w:tc>
                <w:tcPr>
                  <w:tcW w:w="534" w:type="dxa"/>
                  <w:vAlign w:val="center"/>
                </w:tcPr>
                <w:p w14:paraId="39D802BE">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1CA0D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1" w:hRule="atLeast"/>
              </w:trPr>
              <w:tc>
                <w:tcPr>
                  <w:tcW w:w="520" w:type="dxa"/>
                  <w:vAlign w:val="center"/>
                </w:tcPr>
                <w:p w14:paraId="5537E380">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17</w:t>
                  </w:r>
                </w:p>
              </w:tc>
              <w:tc>
                <w:tcPr>
                  <w:tcW w:w="4452" w:type="dxa"/>
                  <w:vAlign w:val="center"/>
                </w:tcPr>
                <w:p w14:paraId="3825066D">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完善应急防控体系。完善应急预案，加强风险评估，实施分类分级管控，按照“就地就近、平衡分布、突出中心、辐射周边”原则在全市范围内建设应急物资储备库，针对锂电、铅酸蓄电池等行业风险特点有的放矢做好硫化钠沉淀剂、铊因子快检设备等应急物资储备，在袁州区、上高县、高安市分片建设三个区域中心库，为有效应对突发环境事件提供保障。（责任单位：市生态环境局、市应急管理局，各县市区政府）</w:t>
                  </w:r>
                </w:p>
              </w:tc>
              <w:tc>
                <w:tcPr>
                  <w:tcW w:w="2912" w:type="dxa"/>
                  <w:vAlign w:val="center"/>
                </w:tcPr>
                <w:p w14:paraId="52081F48">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本环评要求企业完善应急预案。</w:t>
                  </w:r>
                </w:p>
              </w:tc>
              <w:tc>
                <w:tcPr>
                  <w:tcW w:w="534" w:type="dxa"/>
                  <w:vAlign w:val="center"/>
                </w:tcPr>
                <w:p w14:paraId="3929B10E">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2FB80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6" w:hRule="atLeast"/>
              </w:trPr>
              <w:tc>
                <w:tcPr>
                  <w:tcW w:w="520" w:type="dxa"/>
                  <w:vAlign w:val="center"/>
                </w:tcPr>
                <w:p w14:paraId="7680A0C9">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18</w:t>
                  </w:r>
                </w:p>
              </w:tc>
              <w:tc>
                <w:tcPr>
                  <w:tcW w:w="4452" w:type="dxa"/>
                  <w:vAlign w:val="center"/>
                </w:tcPr>
                <w:p w14:paraId="06689BDB">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严格落实属地管理责任。按“党政同责、‘一岗双责’”要求，压紧压实市、县、乡各级责任，在产业规划、空间布局、项目建设等各方面、全过程贯彻“生态优先、绿色发展”理念，坚决守住生态容量和环境质量两条底线，协同推进生态环境高水平保护和经济高质量跨越式发展。（责任单位：各县市区政府）</w:t>
                  </w:r>
                </w:p>
              </w:tc>
              <w:tc>
                <w:tcPr>
                  <w:tcW w:w="2912" w:type="dxa"/>
                  <w:vAlign w:val="center"/>
                </w:tcPr>
                <w:p w14:paraId="16CF654B">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本项目符合园区规划及准入要求，在采取环保措施的条件下，项目未突破生态容量和环境质量。</w:t>
                  </w:r>
                </w:p>
              </w:tc>
              <w:tc>
                <w:tcPr>
                  <w:tcW w:w="534" w:type="dxa"/>
                  <w:vAlign w:val="center"/>
                </w:tcPr>
                <w:p w14:paraId="1DD910B4">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1282B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trPr>
              <w:tc>
                <w:tcPr>
                  <w:tcW w:w="520" w:type="dxa"/>
                  <w:vAlign w:val="center"/>
                </w:tcPr>
                <w:p w14:paraId="1A331F8B">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19</w:t>
                  </w:r>
                </w:p>
              </w:tc>
              <w:tc>
                <w:tcPr>
                  <w:tcW w:w="4452" w:type="dxa"/>
                  <w:vAlign w:val="center"/>
                </w:tcPr>
                <w:p w14:paraId="78AED4C0">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严格落实部门监管责任。认真贯彻生态环境部和最高法、最高检、国家发展改革委等18部门联合印发《关于推动职能部门做好生态环境保护工作的意见》，统筹组织发改、工信、自然资源等部门按“三管三必须”要求履行监管职责，聚焦园区基础设施建设、尾砂尾泥锂渣综合利用、节能审</w:t>
                  </w:r>
                  <w:r>
                    <w:rPr>
                      <w:rFonts w:hint="eastAsia" w:cs="Times New Roman"/>
                      <w:color w:val="auto"/>
                      <w:lang w:val="en-US" w:eastAsia="zh-CN"/>
                    </w:rPr>
                    <w:t>查</w:t>
                  </w:r>
                  <w:r>
                    <w:rPr>
                      <w:rFonts w:hint="eastAsia" w:ascii="Times New Roman" w:hAnsi="Times New Roman" w:cs="Times New Roman"/>
                      <w:color w:val="auto"/>
                      <w:lang w:val="en-US" w:eastAsia="zh-CN"/>
                    </w:rPr>
                    <w:t>、加强高耗能高排放项目准入管理、绿色矿山落实等方面，对行业领域内的突出问题紧盯不放、拉条挂账，直至整改到位。（责任单位：市直有关单位，各县市区政府）</w:t>
                  </w:r>
                </w:p>
              </w:tc>
              <w:tc>
                <w:tcPr>
                  <w:tcW w:w="2912" w:type="dxa"/>
                  <w:vAlign w:val="center"/>
                </w:tcPr>
                <w:p w14:paraId="48AAD097">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本项目是对锂渣的综合利用，使用的每批次锂渣进行固废属性鉴定（包含铊、氟化物在内的成分分析和放射性分析），并满足环评提出的要求。</w:t>
                  </w:r>
                </w:p>
              </w:tc>
              <w:tc>
                <w:tcPr>
                  <w:tcW w:w="534" w:type="dxa"/>
                  <w:vAlign w:val="center"/>
                </w:tcPr>
                <w:p w14:paraId="22571215">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r w14:paraId="50A6B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4" w:hRule="atLeast"/>
              </w:trPr>
              <w:tc>
                <w:tcPr>
                  <w:tcW w:w="520" w:type="dxa"/>
                  <w:vAlign w:val="center"/>
                </w:tcPr>
                <w:p w14:paraId="44BDEFA9">
                  <w:pPr>
                    <w:pStyle w:val="56"/>
                    <w:keepNext w:val="0"/>
                    <w:keepLines w:val="0"/>
                    <w:suppressLineNumbers w:val="0"/>
                    <w:bidi w:val="0"/>
                    <w:spacing w:before="0" w:beforeAutospacing="0" w:after="0" w:afterAutospacing="0"/>
                    <w:ind w:left="0" w:right="0"/>
                    <w:jc w:val="center"/>
                    <w:rPr>
                      <w:rFonts w:hint="default" w:ascii="Times New Roman" w:hAnsi="Times New Roman" w:cs="Times New Roman"/>
                      <w:color w:val="auto"/>
                      <w:lang w:val="en-US" w:eastAsia="zh-CN"/>
                    </w:rPr>
                  </w:pPr>
                  <w:r>
                    <w:rPr>
                      <w:rFonts w:hint="eastAsia" w:cs="Times New Roman"/>
                      <w:color w:val="auto"/>
                      <w:lang w:val="en-US" w:eastAsia="zh-CN"/>
                    </w:rPr>
                    <w:t>20</w:t>
                  </w:r>
                </w:p>
              </w:tc>
              <w:tc>
                <w:tcPr>
                  <w:tcW w:w="4452" w:type="dxa"/>
                  <w:vAlign w:val="center"/>
                </w:tcPr>
                <w:p w14:paraId="50BE5F6E">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严格落实企业主体责任。督促企业进一步加大环保投入，改造提升工艺技术水平，不断提高工业废水、废气、废渣的处理和综合利用效率，最大限度地减少生产过程中的污染物排放，对顶风作案、偷排偷放的企业，一律上限顶格严惩，保持高压态势，形成强大震慑，倒逼责任落实。（责任单位：市生态环境局，各县市区政府）</w:t>
                  </w:r>
                </w:p>
              </w:tc>
              <w:tc>
                <w:tcPr>
                  <w:tcW w:w="2912" w:type="dxa"/>
                  <w:vAlign w:val="center"/>
                </w:tcPr>
                <w:p w14:paraId="799261F8">
                  <w:pPr>
                    <w:pStyle w:val="56"/>
                    <w:keepNext w:val="0"/>
                    <w:keepLines w:val="0"/>
                    <w:suppressLineNumbers w:val="0"/>
                    <w:bidi w:val="0"/>
                    <w:spacing w:before="0" w:beforeAutospacing="0" w:after="0" w:afterAutospacing="0"/>
                    <w:ind w:left="0" w:right="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本项目设置了内部管理体制，对于每批次入场的原料均要求取得固废鉴定报告，杜绝危险废物入场。</w:t>
                  </w:r>
                </w:p>
              </w:tc>
              <w:tc>
                <w:tcPr>
                  <w:tcW w:w="534" w:type="dxa"/>
                  <w:vAlign w:val="center"/>
                </w:tcPr>
                <w:p w14:paraId="48629B87">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相符</w:t>
                  </w:r>
                </w:p>
              </w:tc>
            </w:tr>
          </w:tbl>
          <w:p w14:paraId="483BF270">
            <w:pPr>
              <w:pStyle w:val="74"/>
              <w:keepNext w:val="0"/>
              <w:keepLines w:val="0"/>
              <w:suppressLineNumbers w:val="0"/>
              <w:spacing w:before="0" w:beforeAutospacing="0" w:after="0" w:afterAutospacing="0"/>
              <w:ind w:left="0" w:right="0"/>
              <w:rPr>
                <w:rFonts w:hint="eastAsia"/>
                <w:color w:val="auto"/>
                <w:lang w:val="en-US" w:eastAsia="zh-CN"/>
              </w:rPr>
            </w:pPr>
            <w:r>
              <w:rPr>
                <w:rFonts w:hint="eastAsia"/>
                <w:color w:val="auto"/>
                <w:lang w:val="en-US" w:eastAsia="zh-CN"/>
              </w:rPr>
              <w:t>由上表可知，本项目与《关于以生态环境高水平保护助推锂电新能源等产业绿色高质量发展的二十条措施》的通知（宜党发〔2023〕2号）相符。</w:t>
            </w:r>
          </w:p>
          <w:p w14:paraId="1E8273C5">
            <w:pPr>
              <w:keepNext w:val="0"/>
              <w:keepLines w:val="0"/>
              <w:numPr>
                <w:ilvl w:val="0"/>
                <w:numId w:val="7"/>
              </w:numPr>
              <w:suppressLineNumbers w:val="0"/>
              <w:bidi w:val="0"/>
              <w:spacing w:before="0" w:beforeAutospacing="0" w:after="0" w:afterAutospacing="0"/>
              <w:ind w:left="0" w:leftChars="0" w:right="0" w:firstLine="480" w:firstLineChars="0"/>
              <w:rPr>
                <w:rFonts w:hint="eastAsia"/>
                <w:color w:val="auto"/>
                <w:lang w:val="en-US" w:eastAsia="zh-CN"/>
              </w:rPr>
            </w:pPr>
            <w:r>
              <w:rPr>
                <w:rFonts w:hint="eastAsia"/>
                <w:color w:val="auto"/>
                <w:lang w:val="en-US" w:eastAsia="zh-CN"/>
              </w:rPr>
              <w:t>《江西省生态环境厅关于规范涉铊企业铊污染物重点防控工作的通知》（赣环固体字〔2023〕9号）相符性分析</w:t>
            </w:r>
          </w:p>
          <w:p w14:paraId="24D49F81">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eastAsia" w:ascii="Times New Roman" w:hAnsi="Times New Roman" w:eastAsia="宋体" w:cs="Times New Roman"/>
                <w:b/>
                <w:bCs/>
                <w:color w:val="auto"/>
                <w:kern w:val="2"/>
                <w:sz w:val="21"/>
                <w:szCs w:val="20"/>
                <w:lang w:val="en-US" w:eastAsia="zh-CN" w:bidi="ar-SA"/>
              </w:rPr>
            </w:pPr>
            <w:r>
              <w:rPr>
                <w:rFonts w:hint="eastAsia" w:ascii="Times New Roman" w:hAnsi="Times New Roman" w:eastAsia="宋体" w:cs="Times New Roman"/>
                <w:b/>
                <w:bCs/>
                <w:color w:val="auto"/>
                <w:kern w:val="2"/>
                <w:sz w:val="21"/>
                <w:szCs w:val="20"/>
                <w:lang w:val="en-US" w:eastAsia="zh-CN" w:bidi="ar-SA"/>
              </w:rPr>
              <w:t>项目与（赣环固体字〔2023〕9号）</w:t>
            </w:r>
            <w:r>
              <w:rPr>
                <w:rFonts w:hint="eastAsia" w:cs="Times New Roman"/>
                <w:b/>
                <w:bCs/>
                <w:color w:val="auto"/>
                <w:kern w:val="2"/>
                <w:sz w:val="21"/>
                <w:szCs w:val="20"/>
                <w:lang w:val="en-US" w:eastAsia="zh-CN" w:bidi="ar-SA"/>
              </w:rPr>
              <w:t>相符性分析</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4412"/>
              <w:gridCol w:w="2950"/>
              <w:gridCol w:w="447"/>
            </w:tblGrid>
            <w:tr w14:paraId="7BAE1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2"/>
                  <w:vAlign w:val="center"/>
                </w:tcPr>
                <w:p w14:paraId="58CDD1EB">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文件要求</w:t>
                  </w:r>
                </w:p>
              </w:tc>
              <w:tc>
                <w:tcPr>
                  <w:tcW w:w="0" w:type="auto"/>
                  <w:vAlign w:val="center"/>
                </w:tcPr>
                <w:p w14:paraId="05579E6B">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本项目实际情况</w:t>
                  </w:r>
                </w:p>
              </w:tc>
              <w:tc>
                <w:tcPr>
                  <w:tcW w:w="0" w:type="auto"/>
                  <w:vAlign w:val="center"/>
                </w:tcPr>
                <w:p w14:paraId="13766DF1">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相符性分析</w:t>
                  </w:r>
                </w:p>
              </w:tc>
            </w:tr>
            <w:tr w14:paraId="196A0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39C71455">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一、摸清涉铊企业底数</w:t>
                  </w:r>
                </w:p>
              </w:tc>
              <w:tc>
                <w:tcPr>
                  <w:tcW w:w="0" w:type="auto"/>
                  <w:vAlign w:val="center"/>
                </w:tcPr>
                <w:p w14:paraId="0E49BAD1">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各地生态环境部门要按照《意见》《江西省生态环境厅关于开展碳酸锂等涉铊行业企业排查整治工作的紧急通知》（赣环应急〔2022〕29号）要求，深入开展碳酸锂、重有色金属冶炼（铜、铅锌、镍钴、锡、锑和汞冶炼，含再生冶炼）、钢铁等涉铊行业企业排查，摸清企业底数，建立涉铊企业清单。</w:t>
                  </w:r>
                </w:p>
              </w:tc>
              <w:tc>
                <w:tcPr>
                  <w:tcW w:w="0" w:type="auto"/>
                  <w:vAlign w:val="center"/>
                </w:tcPr>
                <w:p w14:paraId="1A44C0F0">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本项目为固体废物综合利用，利用锂渣作为原材料生产含锂溶液、固化尾渣，锂渣中含有铊因子。</w:t>
                  </w:r>
                </w:p>
              </w:tc>
              <w:tc>
                <w:tcPr>
                  <w:tcW w:w="0" w:type="auto"/>
                  <w:vAlign w:val="center"/>
                </w:tcPr>
                <w:p w14:paraId="77E9B171">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相符</w:t>
                  </w:r>
                </w:p>
              </w:tc>
            </w:tr>
            <w:tr w14:paraId="182A6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35CE9F6B">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二、强化项目审批要求</w:t>
                  </w:r>
                </w:p>
              </w:tc>
              <w:tc>
                <w:tcPr>
                  <w:tcW w:w="0" w:type="auto"/>
                  <w:vAlign w:val="center"/>
                </w:tcPr>
                <w:p w14:paraId="0EE02A19">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健全环评审批和重金属管理部门联动机制，对新审批的涉铊企业（项目），环评报告中要明确要求企业加强重金属污染源头防控，减少使用高铊的矿石原料，对矿石原料、主副产品和生产废物中铊成分进行分析，要完善铊元素物料平衡分析，明确铊污染物排放量或最终去向，实现铊元素可核算可追踪；有废水、废气排放的涉铊企业要设置除铊治理设施，需相应达到《无机化学工业污染物排放标准》（GB31573-2015）、《钢铁工业水污染物排放标准》（GB13456-2012）、《工业废水铊污染物排放标准》（DB36/1149-2019）等标准要求，对于生产废水零排放的项目，应明确企业废水总排口中铊不得检出。自本通知印发之日起，对涉铊项目未分析铊污染物产排情况的，依法依规不予受理环评文件。涉铊项目环评报告、排污许可中铊污染防控内容是污染防治攻坚战重金属污染防治考核重要内容，请各地生态环境部门对2022年以来审批的涉铊项目，于2023年2月底前完成环评文件、排污许可证排查，在相关文件中补齐有关要求，并存档备查；对2022年以前已经建成并投入生产的涉铊项目，在换发排污许可证时，完善有关污染防治措施和排放标准要求。</w:t>
                  </w:r>
                </w:p>
              </w:tc>
              <w:tc>
                <w:tcPr>
                  <w:tcW w:w="0" w:type="auto"/>
                  <w:vAlign w:val="center"/>
                </w:tcPr>
                <w:p w14:paraId="0405E9A9">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本项目原料锂渣来源于上游锂电企业的浸出渣，如江西研硕科技研发有限公司鉴定为一般固废的浸出渣，锂渣中含有铊因子，本项目已完善铊元素物料平衡分析，明确铊最终去向，可实现铊元素可核算可追踪；根据工艺过程，本项目废气主要为颗粒物，经布袋除尘器+15m排气筒处理后排放，无组织粉尘通过喷淋抑尘处理，生产废水回用不外排；本环评要求建设单位在雨水排放口安装氟化物、铊在线监测设备，并与市、县两级在线监控管理平台联网。</w:t>
                  </w:r>
                </w:p>
              </w:tc>
              <w:tc>
                <w:tcPr>
                  <w:tcW w:w="447" w:type="dxa"/>
                  <w:vAlign w:val="center"/>
                </w:tcPr>
                <w:p w14:paraId="513019CC">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r w14:paraId="5C28F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vAlign w:val="center"/>
                </w:tcPr>
                <w:p w14:paraId="3B25F199">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三、压实环监监管责任</w:t>
                  </w:r>
                </w:p>
              </w:tc>
              <w:tc>
                <w:tcPr>
                  <w:tcW w:w="0" w:type="auto"/>
                  <w:vAlign w:val="center"/>
                </w:tcPr>
                <w:p w14:paraId="55896E2C">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各地生态环境部门要进一步强化生态环境安全“底线思维”，建立健全涉铊企业全链条闭环管理体系，将铊污染物纳入重点防控范围，督促涉铊企业落实环境风险主体责任，积极排除涉铊企业环境风险隐患，切实防范化解涉铊企业生态环境安全风险。</w:t>
                  </w:r>
                </w:p>
              </w:tc>
              <w:tc>
                <w:tcPr>
                  <w:tcW w:w="0" w:type="auto"/>
                  <w:vAlign w:val="center"/>
                </w:tcPr>
                <w:p w14:paraId="2C0EF187">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本项目锂渣中涉及铊因子，建设单位按要求进行企业风险防范。</w:t>
                  </w:r>
                </w:p>
              </w:tc>
              <w:tc>
                <w:tcPr>
                  <w:tcW w:w="447" w:type="dxa"/>
                  <w:vAlign w:val="center"/>
                </w:tcPr>
                <w:p w14:paraId="2340A526">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bl>
          <w:p w14:paraId="5131B248">
            <w:pPr>
              <w:pStyle w:val="74"/>
              <w:keepNext w:val="0"/>
              <w:keepLines w:val="0"/>
              <w:suppressLineNumbers w:val="0"/>
              <w:spacing w:before="0" w:beforeAutospacing="0" w:after="0" w:afterAutospacing="0"/>
              <w:ind w:left="0" w:right="0"/>
              <w:rPr>
                <w:rFonts w:hint="eastAsia"/>
                <w:color w:val="auto"/>
                <w:lang w:val="en-US" w:eastAsia="zh-CN"/>
              </w:rPr>
            </w:pPr>
            <w:r>
              <w:rPr>
                <w:rFonts w:hint="eastAsia"/>
                <w:color w:val="auto"/>
                <w:lang w:val="en-US" w:eastAsia="zh-CN"/>
              </w:rPr>
              <w:t>由上表可知，本项目与《江西省生态环境厅关于规范涉铊企业铊污染物重点防控工作的通知》（赣环固体字〔2023〕9号）相符。</w:t>
            </w:r>
          </w:p>
          <w:p w14:paraId="54E11DD2">
            <w:pPr>
              <w:keepNext w:val="0"/>
              <w:keepLines w:val="0"/>
              <w:numPr>
                <w:ilvl w:val="0"/>
                <w:numId w:val="7"/>
              </w:numPr>
              <w:suppressLineNumbers w:val="0"/>
              <w:bidi w:val="0"/>
              <w:spacing w:before="0" w:beforeAutospacing="0" w:after="0" w:afterAutospacing="0"/>
              <w:ind w:left="0" w:leftChars="0" w:right="0" w:firstLine="480" w:firstLineChars="0"/>
              <w:rPr>
                <w:rFonts w:hint="eastAsia"/>
                <w:color w:val="auto"/>
                <w:lang w:val="en-US" w:eastAsia="zh-CN"/>
              </w:rPr>
            </w:pPr>
            <w:r>
              <w:rPr>
                <w:rFonts w:hint="eastAsia"/>
                <w:color w:val="auto"/>
                <w:lang w:val="en-US" w:eastAsia="zh-CN"/>
              </w:rPr>
              <w:t>与《江西省生态环境厅铊污染防控工作方案》（赣环办字〔2023〕215号）相符性分析</w:t>
            </w:r>
          </w:p>
          <w:p w14:paraId="368261CD">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eastAsia" w:ascii="Times New Roman" w:hAnsi="Times New Roman" w:eastAsia="宋体" w:cs="Times New Roman"/>
                <w:b/>
                <w:bCs/>
                <w:color w:val="auto"/>
                <w:kern w:val="2"/>
                <w:sz w:val="21"/>
                <w:szCs w:val="20"/>
                <w:lang w:val="en-US" w:eastAsia="zh-CN" w:bidi="ar-SA"/>
              </w:rPr>
            </w:pPr>
            <w:r>
              <w:rPr>
                <w:rFonts w:hint="eastAsia" w:ascii="Times New Roman" w:hAnsi="Times New Roman" w:eastAsia="宋体" w:cs="Times New Roman"/>
                <w:b/>
                <w:bCs/>
                <w:color w:val="auto"/>
                <w:kern w:val="2"/>
                <w:sz w:val="21"/>
                <w:szCs w:val="20"/>
                <w:lang w:val="en-US" w:eastAsia="zh-CN" w:bidi="ar-SA"/>
              </w:rPr>
              <w:t>项目与（赣环办字〔2023〕215号）</w:t>
            </w:r>
            <w:r>
              <w:rPr>
                <w:rFonts w:hint="eastAsia" w:cs="Times New Roman"/>
                <w:b/>
                <w:bCs/>
                <w:color w:val="auto"/>
                <w:kern w:val="2"/>
                <w:sz w:val="21"/>
                <w:szCs w:val="20"/>
                <w:lang w:val="en-US" w:eastAsia="zh-CN" w:bidi="ar-SA"/>
              </w:rPr>
              <w:t>相符性分析</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9"/>
              <w:gridCol w:w="4519"/>
              <w:gridCol w:w="2968"/>
              <w:gridCol w:w="543"/>
            </w:tblGrid>
            <w:tr w14:paraId="4A214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 w:type="pct"/>
                  <w:vAlign w:val="center"/>
                </w:tcPr>
                <w:p w14:paraId="08C40F3B">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序号</w:t>
                  </w:r>
                </w:p>
              </w:tc>
              <w:tc>
                <w:tcPr>
                  <w:tcW w:w="2639" w:type="pct"/>
                  <w:vAlign w:val="center"/>
                </w:tcPr>
                <w:p w14:paraId="74B0AC0B">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文件要求</w:t>
                  </w:r>
                </w:p>
              </w:tc>
              <w:tc>
                <w:tcPr>
                  <w:tcW w:w="1733" w:type="pct"/>
                  <w:vAlign w:val="center"/>
                </w:tcPr>
                <w:p w14:paraId="22D40E3C">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本项目实际情况</w:t>
                  </w:r>
                </w:p>
              </w:tc>
              <w:tc>
                <w:tcPr>
                  <w:tcW w:w="317" w:type="pct"/>
                  <w:vAlign w:val="center"/>
                </w:tcPr>
                <w:p w14:paraId="22B0B5EA">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相符性分析</w:t>
                  </w:r>
                </w:p>
              </w:tc>
            </w:tr>
            <w:tr w14:paraId="22BBD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dxa"/>
                  <w:vAlign w:val="center"/>
                </w:tcPr>
                <w:p w14:paraId="15D50709">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w:t>
                  </w:r>
                </w:p>
              </w:tc>
              <w:tc>
                <w:tcPr>
                  <w:tcW w:w="2639" w:type="pct"/>
                  <w:vAlign w:val="center"/>
                </w:tcPr>
                <w:p w14:paraId="54B53453">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严格涉铊企业项目环评审批。对新审批的涉铊项目，环评文件中要明确要求企业加强重金属污染源头防控要求，减少使用高铊原料，完善铊元素物料平衡分析，对废水、废气排放的涉铊企业要设置除铊治理设施，外排废气需满足相应行业污染物排放标准中铊污染物排放限值，外排废水执行《工业废水铊污染物排放标准》（DB36/1149-2019）等标准要求。对于生产废水零排放的项目，监测计划中应在企业总排口和雨水排口增加铊污染监测因子。对涉铊项目未分析铊污染物产排情况的，各级生态环境部门依法依规不予受理环评文件。</w:t>
                  </w:r>
                </w:p>
              </w:tc>
              <w:tc>
                <w:tcPr>
                  <w:tcW w:w="1733" w:type="pct"/>
                  <w:vAlign w:val="center"/>
                </w:tcPr>
                <w:p w14:paraId="26E1DA3D">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本项目原料锂渣物中含有铊因子，本项目已完善铊元素物料平衡分析，明确铊最终去向，可实现铊元素可核算可追踪；根据工艺过程，本项目废气主要为颗粒物，排放量较小，生产废水回用不外排；本环评要求建设单位在雨水排放口安装氟化物、铊在线监测设备，并与市、县两级在线监控管理平台联网。</w:t>
                  </w:r>
                </w:p>
              </w:tc>
              <w:tc>
                <w:tcPr>
                  <w:tcW w:w="317" w:type="pct"/>
                  <w:vAlign w:val="center"/>
                </w:tcPr>
                <w:p w14:paraId="133D6ED4">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相符</w:t>
                  </w:r>
                </w:p>
              </w:tc>
            </w:tr>
            <w:tr w14:paraId="4142E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dxa"/>
                  <w:vAlign w:val="center"/>
                </w:tcPr>
                <w:p w14:paraId="773E231A">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w:t>
                  </w:r>
                </w:p>
              </w:tc>
              <w:tc>
                <w:tcPr>
                  <w:tcW w:w="2639" w:type="pct"/>
                  <w:vAlign w:val="center"/>
                </w:tcPr>
                <w:p w14:paraId="6A16B74E">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强化涉铊固体废物原料监管。研究制定《江西省跨省转入危险废物原料成分抽查检测工作方案》，“采取“采测分离、分总结合”方式，加强跨省转入危险废物原料成分含量随机抽查检测，客观、准确地掌握跨省转入危险废物原料有价元素以及铊等有害元素含量，强化涉铊危险废物跨省转移管控力度，严厉打击提供虚假检测报告等违法违规行为。涉铊企业要对固体废物原料进行检测，并建立涉铊原料来源、数量、时间、检测结果等信息台账。</w:t>
                  </w:r>
                </w:p>
              </w:tc>
              <w:tc>
                <w:tcPr>
                  <w:tcW w:w="1733" w:type="pct"/>
                  <w:vAlign w:val="center"/>
                </w:tcPr>
                <w:p w14:paraId="4FEAB824">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本项目锂渣中含有铊因子，建设单位按要求对涉铊原料来源、数量、时间、检测结果等建立信息台账。</w:t>
                  </w:r>
                </w:p>
              </w:tc>
              <w:tc>
                <w:tcPr>
                  <w:tcW w:w="449" w:type="dxa"/>
                  <w:vAlign w:val="center"/>
                </w:tcPr>
                <w:p w14:paraId="1028CD2A">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r w14:paraId="4D62E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37" w:type="dxa"/>
                  <w:vAlign w:val="center"/>
                </w:tcPr>
                <w:p w14:paraId="464C20DA">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3</w:t>
                  </w:r>
                </w:p>
              </w:tc>
              <w:tc>
                <w:tcPr>
                  <w:tcW w:w="2639" w:type="pct"/>
                  <w:vAlign w:val="center"/>
                </w:tcPr>
                <w:p w14:paraId="72C66CB5">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l、构建涉铊企业全链条闭环管理体系。各级生态环境部门要构建涉铊企业全链条闭环管理体系，督促企业对原料、主副产品和生产废物中铊成分进行检测分析，实现铊元素可核算可追踪。2、重有色金属冶炼、钢铁、碳酸锂等典型涉铊企业要开展生产废水治理设施除铊升级改造并保障废水处理设施持续稳定运行，严格执行车间或生产设施废水排放口达标要求，生产废水循环使用不外排的，循环水应配套除铊措施，防止废水中铊的不断累积，保障环境安全。3、重点有色金属冶炼企业要加强生产车间低空逸散烟气收集处理，有效减少无组织排放。重点有色金属矿采选企业要按照规定完善废石堆场、排土场周边雨污分流设施，建设酸性废水、选矿废水、矿坑涌水等废水收集与处理设施，处理达标后排放。</w:t>
                  </w:r>
                </w:p>
                <w:p w14:paraId="3E8E05FB">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4、钢铁冶炼、铅锌冶炼、碳酸锂行业企业要规范建立废水处理含铊污泥、除尘灰等固体废物产生、贮存、转移、处置台账，加强含铊固体废物环境管理，对锂渣等开展资源化利用和分级分类管理。</w:t>
                  </w:r>
                </w:p>
              </w:tc>
              <w:tc>
                <w:tcPr>
                  <w:tcW w:w="1733" w:type="pct"/>
                  <w:vAlign w:val="center"/>
                </w:tcPr>
                <w:p w14:paraId="4C025DD5">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本项目锂渣中含有铊因子，根据工艺过程，本项目废气主要为颗粒物，排放量较小，生产废水回用不外排；2~4、本项目不属于重点有色金属冶炼、钢铁、铅锌冶炼等涉铊企业，属于对锂渣开展资源化利用，锂渣来源于碳酸锂企业，环评要求项目建立废水处理含铊污泥、除尘灰等固体废物产生、贮存、转移、处置台账，加强含铊固体废物环境管理，对锂渣等开展资源化利用和分级分类管理。</w:t>
                  </w:r>
                </w:p>
              </w:tc>
              <w:tc>
                <w:tcPr>
                  <w:tcW w:w="449" w:type="dxa"/>
                  <w:vAlign w:val="center"/>
                </w:tcPr>
                <w:p w14:paraId="7756E578">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r w14:paraId="274C0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dxa"/>
                  <w:vAlign w:val="center"/>
                </w:tcPr>
                <w:p w14:paraId="0C4929BF">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w:t>
                  </w:r>
                </w:p>
              </w:tc>
              <w:tc>
                <w:tcPr>
                  <w:tcW w:w="2639" w:type="pct"/>
                  <w:vAlign w:val="center"/>
                </w:tcPr>
                <w:p w14:paraId="1A10B5B7">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持续推进涉铊企业排查整治。按照《江西省涉铊企业专项排查整治工作方案》《江西省生态环境厅关于开展碳酸锂等涉铊行业企业排查整治工作的紧急通知》《2023年全省生态环境保护重点执法检查计划》等有关文件和技术指南要求，在前期涉铊企业专项排查整治工作基础上，继续结合重点排污单位名录、土壤污染重点监管单位、清洁生产审核重点企业名单、全口径涉重金属重点行业企业清单等信息，持续完善健全《涉铊企业排查信息登记表》《涉铊企业排查整治情况汇总表》等排查表，分类形成涉铊企业清单，全面开展全流程涉铊溯源工作，压实涉铊企业环境风险防控责任。各地生态环境部门要对排查发现的涉铊企业未安装除铊污染防治设施、排口铊浓度超标、自行监测方案未纳入铊因子等情形，指导督促涉铊企业建立铊污染风险问题台账并制定问题整改方案，通过企业自行整改、市县督促检查、省级抽查和指导帮扶，推进涉铊企业全面整改，实现涉铊企业“数量清、分布清、问题清、治理好”，促进涉铊企业绿色安全发展。</w:t>
                  </w:r>
                </w:p>
              </w:tc>
              <w:tc>
                <w:tcPr>
                  <w:tcW w:w="1733" w:type="pct"/>
                  <w:vAlign w:val="center"/>
                </w:tcPr>
                <w:p w14:paraId="2D2A1C9C">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本项目锂渣中含有铊因子，要求建设单位在雨水排放口安装氟化物、铊在线监测设备，并与市、县两级在线监控管理平台联网，将铊因子纳入了自行监测方案。企业将建立铊污染风险问题台账并制定问题管理方案。</w:t>
                  </w:r>
                </w:p>
              </w:tc>
              <w:tc>
                <w:tcPr>
                  <w:tcW w:w="449" w:type="dxa"/>
                  <w:vAlign w:val="center"/>
                </w:tcPr>
                <w:p w14:paraId="14623CEF">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r w14:paraId="4C2E8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dxa"/>
                  <w:vAlign w:val="center"/>
                </w:tcPr>
                <w:p w14:paraId="4B0BE5D4">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5</w:t>
                  </w:r>
                </w:p>
              </w:tc>
              <w:tc>
                <w:tcPr>
                  <w:tcW w:w="2639" w:type="pct"/>
                  <w:vAlign w:val="center"/>
                </w:tcPr>
                <w:p w14:paraId="36E35FEF">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落实排污许可管理制度。严格落实《排污许可管理条例》，依法将涉铊企业纳入排污许可管理。依据国家和地方标准、相关行业排污许可技术规范以及企业环境影响评价批复等文件及地方相关文件要求，在排污许可证中明确许可铊污染因子排放浓度等信息，并提出有关污染防治措施。对于已经建成并投产的涉铊项目，应对原辅材料、生产工艺、产排污节点进行深入分析，依据法规政策、排放标准和技术规范等文件要求，2023年年底前对排污许可证中铊污染因子的许可和管理要求进行变更。到2025年，涉铊企业排污许可证环境管理台账、自行监测和执行报告数据基本实现完整，有效支撑重点行业企业排放量管理。</w:t>
                  </w:r>
                </w:p>
              </w:tc>
              <w:tc>
                <w:tcPr>
                  <w:tcW w:w="1733" w:type="pct"/>
                  <w:vAlign w:val="center"/>
                </w:tcPr>
                <w:p w14:paraId="37C3D799">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本项目建成后按要求申请排污许可证。</w:t>
                  </w:r>
                </w:p>
              </w:tc>
              <w:tc>
                <w:tcPr>
                  <w:tcW w:w="449" w:type="dxa"/>
                  <w:vAlign w:val="center"/>
                </w:tcPr>
                <w:p w14:paraId="4023DD99">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r w14:paraId="527A4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dxa"/>
                  <w:vAlign w:val="center"/>
                </w:tcPr>
                <w:p w14:paraId="24F84826">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6</w:t>
                  </w:r>
                </w:p>
              </w:tc>
              <w:tc>
                <w:tcPr>
                  <w:tcW w:w="2639" w:type="pct"/>
                  <w:vAlign w:val="center"/>
                </w:tcPr>
                <w:p w14:paraId="04719249">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强化铊因子监测监控。根据国家监测方案逐步完善铊因子的环境监测网络。试点对县级及以上饮用水源地，涉铊风险的国、省控断面开展专项监测。省生态环境厅、设区市生态环境局、赣江新区生态环境局分别开展涉铊企业自行监测专项帮扶和检查，督促指导企业按照规范要求将铊因子纳入自行监测方案。各设区市生态环境局、赣江新区生态环境局结合涉铊排查整治工作，加强对辖区内涉铊企业雨水排口、污水排口、烟气处理废水循环水池、初期雨水池和地面冲洗水收集池以及有涉铊企业的工业园区排污口等的监测，督促涉铊企业按照排放标准要求在车间或生产设施排口安装铊因子自动监测设备，鼓励在工业园区污水处理厂排口安装铊因子自动监测设备。</w:t>
                  </w:r>
                </w:p>
              </w:tc>
              <w:tc>
                <w:tcPr>
                  <w:tcW w:w="1733" w:type="pct"/>
                  <w:vAlign w:val="center"/>
                </w:tcPr>
                <w:p w14:paraId="084F2E23">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本环评要求建设单位在雨水排放口安装氟化物、铊在线监测设备，并与市.县两级在线监控管理平台联网，将铊因子纳入自行监测方案。</w:t>
                  </w:r>
                </w:p>
              </w:tc>
              <w:tc>
                <w:tcPr>
                  <w:tcW w:w="449" w:type="dxa"/>
                  <w:vAlign w:val="center"/>
                </w:tcPr>
                <w:p w14:paraId="06011C5A">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bl>
          <w:p w14:paraId="5F0305D6">
            <w:pPr>
              <w:pStyle w:val="74"/>
              <w:keepNext w:val="0"/>
              <w:keepLines w:val="0"/>
              <w:suppressLineNumbers w:val="0"/>
              <w:spacing w:before="0" w:beforeAutospacing="0" w:after="0" w:afterAutospacing="0"/>
              <w:ind w:left="0" w:right="0"/>
              <w:rPr>
                <w:rFonts w:hint="eastAsia"/>
                <w:color w:val="auto"/>
                <w:lang w:val="en-US" w:eastAsia="zh-CN"/>
              </w:rPr>
            </w:pPr>
            <w:r>
              <w:rPr>
                <w:rFonts w:hint="eastAsia"/>
                <w:color w:val="auto"/>
                <w:lang w:val="en-US" w:eastAsia="zh-CN"/>
              </w:rPr>
              <w:t>由上表可知，本项目与《江西省生态环境厅铊污染防控工作方案》（赣环办字〔2023〕215号）相符。</w:t>
            </w:r>
          </w:p>
          <w:p w14:paraId="7FBFD9D1">
            <w:pPr>
              <w:keepNext w:val="0"/>
              <w:keepLines w:val="0"/>
              <w:numPr>
                <w:ilvl w:val="0"/>
                <w:numId w:val="7"/>
              </w:numPr>
              <w:suppressLineNumbers w:val="0"/>
              <w:bidi w:val="0"/>
              <w:spacing w:before="0" w:beforeAutospacing="0" w:after="0" w:afterAutospacing="0"/>
              <w:ind w:left="0" w:leftChars="0" w:right="0" w:firstLine="480" w:firstLineChars="0"/>
              <w:rPr>
                <w:rFonts w:hint="eastAsia"/>
                <w:color w:val="auto"/>
                <w:lang w:val="en-US" w:eastAsia="zh-CN"/>
              </w:rPr>
            </w:pPr>
            <w:r>
              <w:rPr>
                <w:rFonts w:hint="eastAsia"/>
                <w:color w:val="auto"/>
                <w:lang w:val="en-US" w:eastAsia="zh-CN"/>
              </w:rPr>
              <w:t>与《固体废物环境管理指南锂盐生产（试行）》（赣环固体字〔2023〕372号）相符性分析</w:t>
            </w:r>
          </w:p>
          <w:p w14:paraId="05B33157">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default"/>
                <w:color w:val="auto"/>
                <w:lang w:val="en-US" w:eastAsia="zh-CN"/>
              </w:rPr>
            </w:pPr>
            <w:r>
              <w:rPr>
                <w:rFonts w:hint="eastAsia"/>
                <w:color w:val="auto"/>
                <w:lang w:val="en-US" w:eastAsia="zh-CN"/>
              </w:rPr>
              <w:t>与（赣环固体字〔2023〕372号）相符性分析</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87"/>
              <w:gridCol w:w="3007"/>
              <w:gridCol w:w="565"/>
            </w:tblGrid>
            <w:tr w14:paraId="0BF80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912" w:type="pct"/>
                  <w:vAlign w:val="center"/>
                </w:tcPr>
                <w:p w14:paraId="5D7D47A1">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文件要求</w:t>
                  </w:r>
                </w:p>
              </w:tc>
              <w:tc>
                <w:tcPr>
                  <w:tcW w:w="1756" w:type="pct"/>
                  <w:vAlign w:val="center"/>
                </w:tcPr>
                <w:p w14:paraId="18D74F71">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本项目实际情况</w:t>
                  </w:r>
                </w:p>
              </w:tc>
              <w:tc>
                <w:tcPr>
                  <w:tcW w:w="330" w:type="pct"/>
                  <w:vAlign w:val="center"/>
                </w:tcPr>
                <w:p w14:paraId="4526E933">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相符性分析</w:t>
                  </w:r>
                </w:p>
              </w:tc>
            </w:tr>
            <w:tr w14:paraId="4E465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2912" w:type="pct"/>
                  <w:vAlign w:val="center"/>
                </w:tcPr>
                <w:p w14:paraId="3865CE83">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4.1落实污染环境防治责任制度。建立健全固体废物产生、收集、贮存、运输、利用、处置全过程的污染环境防治责任制度，坚持减量化、资源化、无害化原则，妥善利用处置产生的固体废物。加强危险废物规范化环境管理，提升重金属环境风险防范水平。</w:t>
                  </w:r>
                </w:p>
              </w:tc>
              <w:tc>
                <w:tcPr>
                  <w:tcW w:w="1756" w:type="pct"/>
                  <w:vAlign w:val="center"/>
                </w:tcPr>
                <w:p w14:paraId="4FA3B334">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本项目已建立固体废物全过程的管理办法及责任制度。</w:t>
                  </w:r>
                </w:p>
              </w:tc>
              <w:tc>
                <w:tcPr>
                  <w:tcW w:w="330" w:type="pct"/>
                  <w:vAlign w:val="center"/>
                </w:tcPr>
                <w:p w14:paraId="6B77827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相符</w:t>
                  </w:r>
                </w:p>
              </w:tc>
            </w:tr>
            <w:tr w14:paraId="29D1C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2912" w:type="pct"/>
                  <w:vAlign w:val="center"/>
                </w:tcPr>
                <w:p w14:paraId="38F8C42C">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4.2落实环境影响评价制度及环境保护“三同时”制度。依法开展环境影响评价，按照环评及批复要求使用含锂原料。落实《建设项目危险废物环境影响评价指南》要求，对产生的固体废物属性、种类、数量、利用或处置方式、环境影响以及环境风险等进行科学评价，并提出切实可行的污染防治对策措施。需要配套建设的固体废物贮存、利用和处置设施应当与主体工程同时设计、同时施工、同时投入使用。</w:t>
                  </w:r>
                </w:p>
              </w:tc>
              <w:tc>
                <w:tcPr>
                  <w:tcW w:w="1756" w:type="pct"/>
                  <w:vAlign w:val="center"/>
                </w:tcPr>
                <w:p w14:paraId="2F8C5EE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项目已落实环境影响评价制度及环境保护“三同时”制度；项目严格按照批复使用锂渣；已经过科学的评价并设有对应的设施</w:t>
                  </w:r>
                </w:p>
              </w:tc>
              <w:tc>
                <w:tcPr>
                  <w:tcW w:w="330" w:type="pct"/>
                  <w:vAlign w:val="center"/>
                </w:tcPr>
                <w:p w14:paraId="59112316">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相符</w:t>
                  </w:r>
                </w:p>
              </w:tc>
            </w:tr>
            <w:tr w14:paraId="61791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2912" w:type="pct"/>
                  <w:vAlign w:val="center"/>
                </w:tcPr>
                <w:p w14:paraId="497785A5">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4.3落实危险废物鉴别管理制度。浸出渣、除杂渣（净化渣）、钾钠盐、烟气处理渣委外利用处置时，应根据《国家危险废物名录》《危险废物鉴别标准》（GB 5085.1-7）《危险废物鉴别技术规范》（HJ 298）等进行鉴别，根据氟化物、铍、铊等特征污染因子浸出毒性、毒性物质含量判定其是否属于危险废物。对经鉴别属于一般工业固体废物的，应进一步检测分析明确其一般工业固体废物类型（第I类或第Ⅱ类一般工业固体废物）。因原料、生产工艺发生变化可能造成固体废物属性发生变化的，应重新开展鉴别。未明确属性的固体废物采用危险废物“点对点”方式定向利用的，按照危险废物进行管理。</w:t>
                  </w:r>
                </w:p>
              </w:tc>
              <w:tc>
                <w:tcPr>
                  <w:tcW w:w="1756" w:type="pct"/>
                  <w:vAlign w:val="center"/>
                </w:tcPr>
                <w:p w14:paraId="66B27F09">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本项目严格按照《国家危险废物名录》《危险废物鉴别标准》（GB 5085.1-7）《危险废物鉴别技术规范》（HJ 298）等进行鉴别，本项目原料不属于危险固废，项目加工不会导致固体废物属性发生变化</w:t>
                  </w:r>
                </w:p>
              </w:tc>
              <w:tc>
                <w:tcPr>
                  <w:tcW w:w="330" w:type="pct"/>
                  <w:vAlign w:val="center"/>
                </w:tcPr>
                <w:p w14:paraId="2A4216C5">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r w14:paraId="4311E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2912" w:type="pct"/>
                  <w:vAlign w:val="center"/>
                </w:tcPr>
                <w:p w14:paraId="4F4600CC">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4.4落实固体废物识别标志制度。按照《危险废物识别标志设置技术规范》（HJ 1276）有关规定，对危险废物的容器和包装物以及贮存、运输、利用、处置危险废物的设施、场所设置危险废物识别标志。一般工业固体废物贮存、处置场图形标志按照《环境保护图形标志固体废物贮存（处置）场》（GB 15562.2）要求设置。</w:t>
                  </w:r>
                </w:p>
              </w:tc>
              <w:tc>
                <w:tcPr>
                  <w:tcW w:w="1756" w:type="pct"/>
                  <w:vAlign w:val="center"/>
                </w:tcPr>
                <w:p w14:paraId="4E35BDB7">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本项目原料为一般固废储存场所标识已按照《环境保护图形标志固体废物贮存（处置）场》（GB 15562.2）要求设置。</w:t>
                  </w:r>
                </w:p>
              </w:tc>
              <w:tc>
                <w:tcPr>
                  <w:tcW w:w="330" w:type="pct"/>
                  <w:vAlign w:val="center"/>
                </w:tcPr>
                <w:p w14:paraId="2F795E99">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r w14:paraId="2228B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2912" w:type="pct"/>
                  <w:vAlign w:val="center"/>
                </w:tcPr>
                <w:p w14:paraId="655BF568">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4.5落实危险废物管理计划制度。按照《危险废物管理计划和管理台账制定技术导则》有关要求通过固体废物管理信息系统填报危险废物管理计划，并通过系统报所在地生态环境主管部门备案。</w:t>
                  </w:r>
                </w:p>
              </w:tc>
              <w:tc>
                <w:tcPr>
                  <w:tcW w:w="1756" w:type="pct"/>
                  <w:vAlign w:val="center"/>
                </w:tcPr>
                <w:p w14:paraId="184EEBE4">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项目原料为一般固废</w:t>
                  </w:r>
                </w:p>
              </w:tc>
              <w:tc>
                <w:tcPr>
                  <w:tcW w:w="330" w:type="pct"/>
                  <w:vAlign w:val="center"/>
                </w:tcPr>
                <w:p w14:paraId="13E688A7">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r w14:paraId="13CB5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2912" w:type="pct"/>
                  <w:vAlign w:val="center"/>
                </w:tcPr>
                <w:p w14:paraId="759E2EE3">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4.6落实排污许可制度。申请排污许可证应符合《排污许可证申请与核发技术规范工业固体废物（试行）》（HJ1200）有关要求。已经取得排污许可证的，执行排污许可管理制度的规定。</w:t>
                  </w:r>
                </w:p>
              </w:tc>
              <w:tc>
                <w:tcPr>
                  <w:tcW w:w="1756" w:type="pct"/>
                  <w:vAlign w:val="center"/>
                </w:tcPr>
                <w:p w14:paraId="7FB38910">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项目批复后严格按照规范申请排污许可证</w:t>
                  </w:r>
                </w:p>
              </w:tc>
              <w:tc>
                <w:tcPr>
                  <w:tcW w:w="330" w:type="pct"/>
                  <w:vAlign w:val="center"/>
                </w:tcPr>
                <w:p w14:paraId="3B174133">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r w14:paraId="71901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2912" w:type="pct"/>
                  <w:vAlign w:val="center"/>
                </w:tcPr>
                <w:p w14:paraId="13057578">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4.7落实固体废物管理台账及申报制度。建立固体废物电子或纸质管理台账，如实记录固体废物的种类、数量、流向、贮存、利用、处置等信息，并通过固体废物管理信息系统或纸质方式向所在地生态环境主管部门申报固体废物的种类、数量、流向、贮存、利用、处置等有关资料，实现工业固体废物可追溯、可查询。</w:t>
                  </w:r>
                </w:p>
              </w:tc>
              <w:tc>
                <w:tcPr>
                  <w:tcW w:w="1756" w:type="pct"/>
                  <w:vAlign w:val="center"/>
                </w:tcPr>
                <w:p w14:paraId="5BA447F8">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项目已建立台账</w:t>
                  </w:r>
                </w:p>
              </w:tc>
              <w:tc>
                <w:tcPr>
                  <w:tcW w:w="330" w:type="pct"/>
                  <w:vAlign w:val="center"/>
                </w:tcPr>
                <w:p w14:paraId="596FF7C8">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r w14:paraId="5505C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2912" w:type="pct"/>
                  <w:vAlign w:val="center"/>
                </w:tcPr>
                <w:p w14:paraId="057FBCCB">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4.8落实危险废物经营许可证制度。禁止将危险废物提供或委托给无危险废物经营许可证的单位或者其他生产经营者从事收集、贮存、利用、处置活动。</w:t>
                  </w:r>
                </w:p>
              </w:tc>
              <w:tc>
                <w:tcPr>
                  <w:tcW w:w="1756" w:type="pct"/>
                  <w:vAlign w:val="center"/>
                </w:tcPr>
                <w:p w14:paraId="0B78E0F7">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项目原料为一般固废，项目产生的危险废物严格落实危险废物经营许可证制度</w:t>
                  </w:r>
                </w:p>
              </w:tc>
              <w:tc>
                <w:tcPr>
                  <w:tcW w:w="330" w:type="pct"/>
                  <w:vAlign w:val="center"/>
                </w:tcPr>
                <w:p w14:paraId="2987502D">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r w14:paraId="39CA4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2912" w:type="pct"/>
                  <w:vAlign w:val="center"/>
                </w:tcPr>
                <w:p w14:paraId="4C1C8AEF">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4.9落实危险废物转移制度。转移危险废物的，应按照《危险废物转移管理办法》有关规定通过固体废物管理信息系统填写、运行危险废物转移联单。跨省、自治区、直辖市转移危险废物的，应取得危险废物跨省转移行政许可。运输危险废物，应当采取防止污染环境的措施，并遵守国家有关危险货物运输管理的规定。</w:t>
                  </w:r>
                </w:p>
              </w:tc>
              <w:tc>
                <w:tcPr>
                  <w:tcW w:w="1756" w:type="pct"/>
                  <w:vAlign w:val="center"/>
                </w:tcPr>
                <w:p w14:paraId="06F290B2">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项目原料为一般固废，项目产生的危险废物严格落实危险废物转移制度</w:t>
                  </w:r>
                </w:p>
              </w:tc>
              <w:tc>
                <w:tcPr>
                  <w:tcW w:w="330" w:type="pct"/>
                  <w:vAlign w:val="center"/>
                </w:tcPr>
                <w:p w14:paraId="24EF5A80">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r w14:paraId="2EE6B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2912" w:type="pct"/>
                  <w:vAlign w:val="center"/>
                </w:tcPr>
                <w:p w14:paraId="7E2C22A3">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4.10落实固体废物委托核实制度。工业固体废物委托他人运输、利用、处置的，应对受托方的主体资格和技术能力进行核实，依法签订书面合同，在合同中约定污染防治要求。跨省、自治区、直辖市转移一般工业固体废物进行贮存、处置的，应取得跨省转移行政许可；跨省、自治区、直辖市转移一般工业固体废物进行利用的，应报省级生态环境主管部门备案。</w:t>
                  </w:r>
                </w:p>
              </w:tc>
              <w:tc>
                <w:tcPr>
                  <w:tcW w:w="1756" w:type="pct"/>
                  <w:vAlign w:val="center"/>
                </w:tcPr>
                <w:p w14:paraId="48029C0A">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项目原料为一般固废，项目产生的危险废物严格落实固体废物委托核实制度</w:t>
                  </w:r>
                </w:p>
              </w:tc>
              <w:tc>
                <w:tcPr>
                  <w:tcW w:w="330" w:type="pct"/>
                  <w:vAlign w:val="center"/>
                </w:tcPr>
                <w:p w14:paraId="17CBC862">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r w14:paraId="2C618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2912" w:type="pct"/>
                  <w:vAlign w:val="center"/>
                </w:tcPr>
                <w:p w14:paraId="798B1BBF">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4.11 落实环境应急预案制度。参照《危险废物经营单位编制应急预案指南》有关规定制定意外事故的防范措施和环境应急预案，并向所在地生态环境主管部门备案。针对事故易发环节，每年至少开展一次应急预案演练。</w:t>
                  </w:r>
                </w:p>
              </w:tc>
              <w:tc>
                <w:tcPr>
                  <w:tcW w:w="1756" w:type="pct"/>
                  <w:vAlign w:val="center"/>
                </w:tcPr>
                <w:p w14:paraId="2E181448">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项目已制定应急预案，并严格执行</w:t>
                  </w:r>
                </w:p>
              </w:tc>
              <w:tc>
                <w:tcPr>
                  <w:tcW w:w="330" w:type="pct"/>
                  <w:vAlign w:val="center"/>
                </w:tcPr>
                <w:p w14:paraId="6091247F">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r w14:paraId="01BAB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2912" w:type="pct"/>
                  <w:vAlign w:val="center"/>
                </w:tcPr>
                <w:p w14:paraId="5A64F2BA">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4.12规范贮存固体废物。按照国家有关规定和环境保护标准要求贮存固体废物。一般工业固体废物贮存按照《一般工业固体废物贮存和填埋污染控制标准》（GB 18599）执行。危险废物收集、贮存应当按照其特性分类进行，禁止将危险废物混入非危险废物中贮存。危险废物及未经鉴别明确固废属性的浸出渣、除杂渣（净化渣）、钾钠盐、烟气处理渣收集、贮存过程污染控制执行《危险废物贮存污染控制标准》（GB 18597）《危险废物收集贮存运输技术规范》（HJ 2025）有关规定。已建成投入使用或环境影响评价文件已通过审批的贮存设施，自2025年9月1日起执行本指南要求，新建贮存设施自本指南发布之日起执行。</w:t>
                  </w:r>
                </w:p>
              </w:tc>
              <w:tc>
                <w:tcPr>
                  <w:tcW w:w="1756" w:type="pct"/>
                  <w:vAlign w:val="center"/>
                </w:tcPr>
                <w:p w14:paraId="55FCE0C3">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项目原料为一般固废，严格按照《一般工业固体废物贮存和填埋污染控制标准》（GB 18599）执行</w:t>
                  </w:r>
                </w:p>
              </w:tc>
              <w:tc>
                <w:tcPr>
                  <w:tcW w:w="330" w:type="pct"/>
                  <w:vAlign w:val="center"/>
                </w:tcPr>
                <w:p w14:paraId="70E2E1A7">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r w14:paraId="4DAA9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2912" w:type="pct"/>
                  <w:vAlign w:val="center"/>
                </w:tcPr>
                <w:p w14:paraId="213EC2D8">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4.13规范开展固体废物利用处置活动。固体废物利用应遵循《固体废物再生利用污染防治技术导则》（HJ 1091）有关规定，利用过程的污染控制应符合相应污染物排放标准要求。采取建材方式进行综合利用的，建材产品中砷、铅、镉、铬、铜、镍、锌、锰重金属含量及可浸出重金属含量参照《水泥窑协同处置固体废物技术规范》（GB 30760）执行；固体废物填埋应按照《危险废物填埋污染控制标准》（GB 18598）《一般工业固体废物贮存和填埋污染控制标准》（GB 18599）进行选址、设计、施工及运行，并采取必要的风险防范措施，按照要求开展自行监测工作。进入I类场的一般工业固体废物水溶性盐总量应小于2%，进入Ⅱ类场的应小于5%。鼓励开展一般工业固体废物充填或回填活动，充填或回填前应开展环境本底调查、进行环境风险评估，确保环境风险可以接受。</w:t>
                  </w:r>
                </w:p>
              </w:tc>
              <w:tc>
                <w:tcPr>
                  <w:tcW w:w="1756" w:type="pct"/>
                  <w:vAlign w:val="center"/>
                </w:tcPr>
                <w:p w14:paraId="546821E8">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本项目严格按照《固体废物再生利用污染防治技术导则》（HJ 1091）有关规定执行；金属含量及可浸出重金属含量参照《水泥窑协同处置固体废物技术规范》（GB 30760）执行，项目不填埋固废</w:t>
                  </w:r>
                </w:p>
              </w:tc>
              <w:tc>
                <w:tcPr>
                  <w:tcW w:w="330" w:type="pct"/>
                  <w:vAlign w:val="center"/>
                </w:tcPr>
                <w:p w14:paraId="6BBCECCB">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r w14:paraId="442DB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2912" w:type="pct"/>
                  <w:vAlign w:val="center"/>
                </w:tcPr>
                <w:p w14:paraId="1CCA5992">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4.14规范开展危险废物“点对点”豁免管理。在环境风险可控的前提下，根据省级生态环境部门确定的方案，对属于危险废物的浸出渣、除杂渣（净化渣）、钾钠盐、烟气处理渣开展“点对点”定向利用，即危险废物可作为另外一家单位环境治理或工业原料生产的替代原料进行使用。危险废物采用“点对点”方式定向利用的，运输工具满足防雨、防渗漏、防遗撒要求，运输环节实行豁免管理。对于列入《国家危险废物名录》附录《危险废物豁免管理清单》中的废弃含油抹布和劳保用品等危险废物，当满足《危险废物豁免管理清单》中列出的豁免条件时，在所列的豁免环节可不按危险废物管理。</w:t>
                  </w:r>
                </w:p>
              </w:tc>
              <w:tc>
                <w:tcPr>
                  <w:tcW w:w="1756" w:type="pct"/>
                  <w:vAlign w:val="center"/>
                </w:tcPr>
                <w:p w14:paraId="6161F883">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本项目原料为一般固废</w:t>
                  </w:r>
                </w:p>
              </w:tc>
              <w:tc>
                <w:tcPr>
                  <w:tcW w:w="330" w:type="pct"/>
                  <w:vAlign w:val="center"/>
                </w:tcPr>
                <w:p w14:paraId="4F221115">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bl>
          <w:p w14:paraId="198DE905">
            <w:pPr>
              <w:keepNext w:val="0"/>
              <w:keepLines w:val="0"/>
              <w:numPr>
                <w:ilvl w:val="0"/>
                <w:numId w:val="7"/>
              </w:numPr>
              <w:suppressLineNumbers w:val="0"/>
              <w:bidi w:val="0"/>
              <w:spacing w:before="0" w:beforeAutospacing="0" w:after="0" w:afterAutospacing="0"/>
              <w:ind w:left="0" w:leftChars="0" w:right="0" w:firstLine="48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与《江西省生态环境厅深入开展涉铊行业企业排查整治工作方案》</w:t>
            </w:r>
            <w:bookmarkStart w:id="2" w:name="文号"/>
            <w:r>
              <w:rPr>
                <w:rFonts w:hint="eastAsia" w:ascii="Times New Roman" w:hAnsi="Times New Roman" w:eastAsia="宋体" w:cs="Times New Roman"/>
                <w:color w:val="auto"/>
                <w:lang w:val="en-US" w:eastAsia="zh-CN"/>
              </w:rPr>
              <w:t>赣环应急〔2025〕12号</w:t>
            </w:r>
            <w:bookmarkEnd w:id="2"/>
            <w:r>
              <w:rPr>
                <w:rFonts w:hint="eastAsia" w:cs="Times New Roman"/>
                <w:color w:val="auto"/>
                <w:lang w:val="en-US" w:eastAsia="zh-CN"/>
              </w:rPr>
              <w:t>相符性分析</w:t>
            </w:r>
          </w:p>
          <w:p w14:paraId="1BB97E97">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default"/>
                <w:color w:val="auto"/>
                <w:lang w:val="en-US" w:eastAsia="zh-CN"/>
              </w:rPr>
            </w:pPr>
            <w:r>
              <w:rPr>
                <w:rFonts w:hint="eastAsia"/>
                <w:color w:val="auto"/>
                <w:lang w:val="en-US" w:eastAsia="zh-CN"/>
              </w:rPr>
              <w:t>与赣环应急〔2025〕12号文件相符性分析</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45"/>
              <w:gridCol w:w="2930"/>
              <w:gridCol w:w="1084"/>
            </w:tblGrid>
            <w:tr w14:paraId="30371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54" w:type="pct"/>
                  <w:vAlign w:val="center"/>
                </w:tcPr>
                <w:p w14:paraId="4C687EE8">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要求</w:t>
                  </w:r>
                </w:p>
              </w:tc>
              <w:tc>
                <w:tcPr>
                  <w:tcW w:w="1711" w:type="pct"/>
                  <w:vAlign w:val="center"/>
                </w:tcPr>
                <w:p w14:paraId="5881946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本项目情况</w:t>
                  </w:r>
                </w:p>
              </w:tc>
              <w:tc>
                <w:tcPr>
                  <w:tcW w:w="633" w:type="pct"/>
                  <w:vAlign w:val="center"/>
                </w:tcPr>
                <w:p w14:paraId="6EA4056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相符性分析</w:t>
                  </w:r>
                </w:p>
              </w:tc>
            </w:tr>
            <w:tr w14:paraId="69566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4" w:type="pct"/>
                  <w:vAlign w:val="center"/>
                </w:tcPr>
                <w:p w14:paraId="4B12723A">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一是将铊因子纳入项目环评、排污许可证及突发环境事件应急预案管理；</w:t>
                  </w:r>
                </w:p>
              </w:tc>
              <w:tc>
                <w:tcPr>
                  <w:tcW w:w="1711" w:type="pct"/>
                  <w:vAlign w:val="center"/>
                </w:tcPr>
                <w:p w14:paraId="4040B677">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项目已将铊纳入环评、排污许可证及突发环境事件应急预案管理；</w:t>
                  </w:r>
                </w:p>
              </w:tc>
              <w:tc>
                <w:tcPr>
                  <w:tcW w:w="633" w:type="pct"/>
                  <w:vAlign w:val="center"/>
                </w:tcPr>
                <w:p w14:paraId="245E8E4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相符</w:t>
                  </w:r>
                </w:p>
              </w:tc>
            </w:tr>
            <w:tr w14:paraId="092DE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4" w:type="pct"/>
                  <w:vAlign w:val="center"/>
                </w:tcPr>
                <w:p w14:paraId="288E6D49">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二是规范建设涉铊车间排口，严禁涉铊废水同其他废水混合稀释排放，完善除铊治理措施，确保铊因子稳定达标排放；</w:t>
                  </w:r>
                </w:p>
              </w:tc>
              <w:tc>
                <w:tcPr>
                  <w:tcW w:w="1711" w:type="pct"/>
                  <w:vAlign w:val="center"/>
                </w:tcPr>
                <w:p w14:paraId="7B483AEA">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项目无生产废水、生活污水达标排放</w:t>
                  </w:r>
                </w:p>
              </w:tc>
              <w:tc>
                <w:tcPr>
                  <w:tcW w:w="633" w:type="pct"/>
                  <w:vAlign w:val="center"/>
                </w:tcPr>
                <w:p w14:paraId="20E3C90A">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r w14:paraId="29EEA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4" w:type="pct"/>
                  <w:vAlign w:val="center"/>
                </w:tcPr>
                <w:p w14:paraId="7A8C1E2B">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三是构建全链条闭环管理体系，对原料、主副产品和固体废物中铊成分进行检测分析，实现铊元素可核算可追踪；</w:t>
                  </w:r>
                </w:p>
              </w:tc>
              <w:tc>
                <w:tcPr>
                  <w:tcW w:w="1711" w:type="pct"/>
                  <w:vAlign w:val="center"/>
                </w:tcPr>
                <w:p w14:paraId="3D5EEB12">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项目已对铊进行检测分析</w:t>
                  </w:r>
                </w:p>
              </w:tc>
              <w:tc>
                <w:tcPr>
                  <w:tcW w:w="633" w:type="pct"/>
                  <w:vAlign w:val="center"/>
                </w:tcPr>
                <w:p w14:paraId="5423DE04">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r w14:paraId="34C07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4" w:type="pct"/>
                  <w:vAlign w:val="center"/>
                </w:tcPr>
                <w:p w14:paraId="02DDF3B1">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四是规范建设涉铊固体废物贮存场所，建立涉铊固体废物管理台账；</w:t>
                  </w:r>
                </w:p>
              </w:tc>
              <w:tc>
                <w:tcPr>
                  <w:tcW w:w="1711" w:type="pct"/>
                  <w:vAlign w:val="center"/>
                </w:tcPr>
                <w:p w14:paraId="5064C701">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项目已对锂渣建立专门的储存仓库，已建立台账</w:t>
                  </w:r>
                </w:p>
              </w:tc>
              <w:tc>
                <w:tcPr>
                  <w:tcW w:w="633" w:type="pct"/>
                  <w:vAlign w:val="center"/>
                </w:tcPr>
                <w:p w14:paraId="44320C16">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r w14:paraId="2C1F9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4" w:type="pct"/>
                  <w:vAlign w:val="center"/>
                </w:tcPr>
                <w:p w14:paraId="42A5AC31">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五是完善厂区雨、污收集设施，真正做到雨污分流。</w:t>
                  </w:r>
                </w:p>
              </w:tc>
              <w:tc>
                <w:tcPr>
                  <w:tcW w:w="1711" w:type="pct"/>
                  <w:vAlign w:val="center"/>
                </w:tcPr>
                <w:p w14:paraId="1EBC7BE6">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项目已按要求实行雨污分流</w:t>
                  </w:r>
                </w:p>
              </w:tc>
              <w:tc>
                <w:tcPr>
                  <w:tcW w:w="633" w:type="pct"/>
                  <w:vAlign w:val="center"/>
                </w:tcPr>
                <w:p w14:paraId="000FD2A0">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w:t>
                  </w:r>
                </w:p>
              </w:tc>
            </w:tr>
          </w:tbl>
          <w:p w14:paraId="31A52E69">
            <w:pPr>
              <w:keepNext w:val="0"/>
              <w:keepLines w:val="0"/>
              <w:numPr>
                <w:ilvl w:val="0"/>
                <w:numId w:val="7"/>
              </w:numPr>
              <w:suppressLineNumbers w:val="0"/>
              <w:bidi w:val="0"/>
              <w:spacing w:before="0" w:beforeAutospacing="0" w:after="0" w:afterAutospacing="0"/>
              <w:ind w:left="0" w:leftChars="0" w:right="0" w:firstLine="48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与《江西省生态环境厅关于开展涉铊重点行业企业自动监控工作的通知》赣环应急〔2023〕2号）相符性分析</w:t>
            </w:r>
          </w:p>
          <w:p w14:paraId="7CBA8881">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eastAsia"/>
                <w:color w:val="auto"/>
                <w:lang w:val="en-US" w:eastAsia="zh-CN"/>
              </w:rPr>
            </w:pPr>
            <w:r>
              <w:rPr>
                <w:rFonts w:hint="eastAsia"/>
                <w:color w:val="auto"/>
                <w:lang w:val="en-US" w:eastAsia="zh-CN"/>
              </w:rPr>
              <w:t>与赣环应急〔2023〕2号相符性分析表</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7"/>
              <w:gridCol w:w="4626"/>
              <w:gridCol w:w="1986"/>
              <w:gridCol w:w="1193"/>
            </w:tblGrid>
            <w:tr w14:paraId="43624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3" w:type="dxa"/>
                  <w:gridSpan w:val="2"/>
                  <w:vAlign w:val="center"/>
                </w:tcPr>
                <w:p w14:paraId="003BF8B2">
                  <w:pPr>
                    <w:pStyle w:val="56"/>
                    <w:keepNext w:val="0"/>
                    <w:keepLines w:val="0"/>
                    <w:suppressLineNumbers w:val="0"/>
                    <w:bidi w:val="0"/>
                    <w:spacing w:before="0" w:beforeAutospacing="0" w:after="0" w:afterAutospacing="0"/>
                    <w:ind w:left="0" w:right="0"/>
                    <w:jc w:val="center"/>
                    <w:rPr>
                      <w:rFonts w:hint="eastAsia"/>
                      <w:color w:val="auto"/>
                      <w:lang w:val="en-US" w:eastAsia="zh-CN"/>
                    </w:rPr>
                  </w:pPr>
                  <w:r>
                    <w:rPr>
                      <w:rFonts w:hint="eastAsia"/>
                      <w:color w:val="auto"/>
                      <w:lang w:val="en-US" w:eastAsia="zh-CN"/>
                    </w:rPr>
                    <w:t>文件要求</w:t>
                  </w:r>
                </w:p>
              </w:tc>
              <w:tc>
                <w:tcPr>
                  <w:tcW w:w="1986" w:type="dxa"/>
                  <w:vAlign w:val="center"/>
                </w:tcPr>
                <w:p w14:paraId="6F7BDB3E">
                  <w:pPr>
                    <w:pStyle w:val="56"/>
                    <w:keepNext w:val="0"/>
                    <w:keepLines w:val="0"/>
                    <w:suppressLineNumbers w:val="0"/>
                    <w:bidi w:val="0"/>
                    <w:spacing w:before="0" w:beforeAutospacing="0" w:after="0" w:afterAutospacing="0"/>
                    <w:ind w:left="0" w:right="0"/>
                    <w:jc w:val="center"/>
                    <w:rPr>
                      <w:rFonts w:hint="eastAsia"/>
                      <w:color w:val="auto"/>
                      <w:lang w:val="en-US" w:eastAsia="zh-CN"/>
                    </w:rPr>
                  </w:pPr>
                  <w:r>
                    <w:rPr>
                      <w:rFonts w:hint="eastAsia"/>
                      <w:color w:val="auto"/>
                      <w:lang w:val="en-US" w:eastAsia="zh-CN"/>
                    </w:rPr>
                    <w:t>本项目实际情况</w:t>
                  </w:r>
                </w:p>
              </w:tc>
              <w:tc>
                <w:tcPr>
                  <w:tcW w:w="1193" w:type="dxa"/>
                  <w:vAlign w:val="center"/>
                </w:tcPr>
                <w:p w14:paraId="00458834">
                  <w:pPr>
                    <w:pStyle w:val="56"/>
                    <w:keepNext w:val="0"/>
                    <w:keepLines w:val="0"/>
                    <w:suppressLineNumbers w:val="0"/>
                    <w:bidi w:val="0"/>
                    <w:spacing w:before="0" w:beforeAutospacing="0" w:after="0" w:afterAutospacing="0"/>
                    <w:ind w:left="0" w:right="0"/>
                    <w:jc w:val="center"/>
                    <w:rPr>
                      <w:rFonts w:hint="eastAsia"/>
                      <w:color w:val="auto"/>
                      <w:lang w:val="en-US" w:eastAsia="zh-CN"/>
                    </w:rPr>
                  </w:pPr>
                  <w:r>
                    <w:rPr>
                      <w:rFonts w:hint="eastAsia"/>
                      <w:color w:val="auto"/>
                      <w:lang w:val="en-US" w:eastAsia="zh-CN"/>
                    </w:rPr>
                    <w:t>相符性分析</w:t>
                  </w:r>
                </w:p>
              </w:tc>
            </w:tr>
            <w:tr w14:paraId="78B07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vMerge w:val="restart"/>
                  <w:vAlign w:val="center"/>
                </w:tcPr>
                <w:p w14:paraId="73DEA62B">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rPr>
                    <w:t>建设要求</w:t>
                  </w:r>
                </w:p>
              </w:tc>
              <w:tc>
                <w:tcPr>
                  <w:tcW w:w="4626" w:type="dxa"/>
                  <w:vAlign w:val="center"/>
                </w:tcPr>
                <w:p w14:paraId="11E0AA1E">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各地可在前期制定的全口径涉重金属重点行业企业清单的基础上，结合当地涉铊重点行业企业主要包括铅、锌、锡、锑、汞等重有色金属冶炼及采选；钢铁；涉及硫铁矿制硫酸的硫酸制造和磷肥制造：涉铊、锌、铜、铅重金属无机化合物；以锂辉石和锂云母为原料制备锂盐产品；其他含铊矿（稀土等）采选以及含铊灰渣（瓦斯灰等）利用等高风险行业的企业情况，凡属重点单位（含重点排污单位及排污许可重点管理单位）且具备污染源自动监测安装条件的，确定为实施铊污染物排放自动监测的排污单位。</w:t>
                  </w:r>
                </w:p>
              </w:tc>
              <w:tc>
                <w:tcPr>
                  <w:tcW w:w="1986" w:type="dxa"/>
                  <w:vAlign w:val="center"/>
                </w:tcPr>
                <w:p w14:paraId="565DC989">
                  <w:pPr>
                    <w:pStyle w:val="56"/>
                    <w:keepNext w:val="0"/>
                    <w:keepLines w:val="0"/>
                    <w:suppressLineNumbers w:val="0"/>
                    <w:bidi w:val="0"/>
                    <w:spacing w:before="0" w:beforeAutospacing="0" w:after="0" w:afterAutospacing="0"/>
                    <w:ind w:left="0" w:right="0"/>
                    <w:rPr>
                      <w:rFonts w:hint="eastAsia"/>
                      <w:color w:val="auto"/>
                      <w:lang w:val="en-US" w:eastAsia="zh-CN"/>
                    </w:rPr>
                  </w:pPr>
                </w:p>
                <w:p w14:paraId="786B69EF">
                  <w:pPr>
                    <w:pStyle w:val="56"/>
                    <w:keepNext w:val="0"/>
                    <w:keepLines w:val="0"/>
                    <w:suppressLineNumbers w:val="0"/>
                    <w:bidi w:val="0"/>
                    <w:spacing w:before="0" w:beforeAutospacing="0" w:after="0" w:afterAutospacing="0"/>
                    <w:ind w:left="0" w:right="0"/>
                    <w:rPr>
                      <w:rFonts w:hint="eastAsia"/>
                      <w:color w:val="auto"/>
                      <w:lang w:val="en-US" w:eastAsia="zh-CN"/>
                    </w:rPr>
                  </w:pPr>
                </w:p>
                <w:p w14:paraId="45782CE9">
                  <w:pPr>
                    <w:pStyle w:val="56"/>
                    <w:keepNext w:val="0"/>
                    <w:keepLines w:val="0"/>
                    <w:suppressLineNumbers w:val="0"/>
                    <w:bidi w:val="0"/>
                    <w:spacing w:before="0" w:beforeAutospacing="0" w:after="0" w:afterAutospacing="0"/>
                    <w:ind w:left="0" w:right="0"/>
                    <w:rPr>
                      <w:rFonts w:hint="eastAsia"/>
                      <w:color w:val="auto"/>
                      <w:lang w:val="en-US" w:eastAsia="zh-CN"/>
                    </w:rPr>
                  </w:pPr>
                </w:p>
                <w:p w14:paraId="4EAAA50D">
                  <w:pPr>
                    <w:pStyle w:val="56"/>
                    <w:keepNext w:val="0"/>
                    <w:keepLines w:val="0"/>
                    <w:suppressLineNumbers w:val="0"/>
                    <w:bidi w:val="0"/>
                    <w:spacing w:before="0" w:beforeAutospacing="0" w:after="0" w:afterAutospacing="0"/>
                    <w:ind w:left="0" w:right="0"/>
                    <w:rPr>
                      <w:rFonts w:hint="eastAsia"/>
                      <w:color w:val="auto"/>
                      <w:lang w:val="en-US" w:eastAsia="zh-CN"/>
                    </w:rPr>
                  </w:pPr>
                </w:p>
                <w:p w14:paraId="23C3BECE">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本项目锂渣中含有铊因子；本环评要求建设单位在雨水排放口安装氟化物、铊在线监测设备，并与市、县两级在线监控管理平台联网。</w:t>
                  </w:r>
                </w:p>
              </w:tc>
              <w:tc>
                <w:tcPr>
                  <w:tcW w:w="1193" w:type="dxa"/>
                  <w:vAlign w:val="center"/>
                </w:tcPr>
                <w:p w14:paraId="603F6359">
                  <w:pPr>
                    <w:pStyle w:val="56"/>
                    <w:keepNext w:val="0"/>
                    <w:keepLines w:val="0"/>
                    <w:suppressLineNumbers w:val="0"/>
                    <w:bidi w:val="0"/>
                    <w:spacing w:before="0" w:beforeAutospacing="0" w:after="0" w:afterAutospacing="0"/>
                    <w:ind w:left="0" w:right="0"/>
                    <w:rPr>
                      <w:rFonts w:hint="eastAsia"/>
                      <w:color w:val="auto"/>
                      <w:lang w:val="en-US" w:eastAsia="zh-CN"/>
                    </w:rPr>
                  </w:pPr>
                </w:p>
                <w:p w14:paraId="08D89F6F">
                  <w:pPr>
                    <w:pStyle w:val="56"/>
                    <w:keepNext w:val="0"/>
                    <w:keepLines w:val="0"/>
                    <w:suppressLineNumbers w:val="0"/>
                    <w:bidi w:val="0"/>
                    <w:spacing w:before="0" w:beforeAutospacing="0" w:after="0" w:afterAutospacing="0"/>
                    <w:ind w:left="0" w:right="0"/>
                    <w:rPr>
                      <w:rFonts w:hint="eastAsia"/>
                      <w:color w:val="auto"/>
                      <w:lang w:val="en-US" w:eastAsia="zh-CN"/>
                    </w:rPr>
                  </w:pPr>
                </w:p>
                <w:p w14:paraId="7ED9E3FE">
                  <w:pPr>
                    <w:pStyle w:val="56"/>
                    <w:keepNext w:val="0"/>
                    <w:keepLines w:val="0"/>
                    <w:suppressLineNumbers w:val="0"/>
                    <w:bidi w:val="0"/>
                    <w:spacing w:before="0" w:beforeAutospacing="0" w:after="0" w:afterAutospacing="0"/>
                    <w:ind w:left="0" w:right="0"/>
                    <w:rPr>
                      <w:rFonts w:hint="eastAsia"/>
                      <w:color w:val="auto"/>
                      <w:lang w:val="en-US" w:eastAsia="zh-CN"/>
                    </w:rPr>
                  </w:pPr>
                </w:p>
                <w:p w14:paraId="03314D13">
                  <w:pPr>
                    <w:pStyle w:val="56"/>
                    <w:keepNext w:val="0"/>
                    <w:keepLines w:val="0"/>
                    <w:suppressLineNumbers w:val="0"/>
                    <w:bidi w:val="0"/>
                    <w:spacing w:before="0" w:beforeAutospacing="0" w:after="0" w:afterAutospacing="0"/>
                    <w:ind w:left="0" w:right="0"/>
                    <w:rPr>
                      <w:rFonts w:hint="eastAsia"/>
                      <w:color w:val="auto"/>
                      <w:lang w:val="en-US" w:eastAsia="zh-CN"/>
                    </w:rPr>
                  </w:pPr>
                </w:p>
                <w:p w14:paraId="40EFC6D9">
                  <w:pPr>
                    <w:pStyle w:val="56"/>
                    <w:keepNext w:val="0"/>
                    <w:keepLines w:val="0"/>
                    <w:suppressLineNumbers w:val="0"/>
                    <w:bidi w:val="0"/>
                    <w:spacing w:before="0" w:beforeAutospacing="0" w:after="0" w:afterAutospacing="0"/>
                    <w:ind w:left="0" w:right="0"/>
                    <w:rPr>
                      <w:rFonts w:hint="eastAsia"/>
                      <w:color w:val="auto"/>
                      <w:lang w:val="en-US" w:eastAsia="zh-CN"/>
                    </w:rPr>
                  </w:pPr>
                </w:p>
                <w:p w14:paraId="6D6EC691">
                  <w:pPr>
                    <w:pStyle w:val="56"/>
                    <w:keepNext w:val="0"/>
                    <w:keepLines w:val="0"/>
                    <w:suppressLineNumbers w:val="0"/>
                    <w:bidi w:val="0"/>
                    <w:spacing w:before="0" w:beforeAutospacing="0" w:after="0" w:afterAutospacing="0"/>
                    <w:ind w:left="0" w:right="0"/>
                    <w:rPr>
                      <w:rFonts w:hint="eastAsia"/>
                      <w:color w:val="auto"/>
                      <w:lang w:val="en-US" w:eastAsia="zh-CN"/>
                    </w:rPr>
                  </w:pPr>
                </w:p>
                <w:p w14:paraId="4357050A">
                  <w:pPr>
                    <w:pStyle w:val="56"/>
                    <w:keepNext w:val="0"/>
                    <w:keepLines w:val="0"/>
                    <w:suppressLineNumbers w:val="0"/>
                    <w:bidi w:val="0"/>
                    <w:spacing w:before="0" w:beforeAutospacing="0" w:after="0" w:afterAutospacing="0"/>
                    <w:ind w:left="0" w:right="0"/>
                    <w:rPr>
                      <w:rFonts w:hint="eastAsia"/>
                      <w:color w:val="auto"/>
                      <w:lang w:val="en-US" w:eastAsia="zh-CN"/>
                    </w:rPr>
                  </w:pPr>
                </w:p>
                <w:p w14:paraId="3043396B">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符合</w:t>
                  </w:r>
                </w:p>
              </w:tc>
            </w:tr>
            <w:tr w14:paraId="3EAD2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vMerge w:val="continue"/>
                  <w:vAlign w:val="center"/>
                </w:tcPr>
                <w:p w14:paraId="0A1AF06E">
                  <w:pPr>
                    <w:pStyle w:val="56"/>
                    <w:keepNext w:val="0"/>
                    <w:keepLines w:val="0"/>
                    <w:suppressLineNumbers w:val="0"/>
                    <w:bidi w:val="0"/>
                    <w:spacing w:before="0" w:beforeAutospacing="0" w:after="0" w:afterAutospacing="0"/>
                    <w:ind w:left="0" w:right="0"/>
                    <w:rPr>
                      <w:rFonts w:hint="eastAsia"/>
                      <w:color w:val="auto"/>
                      <w:lang w:val="en-US" w:eastAsia="zh-CN"/>
                    </w:rPr>
                  </w:pPr>
                </w:p>
              </w:tc>
              <w:tc>
                <w:tcPr>
                  <w:tcW w:w="4626" w:type="dxa"/>
                  <w:vAlign w:val="center"/>
                </w:tcPr>
                <w:p w14:paraId="63EC11BE">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涉铊重点单位为安装铊污染物排放自动监测设备的责任主体，承担自动监测设备的建设、运行、维护费用。</w:t>
                  </w:r>
                </w:p>
                <w:p w14:paraId="1F1AC778">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地方生态环境部门负责指导、协调及监督铊污染物排放自动监测设备的管理工作</w:t>
                  </w:r>
                </w:p>
              </w:tc>
              <w:tc>
                <w:tcPr>
                  <w:tcW w:w="1986" w:type="dxa"/>
                  <w:vAlign w:val="center"/>
                </w:tcPr>
                <w:p w14:paraId="19254A2A">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本项目为自动监测设备维护运行责任主体，并自主承担自动监测设备的建设、运行、维护费用。</w:t>
                  </w:r>
                </w:p>
              </w:tc>
              <w:tc>
                <w:tcPr>
                  <w:tcW w:w="1193" w:type="dxa"/>
                  <w:vAlign w:val="center"/>
                </w:tcPr>
                <w:p w14:paraId="4E0607B9">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符合</w:t>
                  </w:r>
                </w:p>
              </w:tc>
            </w:tr>
            <w:tr w14:paraId="77162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7" w:type="dxa"/>
                  <w:vMerge w:val="continue"/>
                  <w:vAlign w:val="center"/>
                </w:tcPr>
                <w:p w14:paraId="4E712EDD">
                  <w:pPr>
                    <w:pStyle w:val="56"/>
                    <w:keepNext w:val="0"/>
                    <w:keepLines w:val="0"/>
                    <w:suppressLineNumbers w:val="0"/>
                    <w:bidi w:val="0"/>
                    <w:spacing w:before="0" w:beforeAutospacing="0" w:after="0" w:afterAutospacing="0"/>
                    <w:ind w:left="0" w:right="0"/>
                    <w:rPr>
                      <w:rFonts w:hint="eastAsia"/>
                      <w:color w:val="auto"/>
                      <w:lang w:val="en-US" w:eastAsia="zh-CN"/>
                    </w:rPr>
                  </w:pPr>
                </w:p>
              </w:tc>
              <w:tc>
                <w:tcPr>
                  <w:tcW w:w="4626" w:type="dxa"/>
                  <w:vAlign w:val="center"/>
                </w:tcPr>
                <w:p w14:paraId="07D65694">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涉铊重点单位须按照《工业废水铊污染物排放标准》（DB36/1149-2019）或相关行业排放标准及其修改单规定要求，在车间或生产设施废水排放口安装铊污染物排放自动监测设备，并与省污染源自动监控平台联网，同时在涉铊工艺、设施、储存点、车间和生产设施排放口等重点区域安装视频监控。鼓励在企业总排口同步安装铊污染物排放自动监测设备，在重点部位和关键节点安装用电（能）监控。各地有更严格规定的，从其规定。设备建设运行应满足《江西省污染源自动监控管理办法》要求。</w:t>
                  </w:r>
                </w:p>
              </w:tc>
              <w:tc>
                <w:tcPr>
                  <w:tcW w:w="1986" w:type="dxa"/>
                  <w:vAlign w:val="center"/>
                </w:tcPr>
                <w:p w14:paraId="2E3480EC">
                  <w:pPr>
                    <w:pStyle w:val="56"/>
                    <w:keepNext w:val="0"/>
                    <w:keepLines w:val="0"/>
                    <w:suppressLineNumbers w:val="0"/>
                    <w:bidi w:val="0"/>
                    <w:spacing w:before="0" w:beforeAutospacing="0" w:after="0" w:afterAutospacing="0"/>
                    <w:ind w:left="0" w:right="0"/>
                    <w:rPr>
                      <w:rFonts w:hint="eastAsia"/>
                      <w:color w:val="auto"/>
                      <w:lang w:val="en-US" w:eastAsia="zh-CN"/>
                    </w:rPr>
                  </w:pPr>
                </w:p>
                <w:p w14:paraId="681AF07F">
                  <w:pPr>
                    <w:pStyle w:val="56"/>
                    <w:keepNext w:val="0"/>
                    <w:keepLines w:val="0"/>
                    <w:suppressLineNumbers w:val="0"/>
                    <w:bidi w:val="0"/>
                    <w:spacing w:before="0" w:beforeAutospacing="0" w:after="0" w:afterAutospacing="0"/>
                    <w:ind w:left="0" w:right="0"/>
                    <w:rPr>
                      <w:rFonts w:hint="eastAsia"/>
                      <w:color w:val="auto"/>
                      <w:lang w:val="en-US" w:eastAsia="zh-CN"/>
                    </w:rPr>
                  </w:pPr>
                </w:p>
                <w:p w14:paraId="65291173">
                  <w:pPr>
                    <w:pStyle w:val="56"/>
                    <w:keepNext w:val="0"/>
                    <w:keepLines w:val="0"/>
                    <w:suppressLineNumbers w:val="0"/>
                    <w:bidi w:val="0"/>
                    <w:spacing w:before="0" w:beforeAutospacing="0" w:after="0" w:afterAutospacing="0"/>
                    <w:ind w:left="0" w:right="0"/>
                    <w:rPr>
                      <w:rFonts w:hint="eastAsia"/>
                      <w:color w:val="auto"/>
                      <w:lang w:val="en-US" w:eastAsia="zh-CN"/>
                    </w:rPr>
                  </w:pPr>
                </w:p>
                <w:p w14:paraId="2914DD9E">
                  <w:pPr>
                    <w:pStyle w:val="56"/>
                    <w:keepNext w:val="0"/>
                    <w:keepLines w:val="0"/>
                    <w:suppressLineNumbers w:val="0"/>
                    <w:bidi w:val="0"/>
                    <w:spacing w:before="0" w:beforeAutospacing="0" w:after="0" w:afterAutospacing="0"/>
                    <w:ind w:left="0" w:right="0"/>
                    <w:rPr>
                      <w:rFonts w:hint="eastAsia"/>
                      <w:color w:val="auto"/>
                      <w:lang w:val="en-US" w:eastAsia="zh-CN"/>
                    </w:rPr>
                  </w:pPr>
                </w:p>
                <w:p w14:paraId="736F8DEF">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根据表列涉铊重点行业类别，本项目不属于涉铊重点行业企业，本环评要求建设单位在雨水排放口安装氟化物、铊在线监测设备，并与市、县两级在线监控管理平台联网。</w:t>
                  </w:r>
                </w:p>
              </w:tc>
              <w:tc>
                <w:tcPr>
                  <w:tcW w:w="1193" w:type="dxa"/>
                  <w:vAlign w:val="center"/>
                </w:tcPr>
                <w:p w14:paraId="1FCBA761">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符合</w:t>
                  </w:r>
                </w:p>
              </w:tc>
            </w:tr>
            <w:tr w14:paraId="0AD43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7" w:type="dxa"/>
                  <w:vMerge w:val="continue"/>
                  <w:vAlign w:val="center"/>
                </w:tcPr>
                <w:p w14:paraId="4A38C09F">
                  <w:pPr>
                    <w:pStyle w:val="56"/>
                    <w:keepNext w:val="0"/>
                    <w:keepLines w:val="0"/>
                    <w:suppressLineNumbers w:val="0"/>
                    <w:bidi w:val="0"/>
                    <w:spacing w:before="0" w:beforeAutospacing="0" w:after="0" w:afterAutospacing="0"/>
                    <w:ind w:left="0" w:right="0"/>
                    <w:rPr>
                      <w:rFonts w:hint="eastAsia"/>
                      <w:color w:val="auto"/>
                      <w:lang w:val="en-US" w:eastAsia="zh-CN"/>
                    </w:rPr>
                  </w:pPr>
                </w:p>
              </w:tc>
              <w:tc>
                <w:tcPr>
                  <w:tcW w:w="4626" w:type="dxa"/>
                  <w:vAlign w:val="center"/>
                </w:tcPr>
                <w:p w14:paraId="6A108491">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涉铊重点单位应优先选择性能稳定性好的铊污染物排放自动监测设备，相关设备的安装、验收、运行及数据有效性判别可参照水污染源在线监测系统（CODCr、NH3-N等）安装、验收、运行、数据有效性判别相关技术规范要求，具体性能指标应满足设备操作或使用说明书要求。相关单位需严格落实铊自动监测设备运维及质控要求，保证设备正常运行，确保数据真实准确，每月至少开展1次铊自动监测设备比对监测</w:t>
                  </w:r>
                </w:p>
              </w:tc>
              <w:tc>
                <w:tcPr>
                  <w:tcW w:w="1986" w:type="dxa"/>
                  <w:vAlign w:val="center"/>
                </w:tcPr>
                <w:p w14:paraId="0365B742">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本项目将严格落实铊自动监测设备运维及质控要求，保证设备正常运行，确保数据真实准确，每月至少开展1次铊自动监测设备比对监测。</w:t>
                  </w:r>
                </w:p>
              </w:tc>
              <w:tc>
                <w:tcPr>
                  <w:tcW w:w="1193" w:type="dxa"/>
                  <w:vAlign w:val="center"/>
                </w:tcPr>
                <w:p w14:paraId="36C87841">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符合</w:t>
                  </w:r>
                </w:p>
              </w:tc>
            </w:tr>
          </w:tbl>
          <w:p w14:paraId="6C192C84">
            <w:pPr>
              <w:keepNext w:val="0"/>
              <w:keepLines w:val="0"/>
              <w:numPr>
                <w:ilvl w:val="0"/>
                <w:numId w:val="7"/>
              </w:numPr>
              <w:suppressLineNumbers w:val="0"/>
              <w:bidi w:val="0"/>
              <w:spacing w:before="0" w:beforeAutospacing="0" w:after="0" w:afterAutospacing="0"/>
              <w:ind w:left="0" w:leftChars="0" w:right="0" w:firstLine="48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与《二次提锂（以工业废渣为原料进行提锂）行业生态环境监管标准</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试行</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w:t>
            </w:r>
            <w:r>
              <w:rPr>
                <w:rFonts w:hint="eastAsia" w:ascii="Times New Roman" w:hAnsi="Times New Roman" w:eastAsia="宋体" w:cs="Times New Roman"/>
                <w:color w:val="auto"/>
                <w:lang w:val="en-US" w:eastAsia="zh-CN"/>
              </w:rPr>
              <w:t>相符性分析</w:t>
            </w:r>
          </w:p>
          <w:p w14:paraId="739D45E8">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default"/>
                <w:color w:val="auto"/>
                <w:lang w:val="en-US" w:eastAsia="zh-CN"/>
              </w:rPr>
            </w:pPr>
            <w:r>
              <w:rPr>
                <w:rFonts w:hint="default"/>
                <w:color w:val="auto"/>
                <w:lang w:val="en-US" w:eastAsia="zh-CN"/>
              </w:rPr>
              <w:t>与《二次提锂（以工业废渣为原料进行提锂）行业生态环境监管标</w:t>
            </w:r>
          </w:p>
          <w:p w14:paraId="123368D0">
            <w:pPr>
              <w:keepNext w:val="0"/>
              <w:keepLines w:val="0"/>
              <w:suppressLineNumbers w:val="0"/>
              <w:spacing w:before="0" w:beforeAutospacing="0" w:after="0" w:afterAutospacing="0"/>
              <w:ind w:left="0" w:right="0" w:firstLine="843" w:firstLineChars="400"/>
              <w:jc w:val="center"/>
              <w:rPr>
                <w:rFonts w:hint="default" w:ascii="Times New Roman" w:hAnsi="Times New Roman" w:eastAsia="宋体" w:cs="Times New Roman"/>
                <w:b/>
                <w:color w:val="auto"/>
                <w:kern w:val="2"/>
                <w:sz w:val="21"/>
                <w:szCs w:val="20"/>
                <w:lang w:val="en-US" w:eastAsia="zh-CN" w:bidi="ar-SA"/>
              </w:rPr>
            </w:pPr>
            <w:r>
              <w:rPr>
                <w:rFonts w:hint="default" w:ascii="Times New Roman" w:hAnsi="Times New Roman" w:eastAsia="宋体" w:cs="Times New Roman"/>
                <w:b/>
                <w:color w:val="auto"/>
                <w:kern w:val="2"/>
                <w:sz w:val="21"/>
                <w:szCs w:val="20"/>
                <w:lang w:val="en-US" w:eastAsia="zh-CN" w:bidi="ar-SA"/>
              </w:rPr>
              <w:t>准</w:t>
            </w:r>
            <w:r>
              <w:rPr>
                <w:rFonts w:hint="eastAsia" w:ascii="Times New Roman" w:hAnsi="Times New Roman" w:eastAsia="宋体" w:cs="Times New Roman"/>
                <w:b/>
                <w:color w:val="auto"/>
                <w:kern w:val="2"/>
                <w:sz w:val="21"/>
                <w:szCs w:val="20"/>
                <w:lang w:val="en-US" w:eastAsia="zh-CN" w:bidi="ar-SA"/>
              </w:rPr>
              <w:t>（</w:t>
            </w:r>
            <w:r>
              <w:rPr>
                <w:rFonts w:hint="default" w:ascii="Times New Roman" w:hAnsi="Times New Roman" w:eastAsia="宋体" w:cs="Times New Roman"/>
                <w:b/>
                <w:color w:val="auto"/>
                <w:kern w:val="2"/>
                <w:sz w:val="21"/>
                <w:szCs w:val="20"/>
                <w:lang w:val="en-US" w:eastAsia="zh-CN" w:bidi="ar-SA"/>
              </w:rPr>
              <w:t>试行</w:t>
            </w:r>
            <w:r>
              <w:rPr>
                <w:rFonts w:hint="eastAsia" w:ascii="Times New Roman" w:hAnsi="Times New Roman" w:eastAsia="宋体" w:cs="Times New Roman"/>
                <w:b/>
                <w:color w:val="auto"/>
                <w:kern w:val="2"/>
                <w:sz w:val="21"/>
                <w:szCs w:val="20"/>
                <w:lang w:val="en-US" w:eastAsia="zh-CN" w:bidi="ar-SA"/>
              </w:rPr>
              <w:t>）</w:t>
            </w:r>
            <w:r>
              <w:rPr>
                <w:rFonts w:hint="default" w:ascii="Times New Roman" w:hAnsi="Times New Roman" w:eastAsia="宋体" w:cs="Times New Roman"/>
                <w:b/>
                <w:color w:val="auto"/>
                <w:kern w:val="2"/>
                <w:sz w:val="21"/>
                <w:szCs w:val="20"/>
                <w:lang w:val="en-US" w:eastAsia="zh-CN" w:bidi="ar-SA"/>
              </w:rPr>
              <w:t>》</w:t>
            </w:r>
            <w:r>
              <w:rPr>
                <w:rFonts w:hint="eastAsia" w:cs="Times New Roman"/>
                <w:b/>
                <w:color w:val="auto"/>
                <w:kern w:val="2"/>
                <w:sz w:val="21"/>
                <w:szCs w:val="20"/>
                <w:lang w:val="en-US" w:eastAsia="zh-CN" w:bidi="ar-SA"/>
              </w:rPr>
              <w:t>相符性分析</w:t>
            </w:r>
          </w:p>
          <w:tbl>
            <w:tblPr>
              <w:tblStyle w:val="29"/>
              <w:tblW w:w="8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82"/>
              <w:gridCol w:w="3338"/>
              <w:gridCol w:w="1019"/>
            </w:tblGrid>
            <w:tr w14:paraId="2279F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2" w:type="dxa"/>
                  <w:vAlign w:val="top"/>
                </w:tcPr>
                <w:p w14:paraId="695F7364">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文件要求</w:t>
                  </w:r>
                </w:p>
              </w:tc>
              <w:tc>
                <w:tcPr>
                  <w:tcW w:w="3338" w:type="dxa"/>
                  <w:vAlign w:val="top"/>
                </w:tcPr>
                <w:p w14:paraId="3ED27BA0">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本项目措施</w:t>
                  </w:r>
                </w:p>
              </w:tc>
              <w:tc>
                <w:tcPr>
                  <w:tcW w:w="1019" w:type="dxa"/>
                  <w:vAlign w:val="top"/>
                </w:tcPr>
                <w:p w14:paraId="7ED8832C">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相符性分析</w:t>
                  </w:r>
                </w:p>
              </w:tc>
            </w:tr>
            <w:tr w14:paraId="560F3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2" w:type="dxa"/>
                  <w:vAlign w:val="top"/>
                </w:tcPr>
                <w:p w14:paraId="282C3601">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以陶瓷企业改造的锂渣综合利用项目不得以宜春市范围外含锂工业固废作为原料，未取得环评批复不得生产，园区外陶瓷企业改造为锂渣综合利用项目应采用高标准技术改造，经济效益和环境效益相对原陶瓷企业都有提升，且经属地县级政府同意。</w:t>
                  </w:r>
                </w:p>
              </w:tc>
              <w:tc>
                <w:tcPr>
                  <w:tcW w:w="3338" w:type="dxa"/>
                  <w:vAlign w:val="top"/>
                </w:tcPr>
                <w:p w14:paraId="1B47FF15">
                  <w:pPr>
                    <w:pStyle w:val="56"/>
                    <w:keepNext w:val="0"/>
                    <w:keepLines w:val="0"/>
                    <w:suppressLineNumbers w:val="0"/>
                    <w:bidi w:val="0"/>
                    <w:spacing w:before="0" w:beforeAutospacing="0" w:after="0" w:afterAutospacing="0"/>
                    <w:ind w:left="0" w:right="0"/>
                    <w:rPr>
                      <w:rFonts w:hint="default"/>
                      <w:color w:val="auto"/>
                      <w:lang w:val="en-US" w:eastAsia="zh-CN"/>
                    </w:rPr>
                  </w:pPr>
                </w:p>
                <w:p w14:paraId="7A4BA98B">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本项目原料来源于高安本地，取得环评批复后企业才会生产。本项目建设单位不属于陶瓷企业。</w:t>
                  </w:r>
                </w:p>
              </w:tc>
              <w:tc>
                <w:tcPr>
                  <w:tcW w:w="1019" w:type="dxa"/>
                  <w:vAlign w:val="top"/>
                </w:tcPr>
                <w:p w14:paraId="7C64ABDD">
                  <w:pPr>
                    <w:pStyle w:val="56"/>
                    <w:keepNext w:val="0"/>
                    <w:keepLines w:val="0"/>
                    <w:suppressLineNumbers w:val="0"/>
                    <w:bidi w:val="0"/>
                    <w:spacing w:before="0" w:beforeAutospacing="0" w:after="0" w:afterAutospacing="0"/>
                    <w:ind w:left="0" w:right="0"/>
                    <w:rPr>
                      <w:rFonts w:hint="default"/>
                      <w:color w:val="auto"/>
                      <w:lang w:val="en-US" w:eastAsia="zh-CN"/>
                    </w:rPr>
                  </w:pPr>
                </w:p>
                <w:p w14:paraId="5514D769">
                  <w:pPr>
                    <w:pStyle w:val="56"/>
                    <w:keepNext w:val="0"/>
                    <w:keepLines w:val="0"/>
                    <w:suppressLineNumbers w:val="0"/>
                    <w:bidi w:val="0"/>
                    <w:spacing w:before="0" w:beforeAutospacing="0" w:after="0" w:afterAutospacing="0"/>
                    <w:ind w:left="0" w:right="0"/>
                    <w:rPr>
                      <w:rFonts w:hint="default"/>
                      <w:color w:val="auto"/>
                      <w:lang w:val="en-US" w:eastAsia="zh-CN"/>
                    </w:rPr>
                  </w:pPr>
                </w:p>
                <w:p w14:paraId="5A1694FA">
                  <w:pPr>
                    <w:pStyle w:val="56"/>
                    <w:keepNext w:val="0"/>
                    <w:keepLines w:val="0"/>
                    <w:suppressLineNumbers w:val="0"/>
                    <w:bidi w:val="0"/>
                    <w:spacing w:before="0" w:beforeAutospacing="0" w:after="0" w:afterAutospacing="0"/>
                    <w:ind w:left="0" w:right="0"/>
                    <w:rPr>
                      <w:rFonts w:hint="default"/>
                      <w:color w:val="auto"/>
                      <w:lang w:val="en-US" w:eastAsia="zh-CN"/>
                    </w:rPr>
                  </w:pPr>
                </w:p>
                <w:p w14:paraId="7A9DE607">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r w14:paraId="57638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2" w:type="dxa"/>
                </w:tcPr>
                <w:p w14:paraId="449FDB65">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原料来源合法合规，不得擅自使用环评未批复的原料，对从外地以及国外进口的原料开展放射性分析，如涉及危险废物、五类重金属、含高氟工业固废等不得作为原料。</w:t>
                  </w:r>
                </w:p>
              </w:tc>
              <w:tc>
                <w:tcPr>
                  <w:tcW w:w="3338" w:type="dxa"/>
                </w:tcPr>
                <w:p w14:paraId="1F85CB8E">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锂渣均来源于周边合规企业，均取得环评批复，环评要求建设单位在签订入厂原料协议前，确定原料来源于环评已批复的原料，均来源于本地，对涉及危险废物、五类重金属、含高氟等的工业固废不作为原料。</w:t>
                  </w:r>
                </w:p>
              </w:tc>
              <w:tc>
                <w:tcPr>
                  <w:tcW w:w="1019" w:type="dxa"/>
                </w:tcPr>
                <w:p w14:paraId="6DAD0D90">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r w14:paraId="3199D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82" w:type="dxa"/>
                </w:tcPr>
                <w:p w14:paraId="6EA82BDC">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厂区道路和作业场地做好硬化，分区分类规范堆放物料，堆放场地设置溢流堰和导流沟，做好雨污分流，建设明管明沟，科学设置循环沉淀池和事故应急池，初期雨水收集池按照厂区面积不低于每公顷300立方米的标准建设，初期雨水收集后进入污水处理系统</w:t>
                  </w:r>
                </w:p>
              </w:tc>
              <w:tc>
                <w:tcPr>
                  <w:tcW w:w="3338" w:type="dxa"/>
                </w:tcPr>
                <w:p w14:paraId="71B6B226">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本项目厂区道路和作业场地已做好硬化，原料堆放在原料仓库，仓库内设置溢流堰和导流沟，物料进行分区分类，已做好雨污分流，建设明管明沟，本项目设置</w:t>
                  </w:r>
                  <w:r>
                    <w:rPr>
                      <w:rFonts w:hint="eastAsia"/>
                      <w:color w:val="auto"/>
                      <w:lang w:val="en-US" w:eastAsia="zh-CN"/>
                    </w:rPr>
                    <w:t>960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color w:val="auto"/>
                      <w:lang w:val="en-US" w:eastAsia="zh-CN"/>
                    </w:rPr>
                    <w:t>初期雨水池（项目占地面积</w:t>
                  </w:r>
                </w:p>
                <w:p w14:paraId="2DA1DFEE">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约</w:t>
                  </w:r>
                  <w:r>
                    <w:rPr>
                      <w:rFonts w:hint="eastAsia"/>
                      <w:color w:val="auto"/>
                      <w:lang w:val="en-US" w:eastAsia="zh-CN"/>
                    </w:rPr>
                    <w:t>12000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color w:val="auto"/>
                      <w:lang w:val="en-US" w:eastAsia="zh-CN"/>
                    </w:rPr>
                    <w:t>，满足按照厂区面积不低于每公顷300立方米的标准建设，初期雨水收集后进入初期雨水收集池（</w:t>
                  </w:r>
                  <w:r>
                    <w:rPr>
                      <w:rFonts w:hint="eastAsia"/>
                      <w:color w:val="auto"/>
                      <w:lang w:val="en-US" w:eastAsia="zh-CN"/>
                    </w:rPr>
                    <w:t>沉淀</w:t>
                  </w:r>
                  <w:r>
                    <w:rPr>
                      <w:rFonts w:hint="default"/>
                      <w:color w:val="auto"/>
                      <w:lang w:val="en-US" w:eastAsia="zh-CN"/>
                    </w:rPr>
                    <w:t>）处理，处理后回用于厂区</w:t>
                  </w:r>
                  <w:r>
                    <w:rPr>
                      <w:rFonts w:hint="eastAsia"/>
                      <w:color w:val="auto"/>
                      <w:lang w:val="en-US" w:eastAsia="zh-CN"/>
                    </w:rPr>
                    <w:t>降尘</w:t>
                  </w:r>
                  <w:r>
                    <w:rPr>
                      <w:rFonts w:hint="default"/>
                      <w:color w:val="auto"/>
                      <w:lang w:val="en-US" w:eastAsia="zh-CN"/>
                    </w:rPr>
                    <w:t xml:space="preserve">。本项目设置 </w:t>
                  </w:r>
                  <w:r>
                    <w:rPr>
                      <w:rFonts w:hint="eastAsia"/>
                      <w:color w:val="auto"/>
                      <w:lang w:val="en-US" w:eastAsia="zh-CN"/>
                    </w:rPr>
                    <w:t>1200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color w:val="auto"/>
                      <w:lang w:val="en-US" w:eastAsia="zh-CN"/>
                    </w:rPr>
                    <w:t>事故应急池，有足够容量容纳项目事故废水。</w:t>
                  </w:r>
                </w:p>
              </w:tc>
              <w:tc>
                <w:tcPr>
                  <w:tcW w:w="1019" w:type="dxa"/>
                </w:tcPr>
                <w:p w14:paraId="5A4E70DC">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r w14:paraId="089F5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2" w:type="dxa"/>
                </w:tcPr>
                <w:p w14:paraId="13A3E8E0">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粉状物料密闭输送，物料输送落料点采取集</w:t>
                  </w:r>
                </w:p>
                <w:p w14:paraId="6683191B">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气罩、除尘或者喷雾抑尘措施，厂区出口设</w:t>
                  </w:r>
                </w:p>
                <w:p w14:paraId="6984EC29">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置车辆冲洗平台，封闭车厢或苫盖严密，装</w:t>
                  </w:r>
                </w:p>
                <w:p w14:paraId="7E5C1D52">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卸车时采取喷雾加湿等抑尘措施，厂区道路</w:t>
                  </w:r>
                </w:p>
                <w:p w14:paraId="058BFD94">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采取吸尘车吸尘、清扫等措施，保持清洁，</w:t>
                  </w:r>
                </w:p>
                <w:p w14:paraId="604DB5E1">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原则上不允许用水冲洗。</w:t>
                  </w:r>
                </w:p>
              </w:tc>
              <w:tc>
                <w:tcPr>
                  <w:tcW w:w="3338" w:type="dxa"/>
                </w:tcPr>
                <w:p w14:paraId="7B3E334D">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本项目粉状物料密闭输送，物料输送落料点采取除尘或者喷雾抑尘措施。配置配备进出车辆冲洗平台，苫盖严密，装卸车时采取喷雾加湿等抑尘措施。厂区道路采取清扫方式。</w:t>
                  </w:r>
                </w:p>
              </w:tc>
              <w:tc>
                <w:tcPr>
                  <w:tcW w:w="1019" w:type="dxa"/>
                </w:tcPr>
                <w:p w14:paraId="63B5062C">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r w14:paraId="77576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2" w:type="dxa"/>
                </w:tcPr>
                <w:p w14:paraId="680019CA">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加强烘干废气、焙烧废气、沉锂废气、成品</w:t>
                  </w:r>
                </w:p>
                <w:p w14:paraId="3DF8998D">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烘干粉碎废气等收集处理，重点做好颗粒物、NOx、SO2、氟化物、铊等污染物的治理措施，做到达标排放，外排废气的氟化物和铊等特征污染物自行监测频次不少于每月1次。</w:t>
                  </w:r>
                </w:p>
              </w:tc>
              <w:tc>
                <w:tcPr>
                  <w:tcW w:w="3338" w:type="dxa"/>
                </w:tcPr>
                <w:p w14:paraId="56A2E1C0">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本项目不涉及烘干废气、焙烧废气、沉锂废气、成品烘干粉碎等废气。</w:t>
                  </w:r>
                </w:p>
              </w:tc>
              <w:tc>
                <w:tcPr>
                  <w:tcW w:w="1019" w:type="dxa"/>
                </w:tcPr>
                <w:p w14:paraId="37597AD5">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r w14:paraId="1487A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2" w:type="dxa"/>
                </w:tcPr>
                <w:p w14:paraId="35893A90">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废气处理循环水采取有效的除铊除氟化物措施，提高水循环利用率。</w:t>
                  </w:r>
                </w:p>
              </w:tc>
              <w:tc>
                <w:tcPr>
                  <w:tcW w:w="3338" w:type="dxa"/>
                </w:tcPr>
                <w:p w14:paraId="61A7B686">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不涉及。</w:t>
                  </w:r>
                </w:p>
              </w:tc>
              <w:tc>
                <w:tcPr>
                  <w:tcW w:w="1019" w:type="dxa"/>
                </w:tcPr>
                <w:p w14:paraId="30063E6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r w14:paraId="71032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82" w:type="dxa"/>
                </w:tcPr>
                <w:p w14:paraId="752EEBCE">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雨水总排口安装氟化物和铊等特征污染物在线监测设备，并与市、县两级在线监控管理平台联网，铊预警限值浓度为2μg/L（参照湖南省《工业废水铊污染物排放标准》（DB43/968-2021）的特别排放限值），氟化</w:t>
                  </w:r>
                </w:p>
                <w:p w14:paraId="625C30E8">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物预警限值浓度为2mg/L（参照《无机化学</w:t>
                  </w:r>
                </w:p>
                <w:p w14:paraId="7E5D2A9B">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工业污染物排放标准》（GB31573-2015）的</w:t>
                  </w:r>
                </w:p>
                <w:p w14:paraId="796CE001">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水污染物排放限值）。</w:t>
                  </w:r>
                </w:p>
              </w:tc>
              <w:tc>
                <w:tcPr>
                  <w:tcW w:w="3338" w:type="dxa"/>
                </w:tcPr>
                <w:p w14:paraId="71EEFC2D">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雨水总排口安装氟化物和铊等特征污染物在线监测设备，并与市、县两级在线监控管理平台联网。</w:t>
                  </w:r>
                </w:p>
              </w:tc>
              <w:tc>
                <w:tcPr>
                  <w:tcW w:w="1019" w:type="dxa"/>
                </w:tcPr>
                <w:p w14:paraId="3240C918">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r w14:paraId="41BC5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2" w:type="dxa"/>
                </w:tcPr>
                <w:p w14:paraId="6F444CAC">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雨水总排口和废气处理循环水、车辆冲洗平</w:t>
                  </w:r>
                </w:p>
                <w:p w14:paraId="75DCED26">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台循环水的氟化物和铊等特征污染物自行监测频次不少于每月1次，在企业上下游和厂区内每季度开展一次铊、氟化物等特征污染因子地下水自行监测。</w:t>
                  </w:r>
                </w:p>
              </w:tc>
              <w:tc>
                <w:tcPr>
                  <w:tcW w:w="3338" w:type="dxa"/>
                </w:tcPr>
                <w:p w14:paraId="19102B85">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雨水总排口安装氟化物和铊等特征污染物在线监测设备，并与市、县两级在线监控管理平台联网，不涉及废气处理循环水，车辆冲洗平台循环水的氟化物和铊等特征污染物自行监测频次每月1次。环评要求建设单位在企业上下游和厂区内每季度开展一次铊、氟化物等特征污染因子地下水自行监测。</w:t>
                  </w:r>
                </w:p>
              </w:tc>
              <w:tc>
                <w:tcPr>
                  <w:tcW w:w="1019" w:type="dxa"/>
                </w:tcPr>
                <w:p w14:paraId="7B758E72">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r w14:paraId="344A1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2" w:type="dxa"/>
                </w:tcPr>
                <w:p w14:paraId="72288903">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对废气处理循环池污泥进行属性鉴定，在鉴</w:t>
                  </w:r>
                </w:p>
                <w:p w14:paraId="438E4C21">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定结果出来之前按照危险废物管理要求进行管理，二次提锂的锂渣要进行属性鉴定，并按照鉴定结果进行管理，对废机油、煤焦油、焦油渣等危险废物严格按照危险废物规范化环境管理要求进行管理。</w:t>
                  </w:r>
                </w:p>
              </w:tc>
              <w:tc>
                <w:tcPr>
                  <w:tcW w:w="3338" w:type="dxa"/>
                </w:tcPr>
                <w:p w14:paraId="184D1433">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不涉及废气处理循环池污泥；本项目涉及的锂冶炼剩余物要求在入厂前进行属性鉴定，确保本项目外购的锂冶炼剩余物为一般工业固废，并进行抽检；本项目产生的废机油等危险废物严格按照危险废物规范化环境管理要求进行管理。</w:t>
                  </w:r>
                </w:p>
              </w:tc>
              <w:tc>
                <w:tcPr>
                  <w:tcW w:w="1019" w:type="dxa"/>
                </w:tcPr>
                <w:p w14:paraId="10532769">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r w14:paraId="3AA99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2" w:type="dxa"/>
                </w:tcPr>
                <w:p w14:paraId="797A02C6">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配备与生产能力相匹配的应急物资、应急设施，每年至少开展一次环境应急演练。</w:t>
                  </w:r>
                </w:p>
              </w:tc>
              <w:tc>
                <w:tcPr>
                  <w:tcW w:w="3338" w:type="dxa"/>
                </w:tcPr>
                <w:p w14:paraId="385EEDA2">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本项目已做好工艺废水事故排放以及火灾等事故风险的防范，配备与生产能力相匹配的应急物资、应急设施，每年至少进行一次环境应急演练。</w:t>
                  </w:r>
                </w:p>
              </w:tc>
              <w:tc>
                <w:tcPr>
                  <w:tcW w:w="1019" w:type="dxa"/>
                </w:tcPr>
                <w:p w14:paraId="3004F336">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bl>
          <w:p w14:paraId="18712007">
            <w:pPr>
              <w:keepNext w:val="0"/>
              <w:keepLines w:val="0"/>
              <w:numPr>
                <w:ilvl w:val="0"/>
                <w:numId w:val="7"/>
              </w:numPr>
              <w:suppressLineNumbers w:val="0"/>
              <w:bidi w:val="0"/>
              <w:spacing w:before="0" w:beforeAutospacing="0" w:after="0" w:afterAutospacing="0"/>
              <w:ind w:left="0" w:leftChars="0" w:right="0" w:firstLine="48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与《关于进一步加强重金属污染防控的意见》（环固体〔2022〕17号）、《江西省生态环境厅关于印发〈江西省进一步加强重金属污染防控工作方案〉的通知》（赣环固体〔2022〕44号）</w:t>
            </w:r>
            <w:r>
              <w:rPr>
                <w:rFonts w:hint="eastAsia" w:ascii="Times New Roman" w:hAnsi="Times New Roman" w:eastAsia="宋体" w:cs="Times New Roman"/>
                <w:color w:val="auto"/>
                <w:lang w:val="en-US" w:eastAsia="zh-CN"/>
              </w:rPr>
              <w:t>相符性分析</w:t>
            </w:r>
          </w:p>
          <w:p w14:paraId="2A272C62">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default"/>
                <w:color w:val="auto"/>
                <w:lang w:val="en-US" w:eastAsia="zh-CN"/>
              </w:rPr>
            </w:pPr>
            <w:r>
              <w:rPr>
                <w:rFonts w:hint="eastAsia"/>
                <w:color w:val="auto"/>
                <w:lang w:val="en-US" w:eastAsia="zh-CN"/>
              </w:rPr>
              <w:t>相符性分析</w:t>
            </w:r>
            <w:r>
              <w:rPr>
                <w:rFonts w:hint="default"/>
                <w:color w:val="auto"/>
                <w:lang w:val="en-US" w:eastAsia="zh-CN"/>
              </w:rPr>
              <w:t>表</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12"/>
              <w:gridCol w:w="3402"/>
              <w:gridCol w:w="1108"/>
            </w:tblGrid>
            <w:tr w14:paraId="3CF87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2" w:type="dxa"/>
                  <w:shd w:val="clear" w:color="auto" w:fill="auto"/>
                  <w:vAlign w:val="center"/>
                </w:tcPr>
                <w:p w14:paraId="7C703187">
                  <w:pPr>
                    <w:pStyle w:val="56"/>
                    <w:keepNext w:val="0"/>
                    <w:keepLines w:val="0"/>
                    <w:suppressLineNumbers w:val="0"/>
                    <w:bidi w:val="0"/>
                    <w:spacing w:before="0" w:beforeAutospacing="0" w:after="0" w:afterAutospacing="0"/>
                    <w:ind w:left="0" w:right="0"/>
                    <w:rPr>
                      <w:rFonts w:hint="default"/>
                      <w:color w:val="auto"/>
                      <w:lang w:val="en-US" w:eastAsia="zh-CN"/>
                    </w:rPr>
                  </w:pPr>
                </w:p>
                <w:p w14:paraId="55C120C3">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文件要求</w:t>
                  </w:r>
                </w:p>
              </w:tc>
              <w:tc>
                <w:tcPr>
                  <w:tcW w:w="3402" w:type="dxa"/>
                  <w:shd w:val="clear" w:color="auto" w:fill="auto"/>
                  <w:vAlign w:val="center"/>
                </w:tcPr>
                <w:p w14:paraId="704DB609">
                  <w:pPr>
                    <w:pStyle w:val="56"/>
                    <w:keepNext w:val="0"/>
                    <w:keepLines w:val="0"/>
                    <w:suppressLineNumbers w:val="0"/>
                    <w:bidi w:val="0"/>
                    <w:spacing w:before="0" w:beforeAutospacing="0" w:after="0" w:afterAutospacing="0"/>
                    <w:ind w:left="0" w:right="0"/>
                    <w:rPr>
                      <w:rFonts w:hint="default"/>
                      <w:color w:val="auto"/>
                      <w:lang w:val="en-US" w:eastAsia="zh-CN"/>
                    </w:rPr>
                  </w:pPr>
                </w:p>
                <w:p w14:paraId="745B0310">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本项目措施</w:t>
                  </w:r>
                </w:p>
              </w:tc>
              <w:tc>
                <w:tcPr>
                  <w:tcW w:w="1108" w:type="dxa"/>
                  <w:shd w:val="clear" w:color="auto" w:fill="auto"/>
                  <w:vAlign w:val="center"/>
                </w:tcPr>
                <w:p w14:paraId="6811AC42">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相符性分析</w:t>
                  </w:r>
                </w:p>
              </w:tc>
            </w:tr>
            <w:tr w14:paraId="60038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shd w:val="clear" w:color="auto" w:fill="auto"/>
                  <w:vAlign w:val="center"/>
                </w:tcPr>
                <w:p w14:paraId="090CE845">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《关于进一步加强重金属污染防控的意见》（环固体〔2022〕17号）</w:t>
                  </w:r>
                </w:p>
              </w:tc>
            </w:tr>
            <w:tr w14:paraId="1A821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2" w:type="dxa"/>
                  <w:shd w:val="clear" w:color="auto" w:fill="auto"/>
                  <w:vAlign w:val="center"/>
                </w:tcPr>
                <w:p w14:paraId="15E48214">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严格重点行业企业准入管理。新、改、扩</w:t>
                  </w:r>
                </w:p>
                <w:p w14:paraId="63BA39C5">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建重点行业建设项目应符合“三线一单”、产业政策、区域环评、规划环评和行业环</w:t>
                  </w:r>
                </w:p>
                <w:p w14:paraId="41155EA0">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准入管控要求。重点区域的新、改、扩建</w:t>
                  </w:r>
                </w:p>
                <w:p w14:paraId="3E324ADC">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重点行业建设项目应遵循重点重金属污染</w:t>
                  </w:r>
                </w:p>
                <w:p w14:paraId="70F7B30B">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物排放“减量替代”原则，减量替代比例不低于1.2:1；其他区域遵循“等量替代”原则。</w:t>
                  </w:r>
                </w:p>
                <w:p w14:paraId="764A270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建设单位在提交环境影响评价文件时应明</w:t>
                  </w:r>
                </w:p>
                <w:p w14:paraId="3D3A589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确重点重金属污染物排放总量及来源。无</w:t>
                  </w:r>
                </w:p>
                <w:p w14:paraId="49F47AF9">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明确具体总量来源的，各级生态环境部门</w:t>
                  </w:r>
                </w:p>
                <w:p w14:paraId="0F28C412">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不得批准相关环境影响评价文件。总量来</w:t>
                  </w:r>
                </w:p>
                <w:p w14:paraId="5BF79E11">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源原则上应是同一重点行业内企业削减的</w:t>
                  </w:r>
                </w:p>
                <w:p w14:paraId="139C41D1">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重点重金属污染物排放量，当同一重点行</w:t>
                  </w:r>
                </w:p>
                <w:p w14:paraId="77E6D7B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业内企业削减量无法满足时可从其他重点</w:t>
                  </w:r>
                </w:p>
                <w:p w14:paraId="392AC660">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行业调剂。严格重点行业建设项目环境影</w:t>
                  </w:r>
                </w:p>
                <w:p w14:paraId="4797CF2C">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响评价审批，审慎下放审批权限，不得以</w:t>
                  </w:r>
                </w:p>
                <w:p w14:paraId="7F7F7327">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改革试点为名降低审批要求。</w:t>
                  </w:r>
                </w:p>
              </w:tc>
              <w:tc>
                <w:tcPr>
                  <w:tcW w:w="3402" w:type="dxa"/>
                  <w:shd w:val="clear" w:color="auto" w:fill="auto"/>
                  <w:vAlign w:val="center"/>
                </w:tcPr>
                <w:p w14:paraId="3F42CFDA">
                  <w:pPr>
                    <w:pStyle w:val="56"/>
                    <w:keepNext w:val="0"/>
                    <w:keepLines w:val="0"/>
                    <w:suppressLineNumbers w:val="0"/>
                    <w:bidi w:val="0"/>
                    <w:spacing w:before="0" w:beforeAutospacing="0" w:after="0" w:afterAutospacing="0"/>
                    <w:ind w:left="0" w:right="0"/>
                    <w:rPr>
                      <w:rFonts w:hint="default"/>
                      <w:color w:val="auto"/>
                      <w:lang w:val="en-US" w:eastAsia="zh-CN"/>
                    </w:rPr>
                  </w:pPr>
                </w:p>
                <w:p w14:paraId="4E040128">
                  <w:pPr>
                    <w:pStyle w:val="56"/>
                    <w:keepNext w:val="0"/>
                    <w:keepLines w:val="0"/>
                    <w:suppressLineNumbers w:val="0"/>
                    <w:bidi w:val="0"/>
                    <w:spacing w:before="0" w:beforeAutospacing="0" w:after="0" w:afterAutospacing="0"/>
                    <w:ind w:left="0" w:right="0"/>
                    <w:rPr>
                      <w:rFonts w:hint="default"/>
                      <w:color w:val="auto"/>
                      <w:lang w:val="en-US" w:eastAsia="zh-CN"/>
                    </w:rPr>
                  </w:pPr>
                </w:p>
                <w:p w14:paraId="2FE98B66">
                  <w:pPr>
                    <w:pStyle w:val="56"/>
                    <w:keepNext w:val="0"/>
                    <w:keepLines w:val="0"/>
                    <w:suppressLineNumbers w:val="0"/>
                    <w:bidi w:val="0"/>
                    <w:spacing w:before="0" w:beforeAutospacing="0" w:after="0" w:afterAutospacing="0"/>
                    <w:ind w:left="0" w:right="0"/>
                    <w:rPr>
                      <w:rFonts w:hint="default"/>
                      <w:color w:val="auto"/>
                      <w:lang w:val="en-US" w:eastAsia="zh-CN"/>
                    </w:rPr>
                  </w:pPr>
                </w:p>
                <w:p w14:paraId="2206F041">
                  <w:pPr>
                    <w:pStyle w:val="56"/>
                    <w:keepNext w:val="0"/>
                    <w:keepLines w:val="0"/>
                    <w:suppressLineNumbers w:val="0"/>
                    <w:bidi w:val="0"/>
                    <w:spacing w:before="0" w:beforeAutospacing="0" w:after="0" w:afterAutospacing="0"/>
                    <w:ind w:left="0" w:right="0"/>
                    <w:rPr>
                      <w:rFonts w:hint="default"/>
                      <w:color w:val="auto"/>
                      <w:lang w:val="en-US" w:eastAsia="zh-CN"/>
                    </w:rPr>
                  </w:pPr>
                </w:p>
                <w:p w14:paraId="0A4778FD">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项目建设符合“三线一单”、产业政</w:t>
                  </w:r>
                </w:p>
                <w:p w14:paraId="521A716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策、区域环评、规划环评和行业环</w:t>
                  </w:r>
                </w:p>
                <w:p w14:paraId="72128B4A">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境准入管控要求。根据文件内容，</w:t>
                  </w:r>
                </w:p>
                <w:p w14:paraId="05887CFC">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重点防控的重金属污染物是铅、</w:t>
                  </w:r>
                </w:p>
                <w:p w14:paraId="1790B2FB">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汞、镉、铬、砷、铊和锑，并对铅、</w:t>
                  </w:r>
                </w:p>
                <w:p w14:paraId="33D3A984">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汞、镉、铬和砷五种重点重金属污</w:t>
                  </w:r>
                </w:p>
                <w:p w14:paraId="5368F7FA">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染物排放量实施总量控制。本项目</w:t>
                  </w:r>
                </w:p>
                <w:p w14:paraId="17B8F7A3">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涉及的重金属污染物为铊。</w:t>
                  </w:r>
                </w:p>
              </w:tc>
              <w:tc>
                <w:tcPr>
                  <w:tcW w:w="1108" w:type="dxa"/>
                  <w:shd w:val="clear" w:color="auto" w:fill="auto"/>
                  <w:vAlign w:val="center"/>
                </w:tcPr>
                <w:p w14:paraId="4EB07309">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符合</w:t>
                  </w:r>
                </w:p>
              </w:tc>
            </w:tr>
            <w:tr w14:paraId="6850B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012" w:type="dxa"/>
                  <w:shd w:val="clear" w:color="auto" w:fill="auto"/>
                  <w:vAlign w:val="center"/>
                </w:tcPr>
                <w:p w14:paraId="3C5506A8">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依法推动落后产能退出。根据《产业结构</w:t>
                  </w:r>
                </w:p>
                <w:p w14:paraId="512C1E03">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调整指导目录》《限期淘汰产生严重污染</w:t>
                  </w:r>
                </w:p>
                <w:p w14:paraId="5E6A4860">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环境的工业固体废物的落后生产工艺设备</w:t>
                  </w:r>
                </w:p>
                <w:p w14:paraId="2DB5AB62">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名录》等要求，推动依法淘汰涉重金属落</w:t>
                  </w:r>
                </w:p>
                <w:p w14:paraId="5B1000EC">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后产能和化解过剩产能。严格执行生态环</w:t>
                  </w:r>
                </w:p>
                <w:p w14:paraId="376D0902">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境保护等相关法规标准，推动经整改仍达</w:t>
                  </w:r>
                </w:p>
                <w:p w14:paraId="629BE3CC">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不到要求的产能依法依规关闭退出。</w:t>
                  </w:r>
                </w:p>
              </w:tc>
              <w:tc>
                <w:tcPr>
                  <w:tcW w:w="3402" w:type="dxa"/>
                  <w:shd w:val="clear" w:color="auto" w:fill="auto"/>
                  <w:vAlign w:val="center"/>
                </w:tcPr>
                <w:p w14:paraId="7F596C3B">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本项目不属于《产业结构调整指导</w:t>
                  </w:r>
                </w:p>
                <w:p w14:paraId="7FC426E4">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目录》《限期淘汰产生严重污染环</w:t>
                  </w:r>
                </w:p>
                <w:p w14:paraId="251C9203">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境的工业固体废物的落后生产工</w:t>
                  </w:r>
                </w:p>
                <w:p w14:paraId="1C879EA9">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艺设备名录》中淘汰类和限制类项</w:t>
                  </w:r>
                </w:p>
                <w:p w14:paraId="0E5B2D80">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目，属于《产业结构调整指导目录</w:t>
                  </w:r>
                </w:p>
                <w:p w14:paraId="0F3F1CD8">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（2024年本）》中的鼓励类项目。</w:t>
                  </w:r>
                </w:p>
                <w:p w14:paraId="263B6D62">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项目建设符合相关生态环境保护</w:t>
                  </w:r>
                </w:p>
                <w:p w14:paraId="625571A1">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等法规标准要求。</w:t>
                  </w:r>
                </w:p>
              </w:tc>
              <w:tc>
                <w:tcPr>
                  <w:tcW w:w="1108" w:type="dxa"/>
                  <w:shd w:val="clear" w:color="auto" w:fill="auto"/>
                  <w:vAlign w:val="center"/>
                </w:tcPr>
                <w:p w14:paraId="77927687">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符合</w:t>
                  </w:r>
                </w:p>
              </w:tc>
            </w:tr>
            <w:tr w14:paraId="328DC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2" w:type="dxa"/>
                  <w:shd w:val="clear" w:color="auto" w:fill="auto"/>
                  <w:vAlign w:val="center"/>
                </w:tcPr>
                <w:p w14:paraId="616B17AD">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优化重点行业企业布局。推动涉重金属产</w:t>
                  </w:r>
                </w:p>
                <w:p w14:paraId="505817C7">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业集中优化发展，禁止低端落后产能向长</w:t>
                  </w:r>
                </w:p>
                <w:p w14:paraId="6FE635A3">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江、黄河中上游地区转移。禁止新建用汞</w:t>
                  </w:r>
                </w:p>
                <w:p w14:paraId="73EC7B2D">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的电石法（聚）氯乙烯生产工艺。新建、</w:t>
                  </w:r>
                </w:p>
                <w:p w14:paraId="1C463F5E">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扩建的重点有色金属冶炼、电镀、制革企</w:t>
                  </w:r>
                </w:p>
                <w:p w14:paraId="38E615C9">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业优先选择布设在依法合规设立并经规划</w:t>
                  </w:r>
                </w:p>
                <w:p w14:paraId="6B6B8D0C">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环评的产业园区。广东、江苏、辽宁、山</w:t>
                  </w:r>
                </w:p>
                <w:p w14:paraId="2EEBDBED">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东、河北等省份加快推进专业电镀企业入</w:t>
                  </w:r>
                </w:p>
                <w:p w14:paraId="365B8FDE">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园，力争到2025年底专业电镀企业入园率</w:t>
                  </w:r>
                </w:p>
                <w:p w14:paraId="105462AC">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达到75%。</w:t>
                  </w:r>
                </w:p>
              </w:tc>
              <w:tc>
                <w:tcPr>
                  <w:tcW w:w="3402" w:type="dxa"/>
                  <w:shd w:val="clear" w:color="auto" w:fill="auto"/>
                  <w:vAlign w:val="center"/>
                </w:tcPr>
                <w:p w14:paraId="1E94EBFF">
                  <w:pPr>
                    <w:pStyle w:val="56"/>
                    <w:keepNext w:val="0"/>
                    <w:keepLines w:val="0"/>
                    <w:suppressLineNumbers w:val="0"/>
                    <w:bidi w:val="0"/>
                    <w:spacing w:before="0" w:beforeAutospacing="0" w:after="0" w:afterAutospacing="0"/>
                    <w:ind w:left="0" w:right="0"/>
                    <w:rPr>
                      <w:rFonts w:hint="default"/>
                      <w:color w:val="auto"/>
                      <w:lang w:val="en-US" w:eastAsia="zh-CN"/>
                    </w:rPr>
                  </w:pPr>
                </w:p>
                <w:p w14:paraId="312A9022">
                  <w:pPr>
                    <w:pStyle w:val="56"/>
                    <w:keepNext w:val="0"/>
                    <w:keepLines w:val="0"/>
                    <w:suppressLineNumbers w:val="0"/>
                    <w:bidi w:val="0"/>
                    <w:spacing w:before="0" w:beforeAutospacing="0" w:after="0" w:afterAutospacing="0"/>
                    <w:ind w:left="0" w:right="0"/>
                    <w:rPr>
                      <w:rFonts w:hint="default"/>
                      <w:color w:val="auto"/>
                      <w:lang w:val="en-US" w:eastAsia="zh-CN"/>
                    </w:rPr>
                  </w:pPr>
                </w:p>
                <w:p w14:paraId="738D9A3B">
                  <w:pPr>
                    <w:pStyle w:val="56"/>
                    <w:keepNext w:val="0"/>
                    <w:keepLines w:val="0"/>
                    <w:suppressLineNumbers w:val="0"/>
                    <w:bidi w:val="0"/>
                    <w:spacing w:before="0" w:beforeAutospacing="0" w:after="0" w:afterAutospacing="0"/>
                    <w:ind w:left="0" w:right="0"/>
                    <w:rPr>
                      <w:rFonts w:hint="default"/>
                      <w:color w:val="auto"/>
                      <w:lang w:val="en-US" w:eastAsia="zh-CN"/>
                    </w:rPr>
                  </w:pPr>
                </w:p>
                <w:p w14:paraId="0239F8AE">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本项目位于</w:t>
                  </w:r>
                  <w:r>
                    <w:rPr>
                      <w:rFonts w:hint="eastAsia"/>
                      <w:color w:val="auto"/>
                      <w:lang w:val="en-US" w:eastAsia="zh-CN"/>
                    </w:rPr>
                    <w:t>高安市高新产业园江西省建筑陶瓷产业基地</w:t>
                  </w:r>
                  <w:r>
                    <w:rPr>
                      <w:rFonts w:hint="default"/>
                      <w:color w:val="auto"/>
                      <w:lang w:val="en-US" w:eastAsia="zh-CN"/>
                    </w:rPr>
                    <w:t>，本项目不属于低端落后产能，不属于重有色金属冶炼、电镀、制革企业。</w:t>
                  </w:r>
                </w:p>
              </w:tc>
              <w:tc>
                <w:tcPr>
                  <w:tcW w:w="1108" w:type="dxa"/>
                  <w:shd w:val="clear" w:color="auto" w:fill="auto"/>
                  <w:vAlign w:val="center"/>
                </w:tcPr>
                <w:p w14:paraId="248D330E">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r w14:paraId="3C75B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2" w:type="dxa"/>
                  <w:vAlign w:val="center"/>
                </w:tcPr>
                <w:p w14:paraId="17CB918E">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开展涉镉涉铊企业排查整治行动。开展农用地土壤镉等重金属污染源头防治行动，持续推进耕地周边涉镉等重金属行业企业排查整治。全面排查涉铊企业，指导督促涉铊企业建立铊污染风险问题台账并制定问题整改方案。开展重有色金属冶炼、钢铁等典型涉铊企业废水治理设施除铊升级改造，严格执行车间或生产设施废水排放口达标要求。各地生态环境部门构建涉铊企业全链条闭环管理体系，督促企业对矿石原料、主副产品和生产废物中铊成分进行检测分析，实现铊元素可核算可追踪。江西、湖南、广西、贵州、云南、陕西、甘肃等省份要制定铊污染防控方案，强化涉铊企业综合整治，严防铊污染问题发生。</w:t>
                  </w:r>
                </w:p>
              </w:tc>
              <w:tc>
                <w:tcPr>
                  <w:tcW w:w="3402" w:type="dxa"/>
                  <w:vAlign w:val="center"/>
                </w:tcPr>
                <w:p w14:paraId="58C8D450">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本项目不属于重有色金属冶炼、钢铁等典型涉铊企业，原材料中锂渣涉及含铊物质，本环评要求建设单位在雨水排放口安装氟化物、铊在线监测设备，并与市、县两级在线</w:t>
                  </w:r>
                </w:p>
                <w:p w14:paraId="5A694143">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监控管理平台联网，本次评价要求</w:t>
                  </w:r>
                </w:p>
                <w:p w14:paraId="796A9935">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企业运营后建立铊污染风险问题</w:t>
                  </w:r>
                </w:p>
                <w:p w14:paraId="442782B2">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台账并制定问题整改方案。</w:t>
                  </w:r>
                </w:p>
              </w:tc>
              <w:tc>
                <w:tcPr>
                  <w:tcW w:w="1108" w:type="dxa"/>
                  <w:vAlign w:val="center"/>
                </w:tcPr>
                <w:p w14:paraId="370DB17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r w14:paraId="0CC7B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2" w:type="dxa"/>
                  <w:vAlign w:val="center"/>
                </w:tcPr>
                <w:p w14:paraId="73F1E9A4">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加强涉重金属固体废物环境管理。加强重点行业企业废渣场环境管理，完善防渗漏、防流失、防扬散等措施。推动锌湿法冶炼工艺按有关规定配套建设浸出渣无害化处理系统及硫渣处理设施。加强尾矿污染防控，开展长江经济带尾矿库污染治理“回头看”和黄河流域、嘉陵江上游尾矿库污染治理。严格废铅蓄电池、冶炼灰渣、钢厂烟灰等含重金属固体废物收集、贮存、转移、利用处置过程的环境管理，防止二次污染。</w:t>
                  </w:r>
                </w:p>
              </w:tc>
              <w:tc>
                <w:tcPr>
                  <w:tcW w:w="3402" w:type="dxa"/>
                  <w:vAlign w:val="center"/>
                </w:tcPr>
                <w:p w14:paraId="555C9B41">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本项目一般固废间采取防渗漏、防</w:t>
                  </w:r>
                </w:p>
                <w:p w14:paraId="630DE7ED">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流失、防扬散等措施。</w:t>
                  </w:r>
                </w:p>
              </w:tc>
              <w:tc>
                <w:tcPr>
                  <w:tcW w:w="1108" w:type="dxa"/>
                  <w:vAlign w:val="center"/>
                </w:tcPr>
                <w:p w14:paraId="196614F8">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r w14:paraId="46BEC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gridSpan w:val="3"/>
                  <w:vAlign w:val="center"/>
                </w:tcPr>
                <w:p w14:paraId="6159D9A8">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《江西省进一步加强重金属污染防控工作方案》（赣环固体〔2022〕44号）</w:t>
                  </w:r>
                </w:p>
              </w:tc>
            </w:tr>
            <w:tr w14:paraId="6DFA5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4012" w:type="dxa"/>
                  <w:shd w:val="clear" w:color="auto" w:fill="auto"/>
                  <w:vAlign w:val="center"/>
                </w:tcPr>
                <w:p w14:paraId="54635910">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按照《关于进一步加强重金属污染防控的</w:t>
                  </w:r>
                </w:p>
                <w:p w14:paraId="50FF0832">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意见》，依据重金属污染物排放状况、环</w:t>
                  </w:r>
                </w:p>
                <w:p w14:paraId="63C76634">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境质量改善和环境风险防控需求，划定贵</w:t>
                  </w:r>
                </w:p>
                <w:p w14:paraId="75582488">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溪市、余江区、铅山县、上饶经济技术开</w:t>
                  </w:r>
                </w:p>
                <w:p w14:paraId="372775AD">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发区、横峰县、玉山县、德兴市、广信区</w:t>
                  </w:r>
                </w:p>
                <w:p w14:paraId="20D3AF2B">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为重金属污染防控重点区域。</w:t>
                  </w:r>
                </w:p>
              </w:tc>
              <w:tc>
                <w:tcPr>
                  <w:tcW w:w="3402" w:type="dxa"/>
                  <w:shd w:val="clear" w:color="auto" w:fill="auto"/>
                  <w:vAlign w:val="center"/>
                </w:tcPr>
                <w:p w14:paraId="5FE8D2A0">
                  <w:pPr>
                    <w:pStyle w:val="56"/>
                    <w:keepNext w:val="0"/>
                    <w:keepLines w:val="0"/>
                    <w:suppressLineNumbers w:val="0"/>
                    <w:bidi w:val="0"/>
                    <w:spacing w:before="0" w:beforeAutospacing="0" w:after="0" w:afterAutospacing="0"/>
                    <w:ind w:left="0" w:right="0"/>
                    <w:rPr>
                      <w:rFonts w:hint="default"/>
                      <w:color w:val="auto"/>
                      <w:lang w:val="en-US" w:eastAsia="zh-CN"/>
                    </w:rPr>
                  </w:pPr>
                </w:p>
                <w:p w14:paraId="3676E957">
                  <w:pPr>
                    <w:pStyle w:val="56"/>
                    <w:keepNext w:val="0"/>
                    <w:keepLines w:val="0"/>
                    <w:suppressLineNumbers w:val="0"/>
                    <w:bidi w:val="0"/>
                    <w:spacing w:before="0" w:beforeAutospacing="0" w:after="0" w:afterAutospacing="0"/>
                    <w:ind w:left="0" w:right="0"/>
                    <w:rPr>
                      <w:rFonts w:hint="default"/>
                      <w:color w:val="auto"/>
                      <w:lang w:val="en-US" w:eastAsia="zh-CN"/>
                    </w:rPr>
                  </w:pPr>
                </w:p>
                <w:p w14:paraId="42565EAC">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本项目位于高安市，所在区域不属于重金属污染防控重点区域。</w:t>
                  </w:r>
                </w:p>
              </w:tc>
              <w:tc>
                <w:tcPr>
                  <w:tcW w:w="1108" w:type="dxa"/>
                  <w:shd w:val="clear" w:color="auto" w:fill="auto"/>
                  <w:vAlign w:val="center"/>
                </w:tcPr>
                <w:p w14:paraId="4DF695A1">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r w14:paraId="7F6D9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2" w:type="dxa"/>
                  <w:shd w:val="clear" w:color="auto" w:fill="auto"/>
                  <w:vAlign w:val="center"/>
                </w:tcPr>
                <w:p w14:paraId="01A251CA">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严格重点行业企业准入管理。建设单位在</w:t>
                  </w:r>
                </w:p>
                <w:p w14:paraId="5FE81152">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提交环境影响评价文件时应明确重点重金</w:t>
                  </w:r>
                </w:p>
                <w:p w14:paraId="232129BA">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属污染物排放总量及来源，总量来源原则</w:t>
                  </w:r>
                </w:p>
                <w:p w14:paraId="03F6F7C2">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上应是同一重点行业内企业削减的重点重</w:t>
                  </w:r>
                </w:p>
                <w:p w14:paraId="231BA8F3">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金属污染物排放量。无明确具体总量指标</w:t>
                  </w:r>
                </w:p>
                <w:p w14:paraId="78FAD25E">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来源、超过重点重金属污染物总量控制指</w:t>
                  </w:r>
                </w:p>
                <w:p w14:paraId="2F288032">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标的，各级生态环境部门不得批准相关环</w:t>
                  </w:r>
                </w:p>
                <w:p w14:paraId="5BC0BA75">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境影响评价文件。</w:t>
                  </w:r>
                </w:p>
              </w:tc>
              <w:tc>
                <w:tcPr>
                  <w:tcW w:w="3402" w:type="dxa"/>
                  <w:shd w:val="clear" w:color="auto" w:fill="auto"/>
                  <w:vAlign w:val="center"/>
                </w:tcPr>
                <w:p w14:paraId="3ED8E56B">
                  <w:pPr>
                    <w:pStyle w:val="56"/>
                    <w:keepNext w:val="0"/>
                    <w:keepLines w:val="0"/>
                    <w:suppressLineNumbers w:val="0"/>
                    <w:bidi w:val="0"/>
                    <w:spacing w:before="0" w:beforeAutospacing="0" w:after="0" w:afterAutospacing="0"/>
                    <w:ind w:left="0" w:right="0"/>
                    <w:rPr>
                      <w:rFonts w:hint="default"/>
                      <w:color w:val="auto"/>
                      <w:lang w:val="en-US" w:eastAsia="zh-CN"/>
                    </w:rPr>
                  </w:pPr>
                </w:p>
                <w:p w14:paraId="3690FF08">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根据文件内容，重点防控的重金属</w:t>
                  </w:r>
                </w:p>
                <w:p w14:paraId="63BFF0DD">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污染物是铅、汞、镉、铬、砷、铊</w:t>
                  </w:r>
                </w:p>
                <w:p w14:paraId="26C1F068">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和锑，并对铅、汞、镉、铬和砷五</w:t>
                  </w:r>
                </w:p>
                <w:p w14:paraId="252375A2">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种重点重金属污染物排放量实施</w:t>
                  </w:r>
                </w:p>
                <w:p w14:paraId="77F3EEFC">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总量控制。本项目涉及的重金属污</w:t>
                  </w:r>
                </w:p>
                <w:p w14:paraId="084D8146">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染物为铊。</w:t>
                  </w:r>
                </w:p>
              </w:tc>
              <w:tc>
                <w:tcPr>
                  <w:tcW w:w="1108" w:type="dxa"/>
                  <w:shd w:val="clear" w:color="auto" w:fill="auto"/>
                  <w:vAlign w:val="center"/>
                </w:tcPr>
                <w:p w14:paraId="5BF1F545">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r w14:paraId="2DD23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2" w:type="dxa"/>
                  <w:shd w:val="clear" w:color="auto" w:fill="auto"/>
                  <w:vAlign w:val="center"/>
                </w:tcPr>
                <w:p w14:paraId="4006C2F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优化产业结构和企业布局。依法淘汰涉重</w:t>
                  </w:r>
                </w:p>
                <w:p w14:paraId="56A93037">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金属落后产能和化解过剩产能，推动经整</w:t>
                  </w:r>
                </w:p>
                <w:p w14:paraId="2D81B02B">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改仍达不到要求的产能依法依规关闭退</w:t>
                  </w:r>
                </w:p>
                <w:p w14:paraId="77D63B65">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出。禁止涉重金属产业低端落后产能向我</w:t>
                  </w:r>
                </w:p>
                <w:p w14:paraId="5C18A1B9">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省转移。禁止新建用汞的电石法</w:t>
                  </w:r>
                  <w:r>
                    <w:rPr>
                      <w:rFonts w:hint="eastAsia"/>
                      <w:color w:val="auto"/>
                      <w:lang w:val="en-US" w:eastAsia="zh-CN"/>
                    </w:rPr>
                    <w:t>（</w:t>
                  </w:r>
                  <w:r>
                    <w:rPr>
                      <w:rFonts w:hint="default"/>
                      <w:color w:val="auto"/>
                      <w:lang w:val="en-US" w:eastAsia="zh-CN"/>
                    </w:rPr>
                    <w:t>聚）氯乙</w:t>
                  </w:r>
                </w:p>
                <w:p w14:paraId="15937346">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烯生产工艺。新建、扩建的重有色金属冶</w:t>
                  </w:r>
                </w:p>
                <w:p w14:paraId="2480C6A7">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炼、电镀、制革企业应当选择布设在依法</w:t>
                  </w:r>
                </w:p>
                <w:p w14:paraId="355689B1">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合规设立并经规划环评的产业园区。</w:t>
                  </w:r>
                </w:p>
              </w:tc>
              <w:tc>
                <w:tcPr>
                  <w:tcW w:w="3402" w:type="dxa"/>
                  <w:shd w:val="clear" w:color="auto" w:fill="auto"/>
                  <w:vAlign w:val="center"/>
                </w:tcPr>
                <w:p w14:paraId="24133F21">
                  <w:pPr>
                    <w:pStyle w:val="56"/>
                    <w:keepNext w:val="0"/>
                    <w:keepLines w:val="0"/>
                    <w:suppressLineNumbers w:val="0"/>
                    <w:bidi w:val="0"/>
                    <w:spacing w:before="0" w:beforeAutospacing="0" w:after="0" w:afterAutospacing="0"/>
                    <w:ind w:left="0" w:right="0"/>
                    <w:rPr>
                      <w:rFonts w:hint="default"/>
                      <w:color w:val="auto"/>
                      <w:lang w:val="en-US" w:eastAsia="zh-CN"/>
                    </w:rPr>
                  </w:pPr>
                </w:p>
                <w:p w14:paraId="74994048">
                  <w:pPr>
                    <w:pStyle w:val="56"/>
                    <w:keepNext w:val="0"/>
                    <w:keepLines w:val="0"/>
                    <w:suppressLineNumbers w:val="0"/>
                    <w:bidi w:val="0"/>
                    <w:spacing w:before="0" w:beforeAutospacing="0" w:after="0" w:afterAutospacing="0"/>
                    <w:ind w:left="0" w:right="0"/>
                    <w:rPr>
                      <w:rFonts w:hint="default"/>
                      <w:color w:val="auto"/>
                      <w:lang w:val="en-US" w:eastAsia="zh-CN"/>
                    </w:rPr>
                  </w:pPr>
                </w:p>
                <w:p w14:paraId="37D848AD">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本项目不属于低端落后产能。不属于新建用汞的电石法</w:t>
                  </w:r>
                  <w:r>
                    <w:rPr>
                      <w:rFonts w:hint="eastAsia"/>
                      <w:color w:val="auto"/>
                      <w:lang w:val="en-US" w:eastAsia="zh-CN"/>
                    </w:rPr>
                    <w:t>（</w:t>
                  </w:r>
                  <w:r>
                    <w:rPr>
                      <w:rFonts w:hint="default"/>
                      <w:color w:val="auto"/>
                      <w:lang w:val="en-US" w:eastAsia="zh-CN"/>
                    </w:rPr>
                    <w:t>聚）氯乙烯生产工艺，不属于重有色金属冶炼、</w:t>
                  </w:r>
                </w:p>
                <w:p w14:paraId="6217EE27">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电镀、制革企业。</w:t>
                  </w:r>
                </w:p>
              </w:tc>
              <w:tc>
                <w:tcPr>
                  <w:tcW w:w="1108" w:type="dxa"/>
                  <w:shd w:val="clear" w:color="auto" w:fill="auto"/>
                  <w:vAlign w:val="center"/>
                </w:tcPr>
                <w:p w14:paraId="3DBA7B16">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r w14:paraId="0713A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2" w:type="dxa"/>
                  <w:vAlign w:val="center"/>
                </w:tcPr>
                <w:p w14:paraId="5C096375">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开展涉镉涉铊企业排查整治行动。开展农用地土壤镉等重金属污染源头防治行动，持续推进耕地周边涉镉等重金属行业企业排查整治。制定铊污染防控方案，开展涉铊企业排查整治。</w:t>
                  </w:r>
                </w:p>
              </w:tc>
              <w:tc>
                <w:tcPr>
                  <w:tcW w:w="3402" w:type="dxa"/>
                  <w:vAlign w:val="center"/>
                </w:tcPr>
                <w:p w14:paraId="09A38219">
                  <w:pPr>
                    <w:pStyle w:val="56"/>
                    <w:keepNext w:val="0"/>
                    <w:keepLines w:val="0"/>
                    <w:suppressLineNumbers w:val="0"/>
                    <w:bidi w:val="0"/>
                    <w:spacing w:before="0" w:beforeAutospacing="0" w:after="0" w:afterAutospacing="0"/>
                    <w:ind w:left="0" w:right="0"/>
                    <w:rPr>
                      <w:rFonts w:hint="default"/>
                      <w:color w:val="auto"/>
                      <w:lang w:val="en-US" w:eastAsia="zh-CN"/>
                    </w:rPr>
                  </w:pPr>
                </w:p>
                <w:p w14:paraId="654D21F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本项目不属于重有色金属冶炼、钢铁等典型涉铊企业，原材料中锂渣涉及含铊物质，本环评要求建设单位在雨水排放口安装氟化物、铊在线监测设备，并与市、县两级在线</w:t>
                  </w:r>
                </w:p>
                <w:p w14:paraId="7D669A40">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监控管理平台联网，本次评价要求</w:t>
                  </w:r>
                </w:p>
                <w:p w14:paraId="1696033D">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企业运营后建立铊污染风险问题</w:t>
                  </w:r>
                </w:p>
                <w:p w14:paraId="76881C75">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台账并制定问题整改方案。</w:t>
                  </w:r>
                </w:p>
              </w:tc>
              <w:tc>
                <w:tcPr>
                  <w:tcW w:w="1108" w:type="dxa"/>
                  <w:vAlign w:val="center"/>
                </w:tcPr>
                <w:p w14:paraId="7E014257">
                  <w:pPr>
                    <w:pStyle w:val="56"/>
                    <w:keepNext w:val="0"/>
                    <w:keepLines w:val="0"/>
                    <w:suppressLineNumbers w:val="0"/>
                    <w:bidi w:val="0"/>
                    <w:spacing w:before="0" w:beforeAutospacing="0" w:after="0" w:afterAutospacing="0"/>
                    <w:ind w:left="0" w:right="0"/>
                    <w:rPr>
                      <w:rFonts w:hint="default"/>
                      <w:color w:val="auto"/>
                      <w:lang w:val="en-US" w:eastAsia="zh-CN"/>
                    </w:rPr>
                  </w:pPr>
                </w:p>
              </w:tc>
            </w:tr>
            <w:tr w14:paraId="6423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2" w:type="dxa"/>
                  <w:vAlign w:val="center"/>
                </w:tcPr>
                <w:p w14:paraId="66FF4526">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强化涉重金属固体废物环境管理。加强重</w:t>
                  </w:r>
                </w:p>
                <w:p w14:paraId="3059DCFB">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点行业企业废渣场环境管理，完善防渗漏、</w:t>
                  </w:r>
                </w:p>
                <w:p w14:paraId="563FEE1D">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防流失、防扬散等措施。</w:t>
                  </w:r>
                </w:p>
              </w:tc>
              <w:tc>
                <w:tcPr>
                  <w:tcW w:w="3402" w:type="dxa"/>
                  <w:vAlign w:val="center"/>
                </w:tcPr>
                <w:p w14:paraId="3D4F56A8">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本项目不涉及废渣场。</w:t>
                  </w:r>
                </w:p>
              </w:tc>
              <w:tc>
                <w:tcPr>
                  <w:tcW w:w="1108" w:type="dxa"/>
                  <w:vAlign w:val="center"/>
                </w:tcPr>
                <w:p w14:paraId="63625EF3">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bl>
          <w:p w14:paraId="79976008">
            <w:pPr>
              <w:keepNext w:val="0"/>
              <w:keepLines w:val="0"/>
              <w:numPr>
                <w:ilvl w:val="0"/>
                <w:numId w:val="7"/>
              </w:numPr>
              <w:suppressLineNumbers w:val="0"/>
              <w:bidi w:val="0"/>
              <w:spacing w:before="0" w:beforeAutospacing="0" w:after="0" w:afterAutospacing="0"/>
              <w:ind w:left="0" w:leftChars="0" w:right="0" w:firstLine="48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与《关于相关企业和工业园区污水处理厂落实涉铊涉氟废水监测和处理要求的意见》（2023年1月3日）</w:t>
            </w:r>
            <w:r>
              <w:rPr>
                <w:rFonts w:hint="eastAsia" w:ascii="Times New Roman" w:hAnsi="Times New Roman" w:eastAsia="宋体" w:cs="Times New Roman"/>
                <w:color w:val="auto"/>
                <w:lang w:val="en-US" w:eastAsia="zh-CN"/>
              </w:rPr>
              <w:t>相符性分析</w:t>
            </w:r>
          </w:p>
          <w:p w14:paraId="120B7864">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default" w:ascii="Times New Roman" w:hAnsi="Times New Roman" w:eastAsia="宋体" w:cs="Times New Roman"/>
                <w:b/>
                <w:color w:val="auto"/>
                <w:kern w:val="2"/>
                <w:sz w:val="21"/>
                <w:szCs w:val="20"/>
                <w:lang w:val="en-US" w:eastAsia="zh-CN" w:bidi="ar-SA"/>
              </w:rPr>
            </w:pPr>
            <w:r>
              <w:rPr>
                <w:rFonts w:hint="default" w:ascii="Times New Roman" w:hAnsi="Times New Roman" w:eastAsia="宋体" w:cs="Times New Roman"/>
                <w:b/>
                <w:color w:val="auto"/>
                <w:kern w:val="2"/>
                <w:sz w:val="21"/>
                <w:szCs w:val="20"/>
                <w:lang w:val="en-US" w:eastAsia="zh-CN" w:bidi="ar-SA"/>
              </w:rPr>
              <w:t>《关于相关企业和工业园区污水处理厂</w:t>
            </w:r>
            <w:r>
              <w:rPr>
                <w:rFonts w:hint="default"/>
                <w:color w:val="auto"/>
                <w:lang w:val="en-US" w:eastAsia="zh-CN"/>
              </w:rPr>
              <w:t>落实</w:t>
            </w:r>
            <w:r>
              <w:rPr>
                <w:rFonts w:hint="default" w:ascii="Times New Roman" w:hAnsi="Times New Roman" w:eastAsia="宋体" w:cs="Times New Roman"/>
                <w:b/>
                <w:color w:val="auto"/>
                <w:kern w:val="2"/>
                <w:sz w:val="21"/>
                <w:szCs w:val="20"/>
                <w:lang w:val="en-US" w:eastAsia="zh-CN" w:bidi="ar-SA"/>
              </w:rPr>
              <w:t>涉铊涉氟废水监测和</w:t>
            </w:r>
          </w:p>
          <w:p w14:paraId="44657C59">
            <w:pPr>
              <w:pStyle w:val="37"/>
              <w:keepNext w:val="0"/>
              <w:keepLines w:val="0"/>
              <w:numPr>
                <w:ilvl w:val="0"/>
                <w:numId w:val="0"/>
              </w:numPr>
              <w:suppressLineNumbers w:val="0"/>
              <w:tabs>
                <w:tab w:val="left" w:pos="0"/>
              </w:tabs>
              <w:snapToGrid/>
              <w:spacing w:before="156" w:beforeLines="50" w:beforeAutospacing="0" w:after="0" w:afterAutospacing="0" w:line="240" w:lineRule="auto"/>
              <w:ind w:left="422" w:leftChars="0" w:right="0" w:firstLine="1897" w:firstLineChars="900"/>
              <w:jc w:val="both"/>
              <w:textAlignment w:val="baseline"/>
              <w:outlineLvl w:val="0"/>
              <w:rPr>
                <w:rFonts w:hint="default" w:ascii="Times New Roman" w:hAnsi="Times New Roman" w:eastAsia="宋体" w:cs="Times New Roman"/>
                <w:b/>
                <w:color w:val="auto"/>
                <w:kern w:val="2"/>
                <w:sz w:val="21"/>
                <w:szCs w:val="20"/>
                <w:lang w:val="en-US" w:eastAsia="zh-CN" w:bidi="ar-SA"/>
              </w:rPr>
            </w:pPr>
            <w:r>
              <w:rPr>
                <w:rFonts w:hint="default"/>
                <w:color w:val="auto"/>
                <w:lang w:val="en-US" w:eastAsia="zh-CN"/>
              </w:rPr>
              <w:t>处理</w:t>
            </w:r>
            <w:r>
              <w:rPr>
                <w:rFonts w:hint="default" w:ascii="Times New Roman" w:hAnsi="Times New Roman" w:eastAsia="宋体" w:cs="Times New Roman"/>
                <w:b/>
                <w:color w:val="auto"/>
                <w:kern w:val="2"/>
                <w:sz w:val="21"/>
                <w:szCs w:val="20"/>
                <w:lang w:val="en-US" w:eastAsia="zh-CN" w:bidi="ar-SA"/>
              </w:rPr>
              <w:t>要求的意见》（2023年1月3日）</w:t>
            </w:r>
            <w:r>
              <w:rPr>
                <w:rFonts w:hint="eastAsia" w:cs="Times New Roman"/>
                <w:b/>
                <w:color w:val="auto"/>
                <w:kern w:val="2"/>
                <w:sz w:val="21"/>
                <w:szCs w:val="20"/>
                <w:lang w:val="en-US" w:eastAsia="zh-CN" w:bidi="ar-SA"/>
              </w:rPr>
              <w:t>相符性分析</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2667"/>
              <w:gridCol w:w="4041"/>
              <w:gridCol w:w="717"/>
            </w:tblGrid>
            <w:tr w14:paraId="72361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trPr>
              <w:tc>
                <w:tcPr>
                  <w:tcW w:w="3764" w:type="dxa"/>
                  <w:gridSpan w:val="2"/>
                  <w:vAlign w:val="center"/>
                </w:tcPr>
                <w:p w14:paraId="1F5C0030">
                  <w:pPr>
                    <w:pStyle w:val="56"/>
                    <w:keepNext w:val="0"/>
                    <w:keepLines w:val="0"/>
                    <w:suppressLineNumbers w:val="0"/>
                    <w:bidi w:val="0"/>
                    <w:spacing w:before="0" w:beforeAutospacing="0" w:after="0" w:afterAutospacing="0"/>
                    <w:ind w:left="0" w:right="0"/>
                    <w:jc w:val="center"/>
                    <w:rPr>
                      <w:rFonts w:hint="eastAsia"/>
                      <w:color w:val="auto"/>
                      <w:lang w:val="en-US" w:eastAsia="zh-CN"/>
                    </w:rPr>
                  </w:pPr>
                </w:p>
                <w:p w14:paraId="4C3E1D06">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olor w:val="auto"/>
                      <w:lang w:val="en-US" w:eastAsia="zh-CN"/>
                    </w:rPr>
                    <w:t>具体要求</w:t>
                  </w:r>
                </w:p>
              </w:tc>
              <w:tc>
                <w:tcPr>
                  <w:tcW w:w="4041" w:type="dxa"/>
                  <w:vAlign w:val="center"/>
                </w:tcPr>
                <w:p w14:paraId="78FB0AF2">
                  <w:pPr>
                    <w:pStyle w:val="56"/>
                    <w:keepNext w:val="0"/>
                    <w:keepLines w:val="0"/>
                    <w:suppressLineNumbers w:val="0"/>
                    <w:bidi w:val="0"/>
                    <w:spacing w:before="0" w:beforeAutospacing="0" w:after="0" w:afterAutospacing="0"/>
                    <w:ind w:left="0" w:right="0"/>
                    <w:jc w:val="center"/>
                    <w:rPr>
                      <w:rFonts w:hint="eastAsia"/>
                      <w:color w:val="auto"/>
                      <w:lang w:val="en-US" w:eastAsia="zh-CN"/>
                    </w:rPr>
                  </w:pPr>
                </w:p>
                <w:p w14:paraId="40531E5C">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olor w:val="auto"/>
                      <w:lang w:val="en-US" w:eastAsia="zh-CN"/>
                    </w:rPr>
                    <w:t>项目情况</w:t>
                  </w:r>
                </w:p>
              </w:tc>
              <w:tc>
                <w:tcPr>
                  <w:tcW w:w="717" w:type="dxa"/>
                  <w:textDirection w:val="tbRlV"/>
                  <w:vAlign w:val="center"/>
                </w:tcPr>
                <w:p w14:paraId="3160344B">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olor w:val="auto"/>
                      <w:lang w:val="en-US" w:eastAsia="zh-CN"/>
                    </w:rPr>
                    <w:t>相符性</w:t>
                  </w:r>
                </w:p>
              </w:tc>
            </w:tr>
            <w:tr w14:paraId="3A1EF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shd w:val="clear" w:color="auto" w:fill="auto"/>
                  <w:vAlign w:val="center"/>
                </w:tcPr>
                <w:p w14:paraId="3E5C093D">
                  <w:pPr>
                    <w:pStyle w:val="56"/>
                    <w:keepNext w:val="0"/>
                    <w:keepLines w:val="0"/>
                    <w:suppressLineNumbers w:val="0"/>
                    <w:bidi w:val="0"/>
                    <w:spacing w:before="0" w:beforeAutospacing="0" w:after="0" w:afterAutospacing="0"/>
                    <w:ind w:left="0" w:right="0"/>
                    <w:jc w:val="center"/>
                    <w:rPr>
                      <w:rFonts w:hint="eastAsia"/>
                      <w:color w:val="auto"/>
                      <w:lang w:val="en-US" w:eastAsia="zh-CN"/>
                    </w:rPr>
                  </w:pPr>
                </w:p>
                <w:p w14:paraId="28B45605">
                  <w:pPr>
                    <w:pStyle w:val="56"/>
                    <w:keepNext w:val="0"/>
                    <w:keepLines w:val="0"/>
                    <w:suppressLineNumbers w:val="0"/>
                    <w:bidi w:val="0"/>
                    <w:spacing w:before="0" w:beforeAutospacing="0" w:after="0" w:afterAutospacing="0"/>
                    <w:ind w:left="0" w:right="0"/>
                    <w:jc w:val="center"/>
                    <w:rPr>
                      <w:rFonts w:hint="eastAsia"/>
                      <w:color w:val="auto"/>
                      <w:lang w:val="en-US" w:eastAsia="zh-CN"/>
                    </w:rPr>
                  </w:pPr>
                </w:p>
                <w:p w14:paraId="602C57E0">
                  <w:pPr>
                    <w:pStyle w:val="56"/>
                    <w:keepNext w:val="0"/>
                    <w:keepLines w:val="0"/>
                    <w:suppressLineNumbers w:val="0"/>
                    <w:bidi w:val="0"/>
                    <w:spacing w:before="0" w:beforeAutospacing="0" w:after="0" w:afterAutospacing="0"/>
                    <w:ind w:left="0" w:right="0"/>
                    <w:jc w:val="center"/>
                    <w:rPr>
                      <w:rFonts w:hint="eastAsia"/>
                      <w:color w:val="auto"/>
                      <w:lang w:val="en-US" w:eastAsia="zh-CN"/>
                    </w:rPr>
                  </w:pPr>
                  <w:r>
                    <w:rPr>
                      <w:rFonts w:hint="eastAsia"/>
                      <w:color w:val="auto"/>
                      <w:lang w:val="en-US" w:eastAsia="zh-CN"/>
                    </w:rPr>
                    <w:t>迅速开展</w:t>
                  </w:r>
                </w:p>
                <w:p w14:paraId="5C10278F">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olor w:val="auto"/>
                      <w:lang w:val="en-US" w:eastAsia="zh-CN"/>
                    </w:rPr>
                    <w:t>全面调研</w:t>
                  </w:r>
                </w:p>
              </w:tc>
              <w:tc>
                <w:tcPr>
                  <w:tcW w:w="2667" w:type="dxa"/>
                  <w:shd w:val="clear" w:color="auto" w:fill="auto"/>
                  <w:vAlign w:val="center"/>
                </w:tcPr>
                <w:p w14:paraId="12942883">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olor w:val="auto"/>
                      <w:lang w:val="en-US" w:eastAsia="zh-CN"/>
                    </w:rPr>
                    <w:t>市经开区和各县（市、区）工业园区管委会牵头，联合属地生态环境部门和工业污水处理厂，立即对辖区内涉铊涉氟企业进行全面调研，彻底摸清涉铊涉氟污染源底数，全面掌握各企业氟化物和重金属等特征污染物的产生、排放和处理处置等情况，为后续确定处理方案提供依据。</w:t>
                  </w:r>
                </w:p>
              </w:tc>
              <w:tc>
                <w:tcPr>
                  <w:tcW w:w="4041" w:type="dxa"/>
                  <w:shd w:val="clear" w:color="auto" w:fill="auto"/>
                  <w:vAlign w:val="center"/>
                </w:tcPr>
                <w:p w14:paraId="4D1E8244">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olor w:val="auto"/>
                      <w:lang w:val="en-US" w:eastAsia="zh-CN"/>
                    </w:rPr>
                    <w:t>本项目锂冶炼剩余物中含有铊因子，本项目已完善铊元素物料平衡分析，明确铊最终去向，已明确铊污染物的产生、排放和处理处置等情况。</w:t>
                  </w:r>
                </w:p>
              </w:tc>
              <w:tc>
                <w:tcPr>
                  <w:tcW w:w="717" w:type="dxa"/>
                  <w:shd w:val="clear" w:color="auto" w:fill="auto"/>
                  <w:textDirection w:val="tbRlV"/>
                  <w:vAlign w:val="center"/>
                </w:tcPr>
                <w:p w14:paraId="34963190">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olor w:val="auto"/>
                      <w:lang w:val="en-US" w:eastAsia="zh-CN"/>
                    </w:rPr>
                    <w:t>相符</w:t>
                  </w:r>
                </w:p>
              </w:tc>
            </w:tr>
            <w:tr w14:paraId="3381E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shd w:val="clear" w:color="auto" w:fill="auto"/>
                  <w:vAlign w:val="center"/>
                </w:tcPr>
                <w:p w14:paraId="69E600F7">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olor w:val="auto"/>
                      <w:lang w:val="en-US" w:eastAsia="zh-CN"/>
                    </w:rPr>
                    <w:t>严格落实“一企一管”要求</w:t>
                  </w:r>
                </w:p>
              </w:tc>
              <w:tc>
                <w:tcPr>
                  <w:tcW w:w="2667" w:type="dxa"/>
                  <w:shd w:val="clear" w:color="auto" w:fill="auto"/>
                  <w:vAlign w:val="center"/>
                </w:tcPr>
                <w:p w14:paraId="31AA20D7">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olor w:val="auto"/>
                      <w:lang w:val="en-US" w:eastAsia="zh-CN"/>
                    </w:rPr>
                    <w:t>园区及涉铊涉氟相关企业要严格落实“一企一管”要求合理设置涉铊涉氟废水专用管网连通至园区污水处理厂，确保涉铊涉氟废水可精确溯源、可及时管控。</w:t>
                  </w:r>
                </w:p>
              </w:tc>
              <w:tc>
                <w:tcPr>
                  <w:tcW w:w="4041" w:type="dxa"/>
                  <w:shd w:val="clear" w:color="auto" w:fill="auto"/>
                  <w:vAlign w:val="center"/>
                </w:tcPr>
                <w:p w14:paraId="5E26E58A">
                  <w:pPr>
                    <w:pStyle w:val="56"/>
                    <w:keepNext w:val="0"/>
                    <w:keepLines w:val="0"/>
                    <w:suppressLineNumbers w:val="0"/>
                    <w:bidi w:val="0"/>
                    <w:spacing w:before="0" w:beforeAutospacing="0" w:after="0" w:afterAutospacing="0"/>
                    <w:ind w:left="0" w:right="0"/>
                    <w:jc w:val="center"/>
                    <w:rPr>
                      <w:rFonts w:hint="eastAsia"/>
                      <w:color w:val="auto"/>
                      <w:lang w:val="en-US" w:eastAsia="zh-CN"/>
                    </w:rPr>
                  </w:pPr>
                </w:p>
                <w:p w14:paraId="50AB199F">
                  <w:pPr>
                    <w:pStyle w:val="56"/>
                    <w:keepNext w:val="0"/>
                    <w:keepLines w:val="0"/>
                    <w:suppressLineNumbers w:val="0"/>
                    <w:bidi w:val="0"/>
                    <w:spacing w:before="0" w:beforeAutospacing="0" w:after="0" w:afterAutospacing="0"/>
                    <w:ind w:left="0" w:right="0"/>
                    <w:jc w:val="center"/>
                    <w:rPr>
                      <w:rFonts w:hint="eastAsia"/>
                      <w:color w:val="auto"/>
                      <w:lang w:val="en-US" w:eastAsia="zh-CN"/>
                    </w:rPr>
                  </w:pPr>
                </w:p>
                <w:p w14:paraId="18080BE5">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olor w:val="auto"/>
                      <w:lang w:val="en-US" w:eastAsia="zh-CN"/>
                    </w:rPr>
                    <w:t>本项目不涉及生产废水排放。</w:t>
                  </w:r>
                </w:p>
              </w:tc>
              <w:tc>
                <w:tcPr>
                  <w:tcW w:w="717" w:type="dxa"/>
                  <w:shd w:val="clear" w:color="auto" w:fill="auto"/>
                  <w:textDirection w:val="tbRlV"/>
                  <w:vAlign w:val="center"/>
                </w:tcPr>
                <w:p w14:paraId="2F2E12EA">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olor w:val="auto"/>
                      <w:lang w:val="en-US" w:eastAsia="zh-CN"/>
                    </w:rPr>
                    <w:t>相符</w:t>
                  </w:r>
                </w:p>
              </w:tc>
            </w:tr>
            <w:tr w14:paraId="3DEB6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shd w:val="clear" w:color="auto" w:fill="auto"/>
                  <w:vAlign w:val="center"/>
                </w:tcPr>
                <w:p w14:paraId="6E34BA22">
                  <w:pPr>
                    <w:pStyle w:val="56"/>
                    <w:keepNext w:val="0"/>
                    <w:keepLines w:val="0"/>
                    <w:suppressLineNumbers w:val="0"/>
                    <w:bidi w:val="0"/>
                    <w:spacing w:before="0" w:beforeAutospacing="0" w:after="0" w:afterAutospacing="0"/>
                    <w:ind w:left="0" w:right="0"/>
                    <w:jc w:val="center"/>
                    <w:rPr>
                      <w:rFonts w:hint="eastAsia"/>
                      <w:color w:val="auto"/>
                      <w:lang w:val="en-US" w:eastAsia="zh-CN"/>
                    </w:rPr>
                  </w:pPr>
                  <w:r>
                    <w:rPr>
                      <w:rFonts w:hint="eastAsia"/>
                      <w:color w:val="auto"/>
                      <w:lang w:val="en-US" w:eastAsia="zh-CN"/>
                    </w:rPr>
                    <w:t>发挥在线</w:t>
                  </w:r>
                </w:p>
                <w:p w14:paraId="3BC11B9E">
                  <w:pPr>
                    <w:pStyle w:val="56"/>
                    <w:keepNext w:val="0"/>
                    <w:keepLines w:val="0"/>
                    <w:suppressLineNumbers w:val="0"/>
                    <w:bidi w:val="0"/>
                    <w:spacing w:before="0" w:beforeAutospacing="0" w:after="0" w:afterAutospacing="0"/>
                    <w:ind w:left="0" w:right="0"/>
                    <w:jc w:val="center"/>
                    <w:rPr>
                      <w:rFonts w:hint="eastAsia"/>
                      <w:color w:val="auto"/>
                      <w:lang w:val="en-US" w:eastAsia="zh-CN"/>
                    </w:rPr>
                  </w:pPr>
                  <w:r>
                    <w:rPr>
                      <w:rFonts w:hint="eastAsia"/>
                      <w:color w:val="auto"/>
                      <w:lang w:val="en-US" w:eastAsia="zh-CN"/>
                    </w:rPr>
                    <w:t>监测防范</w:t>
                  </w:r>
                </w:p>
                <w:p w14:paraId="61C2A3DC">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olor w:val="auto"/>
                      <w:lang w:val="en-US" w:eastAsia="zh-CN"/>
                    </w:rPr>
                    <w:t>预警作用</w:t>
                  </w:r>
                </w:p>
              </w:tc>
              <w:tc>
                <w:tcPr>
                  <w:tcW w:w="2667" w:type="dxa"/>
                  <w:shd w:val="clear" w:color="auto" w:fill="auto"/>
                  <w:vAlign w:val="center"/>
                </w:tcPr>
                <w:p w14:paraId="1BDD33CE">
                  <w:pPr>
                    <w:pStyle w:val="56"/>
                    <w:keepNext w:val="0"/>
                    <w:keepLines w:val="0"/>
                    <w:suppressLineNumbers w:val="0"/>
                    <w:bidi w:val="0"/>
                    <w:spacing w:before="0" w:beforeAutospacing="0" w:after="0" w:afterAutospacing="0"/>
                    <w:ind w:left="0" w:right="0"/>
                    <w:jc w:val="center"/>
                    <w:rPr>
                      <w:rFonts w:hint="eastAsia"/>
                      <w:color w:val="auto"/>
                      <w:lang w:val="en-US" w:eastAsia="zh-CN"/>
                    </w:rPr>
                  </w:pPr>
                </w:p>
                <w:p w14:paraId="274A739E">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olor w:val="auto"/>
                      <w:lang w:val="en-US" w:eastAsia="zh-CN"/>
                    </w:rPr>
                    <w:t>涉铊涉氟企业除在废水总排口和厂区雨水排口安装铊和氟化物的在线监测设备外，还应在车间或生产设施废水排放口安装铊在线监测设备。</w:t>
                  </w:r>
                </w:p>
              </w:tc>
              <w:tc>
                <w:tcPr>
                  <w:tcW w:w="4041" w:type="dxa"/>
                  <w:shd w:val="clear" w:color="auto" w:fill="auto"/>
                  <w:vAlign w:val="center"/>
                </w:tcPr>
                <w:p w14:paraId="05B5BAB4">
                  <w:pPr>
                    <w:pStyle w:val="56"/>
                    <w:keepNext w:val="0"/>
                    <w:keepLines w:val="0"/>
                    <w:suppressLineNumbers w:val="0"/>
                    <w:bidi w:val="0"/>
                    <w:spacing w:before="0" w:beforeAutospacing="0" w:after="0" w:afterAutospacing="0"/>
                    <w:ind w:left="0" w:right="0"/>
                    <w:jc w:val="center"/>
                    <w:rPr>
                      <w:rFonts w:hint="eastAsia"/>
                      <w:color w:val="auto"/>
                      <w:lang w:val="en-US" w:eastAsia="zh-CN"/>
                    </w:rPr>
                  </w:pPr>
                </w:p>
                <w:p w14:paraId="2F31BA8C">
                  <w:pPr>
                    <w:pStyle w:val="56"/>
                    <w:keepNext w:val="0"/>
                    <w:keepLines w:val="0"/>
                    <w:suppressLineNumbers w:val="0"/>
                    <w:bidi w:val="0"/>
                    <w:spacing w:before="0" w:beforeAutospacing="0" w:after="0" w:afterAutospacing="0"/>
                    <w:ind w:left="0" w:right="0"/>
                    <w:jc w:val="center"/>
                    <w:rPr>
                      <w:rFonts w:hint="eastAsia"/>
                      <w:color w:val="auto"/>
                      <w:lang w:val="en-US" w:eastAsia="zh-CN"/>
                    </w:rPr>
                  </w:pPr>
                </w:p>
                <w:p w14:paraId="319545E9">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olor w:val="auto"/>
                      <w:lang w:val="en-US" w:eastAsia="zh-CN"/>
                    </w:rPr>
                    <w:t>本项目在雨水排放口设置氟化物、铊的在线监测。</w:t>
                  </w:r>
                </w:p>
              </w:tc>
              <w:tc>
                <w:tcPr>
                  <w:tcW w:w="717" w:type="dxa"/>
                  <w:shd w:val="clear" w:color="auto" w:fill="auto"/>
                  <w:textDirection w:val="tbRlV"/>
                  <w:vAlign w:val="center"/>
                </w:tcPr>
                <w:p w14:paraId="46B2C7CD">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olor w:val="auto"/>
                      <w:lang w:val="en-US" w:eastAsia="zh-CN"/>
                    </w:rPr>
                    <w:t>相符</w:t>
                  </w:r>
                </w:p>
              </w:tc>
            </w:tr>
          </w:tbl>
          <w:p w14:paraId="65C3F3E8">
            <w:pPr>
              <w:keepNext w:val="0"/>
              <w:keepLines w:val="0"/>
              <w:numPr>
                <w:ilvl w:val="0"/>
                <w:numId w:val="7"/>
              </w:numPr>
              <w:suppressLineNumbers w:val="0"/>
              <w:bidi w:val="0"/>
              <w:spacing w:before="0" w:beforeAutospacing="0" w:after="0" w:afterAutospacing="0"/>
              <w:ind w:left="0" w:leftChars="0" w:right="0" w:firstLine="48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与《关于进一步加强对全市锂渣利用处置指导的通知》宜环委办字</w:t>
            </w:r>
            <w:r>
              <w:rPr>
                <w:rFonts w:hint="eastAsia" w:ascii="Times New Roman" w:hAnsi="Times New Roman" w:eastAsia="宋体" w:cs="Times New Roman"/>
                <w:color w:val="auto"/>
                <w:lang w:val="en-US" w:eastAsia="zh-CN"/>
              </w:rPr>
              <w:t>〔2024〕33号相符性分析</w:t>
            </w:r>
          </w:p>
          <w:p w14:paraId="0A07D6FA">
            <w:pPr>
              <w:pStyle w:val="139"/>
              <w:keepNext w:val="0"/>
              <w:keepLines w:val="0"/>
              <w:suppressLineNumbers w:val="0"/>
              <w:spacing w:before="12" w:beforeAutospacing="0" w:after="0" w:afterAutospacing="0" w:line="359" w:lineRule="auto"/>
              <w:ind w:left="109" w:right="103" w:firstLine="480"/>
              <w:rPr>
                <w:rFonts w:hint="default" w:ascii="宋体" w:hAnsi="宋体" w:eastAsia="宋体" w:cs="宋体"/>
                <w:color w:val="auto"/>
                <w:spacing w:val="-1"/>
              </w:rPr>
            </w:pPr>
            <w:r>
              <w:rPr>
                <w:rFonts w:hint="default" w:ascii="宋体" w:hAnsi="宋体" w:eastAsia="宋体" w:cs="宋体"/>
                <w:color w:val="auto"/>
                <w:spacing w:val="-1"/>
              </w:rPr>
              <w:t>为推进宜春市碳酸锂行业健康稳步发展，帮助企业解决当前阶段锂渣利用处置难题，4月11日-12日，宜春市特邀中国环境科学研究院等单位5位专家，召开了宜春市锂渣利用处置相关问题培训暨专家咨询会。与会专家听取了锂电产业有关情况和企业对锂渣处理工艺的介绍，对宜春市当前锂渣处置急需解决的问题进行了充分讨论，形成了《宜春市锂渣利用处置相关问题专家咨询意见》，为宜春市碳酸锂企业锂渣处置明确了思路指明了路径和方法。专家五条咨询意见及相关要求见表1-13，需结合实际，认真贯彻执行</w:t>
            </w:r>
          </w:p>
          <w:p w14:paraId="5B2086AE">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default"/>
                <w:color w:val="auto"/>
                <w:lang w:val="en-US" w:eastAsia="zh-CN"/>
              </w:rPr>
            </w:pPr>
            <w:r>
              <w:rPr>
                <w:rFonts w:hint="default"/>
                <w:color w:val="auto"/>
                <w:lang w:val="en-US" w:eastAsia="zh-CN"/>
              </w:rPr>
              <w:t>项目与《关于进一步加强对全市锂渣利用处置指导的通知》宜环委</w:t>
            </w:r>
          </w:p>
          <w:p w14:paraId="7E195F3A">
            <w:pPr>
              <w:pStyle w:val="37"/>
              <w:keepNext w:val="0"/>
              <w:keepLines w:val="0"/>
              <w:numPr>
                <w:ilvl w:val="0"/>
                <w:numId w:val="0"/>
              </w:numPr>
              <w:suppressLineNumbers w:val="0"/>
              <w:tabs>
                <w:tab w:val="left" w:pos="0"/>
              </w:tabs>
              <w:snapToGrid/>
              <w:spacing w:before="156" w:beforeLines="50" w:beforeAutospacing="0" w:after="0" w:afterAutospacing="0" w:line="240" w:lineRule="auto"/>
              <w:ind w:left="422" w:leftChars="0" w:right="0"/>
              <w:jc w:val="center"/>
              <w:textAlignment w:val="baseline"/>
              <w:outlineLvl w:val="0"/>
              <w:rPr>
                <w:rFonts w:hint="default"/>
                <w:color w:val="auto"/>
                <w:lang w:val="en-US" w:eastAsia="zh-CN"/>
              </w:rPr>
            </w:pPr>
            <w:r>
              <w:rPr>
                <w:rFonts w:hint="default"/>
                <w:color w:val="auto"/>
                <w:lang w:val="en-US" w:eastAsia="zh-CN"/>
              </w:rPr>
              <w:t>办字</w:t>
            </w:r>
            <w:r>
              <w:rPr>
                <w:rFonts w:hint="eastAsia"/>
                <w:color w:val="auto"/>
                <w:lang w:val="en-US" w:eastAsia="zh-CN"/>
              </w:rPr>
              <w:t>〔2024〕33号相符性分析</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4"/>
              <w:gridCol w:w="3982"/>
              <w:gridCol w:w="1944"/>
              <w:gridCol w:w="1182"/>
            </w:tblGrid>
            <w:tr w14:paraId="4D42F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4" w:type="dxa"/>
                  <w:shd w:val="clear" w:color="auto" w:fill="auto"/>
                  <w:vAlign w:val="center"/>
                </w:tcPr>
                <w:p w14:paraId="64E62AE5">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序号</w:t>
                  </w:r>
                </w:p>
              </w:tc>
              <w:tc>
                <w:tcPr>
                  <w:tcW w:w="3982" w:type="dxa"/>
                  <w:shd w:val="clear" w:color="auto" w:fill="auto"/>
                  <w:vAlign w:val="center"/>
                </w:tcPr>
                <w:p w14:paraId="53C7E45E">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总体要求</w:t>
                  </w:r>
                </w:p>
              </w:tc>
              <w:tc>
                <w:tcPr>
                  <w:tcW w:w="1944" w:type="dxa"/>
                  <w:shd w:val="clear" w:color="auto" w:fill="auto"/>
                  <w:vAlign w:val="center"/>
                </w:tcPr>
                <w:p w14:paraId="244755EE">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本项目情况</w:t>
                  </w:r>
                </w:p>
              </w:tc>
              <w:tc>
                <w:tcPr>
                  <w:tcW w:w="1182" w:type="dxa"/>
                  <w:shd w:val="clear" w:color="auto" w:fill="auto"/>
                  <w:vAlign w:val="center"/>
                </w:tcPr>
                <w:p w14:paraId="694554B5">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是否</w:t>
                  </w:r>
                </w:p>
                <w:p w14:paraId="5C84077A">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77E47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4" w:type="dxa"/>
                  <w:vAlign w:val="center"/>
                </w:tcPr>
                <w:p w14:paraId="217ADAAD">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BEC4594">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39833DE4">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1845A37">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10A73A5">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2E5FFA0">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6992FE7">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D247F0A">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AA13207">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A435AEB">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1</w:t>
                  </w:r>
                </w:p>
              </w:tc>
              <w:tc>
                <w:tcPr>
                  <w:tcW w:w="3982" w:type="dxa"/>
                  <w:vAlign w:val="center"/>
                </w:tcPr>
                <w:p w14:paraId="3055ECCB">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一、以提锂为目标的水洗、固铊固铍技术路线是可行的，在锂渣处理过程中应关注铊、铍等浸出毒性及毒性物质含量。环评手续按照建设项目环境管理相关规定执行。专家指出，目前，宜春市碳酸锂企业通过水洗锂渣并进行提锂，解决锂渣中重金属超标的技术路线，是属于固体废物利用的过程，符合国家《危险废物鉴别标准通则》要求，政策上可行，予以支持。但纯粹以进消纳场为目的的固铊固铍技术路线，工艺上没有提锂环节，不符合国家《危险废物鉴别标准通则》要求，因此不予支持。专家认为，通过水洗锂渣提锂，虽然利用的是原有生产线但原材料、辅料药剂等发生了较大变化，必须根据企业实际情况重新报批环评手续。环评手续应按照国家建设项目环境管理相关规定执行。如果企业需重新建设锂渣水洗线，政策上也是支持的，但也要按照国家建设项目环境管理相关规定办理环评手续。</w:t>
                  </w:r>
                </w:p>
              </w:tc>
              <w:tc>
                <w:tcPr>
                  <w:tcW w:w="1944" w:type="dxa"/>
                  <w:vAlign w:val="center"/>
                </w:tcPr>
                <w:p w14:paraId="22ACB2A7">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2B312572">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AD71332">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9E129B1">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20BBDD27">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AEDFBCA">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本项目工艺不涉及提锂环节，原料为锂渣，现按照国家建设项目环境管理</w:t>
                  </w:r>
                </w:p>
                <w:p w14:paraId="27BD40D9">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相关规定办理环评手续。</w:t>
                  </w:r>
                </w:p>
              </w:tc>
              <w:tc>
                <w:tcPr>
                  <w:tcW w:w="1182" w:type="dxa"/>
                  <w:vAlign w:val="center"/>
                </w:tcPr>
                <w:p w14:paraId="08BF1560">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3CBCE2C2">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70F4BB6">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3567DB89">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0CA34E4">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7B33464">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0D805EB">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39E9342">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6BA6805">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7B824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4" w:type="dxa"/>
                  <w:vAlign w:val="center"/>
                </w:tcPr>
                <w:p w14:paraId="23EE32D8">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762D328E">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8B54978">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AC5CE4A">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3D2A6AB1">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AF5E934">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26CDD7CD">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7849EA3E">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68DC43B">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CC169C6">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339D8B5B">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98FDABC">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2</w:t>
                  </w:r>
                </w:p>
              </w:tc>
              <w:tc>
                <w:tcPr>
                  <w:tcW w:w="3982" w:type="dxa"/>
                  <w:vAlign w:val="center"/>
                </w:tcPr>
                <w:p w14:paraId="3A49DD4E">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55FA2C5">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77D0600">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B7ED9E1">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二、锂渣属性鉴别应按照国家程序执行。在锂渣属性鉴别过程中，基于锂云母原料来源、辅料来源的不同，在鉴别方案编制过程中应系统分析特征污染因子，检测因子根据锂渣中关键特征污染因子铍、铊、氟化物等确定。专家指出，危险废物属性鉴别程序，应按照《关于加强危险废物鉴别工作的通知》规定执行，程序上不能简化。但在锂渣属性鉴别过程中的具体操作上，可以根据锂云母原料、辅料来源的不同，在鉴别方案的编制过程中，系统分析特征污染因子，减少初步筛查的检测因子种类，再根据初步筛查出的关键特征污染因子</w:t>
                  </w:r>
                  <w:r>
                    <w:rPr>
                      <w:rFonts w:hint="eastAsia"/>
                      <w:color w:val="auto"/>
                      <w:lang w:val="en-US" w:eastAsia="zh-CN"/>
                    </w:rPr>
                    <w:t>（</w:t>
                  </w:r>
                  <w:r>
                    <w:rPr>
                      <w:rFonts w:hint="default"/>
                      <w:color w:val="auto"/>
                      <w:lang w:val="en-US" w:eastAsia="zh-CN"/>
                    </w:rPr>
                    <w:t>铍、铊、氟化物</w:t>
                  </w:r>
                  <w:r>
                    <w:rPr>
                      <w:rFonts w:hint="eastAsia"/>
                      <w:color w:val="auto"/>
                      <w:lang w:val="en-US" w:eastAsia="zh-CN"/>
                    </w:rPr>
                    <w:t>）</w:t>
                  </w:r>
                  <w:r>
                    <w:rPr>
                      <w:rFonts w:hint="default"/>
                      <w:color w:val="auto"/>
                      <w:lang w:val="en-US" w:eastAsia="zh-CN"/>
                    </w:rPr>
                    <w:t>等，确定鉴别工作需要检测分析的因子，不需要做全因子检测。通过简化初步筛查、采样分析的工作量，缩短属性鉴别时间，减少企业属性鉴别成本。</w:t>
                  </w:r>
                </w:p>
              </w:tc>
              <w:tc>
                <w:tcPr>
                  <w:tcW w:w="1944" w:type="dxa"/>
                  <w:vAlign w:val="center"/>
                </w:tcPr>
                <w:p w14:paraId="35DEC33F">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本项目锂冶炼剩余物原料来源于研硕科技利用江西永兴</w:t>
                  </w:r>
                </w:p>
                <w:p w14:paraId="5EFA76D6">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特钢新能源科技有限公司等企业浸出渣二次提锂后产生</w:t>
                  </w:r>
                </w:p>
                <w:p w14:paraId="725E6A02">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的锂冶炼剩余物（水洗渣），江西永兴特钢新能源科技有限公司按照该</w:t>
                  </w:r>
                </w:p>
                <w:p w14:paraId="3CD07E59">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程序开展危废属性鉴别，鉴别报告检测因子根据锂冶炼剩余物中关键特征污染因子铍、铊、氟化物等确定为一般固废。</w:t>
                  </w:r>
                </w:p>
              </w:tc>
              <w:tc>
                <w:tcPr>
                  <w:tcW w:w="1182" w:type="dxa"/>
                  <w:vAlign w:val="center"/>
                </w:tcPr>
                <w:p w14:paraId="0DBE7C11">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BA5142B">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DF474FE">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964BA21">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CC8B176">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7950E138">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DD03C90">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767E041">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307FA2E8">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340B7C71">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8629185">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8BAD89D">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3A889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4" w:type="dxa"/>
                  <w:vAlign w:val="center"/>
                </w:tcPr>
                <w:p w14:paraId="42F14E58">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23D9E123">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A7638B3">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3C60400">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72E26B37">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3508581">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5EA11D5">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95C7816">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9825AF5">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62C6BDC">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728D128B">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32B0F66">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2BA6646">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3CBA1059">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3705A554">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C25D5A4">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7C46A70E">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DEF6EBB">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3</w:t>
                  </w:r>
                </w:p>
              </w:tc>
              <w:tc>
                <w:tcPr>
                  <w:tcW w:w="3982" w:type="dxa"/>
                  <w:vAlign w:val="center"/>
                </w:tcPr>
                <w:p w14:paraId="2AB8D32A">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三、在开展锂渣属性鉴别工作过程中，如批次检测数据</w:t>
                  </w:r>
                  <w:r>
                    <w:rPr>
                      <w:rFonts w:hint="eastAsia"/>
                      <w:color w:val="auto"/>
                      <w:lang w:val="en-US" w:eastAsia="zh-CN"/>
                    </w:rPr>
                    <w:t>（</w:t>
                  </w:r>
                  <w:r>
                    <w:rPr>
                      <w:rFonts w:hint="default"/>
                      <w:color w:val="auto"/>
                      <w:lang w:val="en-US" w:eastAsia="zh-CN"/>
                    </w:rPr>
                    <w:t>具资质检测单位出具</w:t>
                  </w:r>
                  <w:r>
                    <w:rPr>
                      <w:rFonts w:hint="eastAsia"/>
                      <w:color w:val="auto"/>
                      <w:lang w:val="en-US" w:eastAsia="zh-CN"/>
                    </w:rPr>
                    <w:t>）</w:t>
                  </w:r>
                  <w:r>
                    <w:rPr>
                      <w:rFonts w:hint="default"/>
                      <w:color w:val="auto"/>
                      <w:lang w:val="en-US" w:eastAsia="zh-CN"/>
                    </w:rPr>
                    <w:t>证明其不具有危险特性并满足Ⅱ类一般工业固废入场要求，则该批次锂渣可进入消纳场分区贮存。鉴别工作完成后，企业应履行主体责任开展自行监测工作，如锂渣不符合入场要求，企业应承担相应的法律责任。</w:t>
                  </w:r>
                </w:p>
                <w:p w14:paraId="5666CAFC">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针对企业反映锂渣属性鉴别时间长，从启动属性鉴别到拿到属性鉴别结果需要</w:t>
                  </w:r>
                  <w:r>
                    <w:rPr>
                      <w:rFonts w:hint="eastAsia"/>
                      <w:color w:val="auto"/>
                      <w:lang w:val="en-US" w:eastAsia="zh-CN"/>
                    </w:rPr>
                    <w:t>五六个</w:t>
                  </w:r>
                  <w:r>
                    <w:rPr>
                      <w:rFonts w:hint="default"/>
                      <w:color w:val="auto"/>
                      <w:lang w:val="en-US" w:eastAsia="zh-CN"/>
                    </w:rPr>
                    <w:t>月，在属性鉴别期间已检测达标但未拿到属性鉴别结果之前，能否将锂渣先贮存到消纳场的问题，专家认为，在锂渣检测达标的情况下，锂渣可以先进入消纳场，但在具体操作时，要满足一定的前提条件：一是企业要请有资质的检测单位对进入消纳场的锂渣进行检测，并出具检测报告，不能由企业自己检测出报告。对检测数据证明其不具有危险特性并且满足</w:t>
                  </w:r>
                  <w:r>
                    <w:rPr>
                      <w:rFonts w:hint="eastAsia"/>
                      <w:color w:val="auto"/>
                      <w:lang w:val="en-US" w:eastAsia="zh-CN"/>
                    </w:rPr>
                    <w:t>Ⅱ类</w:t>
                  </w:r>
                  <w:r>
                    <w:rPr>
                      <w:rFonts w:hint="default"/>
                      <w:color w:val="auto"/>
                      <w:lang w:val="en-US" w:eastAsia="zh-CN"/>
                    </w:rPr>
                    <w:t>一般工业固废要求的锂渣，可以先进入消纳场贮存；二是进入消纳场的锂渣，要按企业进行分区贮存，便于后期溯源；三是鉴别工作完成后，企业仍然要履行主体责任，继续对每批次进入消纳场的锂渣开展检测工作，确保锂渣达到入场要求。</w:t>
                  </w:r>
                </w:p>
                <w:p w14:paraId="2FC3BC4D">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专家强调，宜春库存锂渣量巨大，企业检测批次较多，政府职能部门过程监管很难周全，必须全面压实企业主体责任坚持结果导向，企业必须对自己的锂渣检测结果全面负责，进入消纳场后分区堆放，如果后续在上级督查或检测中发现进入消纳场的锂渣属于危险废物，则企业要承担非法处置危险废物的法律责任。</w:t>
                  </w:r>
                </w:p>
                <w:p w14:paraId="37382351">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专家建议，为解决库存锂渣水洗利用后又返回仓库暂存再进行属性鉴别，造成资金浪费、转运环境风险的问题，在库存锂渣返回水洗利用生产工序上，可参照动态锂渣属性鉴别的做法，在水洗利用生产线上就可以进行属性鉴别。</w:t>
                  </w:r>
                </w:p>
              </w:tc>
              <w:tc>
                <w:tcPr>
                  <w:tcW w:w="1944" w:type="dxa"/>
                  <w:vAlign w:val="center"/>
                </w:tcPr>
                <w:p w14:paraId="71E12805">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不涉及。</w:t>
                  </w:r>
                </w:p>
              </w:tc>
              <w:tc>
                <w:tcPr>
                  <w:tcW w:w="1182" w:type="dxa"/>
                  <w:vAlign w:val="center"/>
                </w:tcPr>
                <w:p w14:paraId="36595AF4">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F755F89">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98F37D4">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7E16A29">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D824A95">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0CE2229">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FFA3BED">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9A40069">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C638B98">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3ECA2C2">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409C49B">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924A5D0">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2D3AA9CC">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FBC507E">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73E8B046">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36DD071">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03823E8">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B4947D4">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不涉及。</w:t>
                  </w:r>
                </w:p>
              </w:tc>
            </w:tr>
            <w:tr w14:paraId="54993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4" w:type="dxa"/>
                  <w:vAlign w:val="center"/>
                </w:tcPr>
                <w:p w14:paraId="2E55E9D6">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7FE0F82">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7D43C24E">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DBC2408">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D2E04F6">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DE0DB8D">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D51A4DB">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8C85B85">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3FCEF205">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4</w:t>
                  </w:r>
                </w:p>
              </w:tc>
              <w:tc>
                <w:tcPr>
                  <w:tcW w:w="3982" w:type="dxa"/>
                  <w:vAlign w:val="center"/>
                </w:tcPr>
                <w:p w14:paraId="1BF145BC">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四、锂渣返回原厂进行利用、开展锂渣“点对点”利用政策上可行，程序按照相关法律法规执行。</w:t>
                  </w:r>
                </w:p>
                <w:p w14:paraId="5E6A9DFD">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针对我市部分企业将锂渣异地贮存和有的县市区存在无主锂渣的情况，专家指出，异地贮存的锂渣可以直接运回原企业进行水洗利用，但必须做好台账。对没有企业认领的无主锂渣，应压实属地政府责任，可由属地政府采取行政代处置的办法委托企业代处置，经费由属地政府解决。</w:t>
                  </w:r>
                </w:p>
                <w:p w14:paraId="12292786">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针对部分企业提出能否将自己产生的锂渣委托其他企业代为水洗利用的问题，专家认为，锂渣产生单位委托其他企业对其锂渣进行水洗利用，符合省生态环境厅印发的《江西省危险废物“点对点”定向利用试点工作方案》有关要求，政策上可行。但在具体操作上，要按照相关法律法规以及方案的要求执行。</w:t>
                  </w:r>
                </w:p>
              </w:tc>
              <w:tc>
                <w:tcPr>
                  <w:tcW w:w="1944" w:type="dxa"/>
                  <w:vAlign w:val="center"/>
                </w:tcPr>
                <w:p w14:paraId="7B0E1DF1">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本项目不涉及锂渣水洗利用工序。</w:t>
                  </w:r>
                </w:p>
              </w:tc>
              <w:tc>
                <w:tcPr>
                  <w:tcW w:w="1182" w:type="dxa"/>
                  <w:vAlign w:val="center"/>
                </w:tcPr>
                <w:p w14:paraId="38764087">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536DC80">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BB8F7CF">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31D23B8B">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2C3BB10C">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D1A93A1">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6795237">
                  <w:pPr>
                    <w:pStyle w:val="56"/>
                    <w:keepNext w:val="0"/>
                    <w:keepLines w:val="0"/>
                    <w:suppressLineNumbers w:val="0"/>
                    <w:bidi w:val="0"/>
                    <w:spacing w:before="0" w:beforeAutospacing="0" w:after="0" w:afterAutospacing="0"/>
                    <w:ind w:left="0" w:right="0"/>
                    <w:jc w:val="center"/>
                    <w:rPr>
                      <w:rFonts w:hint="default"/>
                      <w:color w:val="auto"/>
                      <w:lang w:val="en-US" w:eastAsia="zh-CN"/>
                    </w:rPr>
                  </w:pPr>
                </w:p>
              </w:tc>
            </w:tr>
            <w:tr w14:paraId="53299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4" w:type="dxa"/>
                  <w:vAlign w:val="center"/>
                </w:tcPr>
                <w:p w14:paraId="6979CBE0">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158D5FE">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7DDCB667">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E73586F">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583142E">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E6910B7">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5D85B0F">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7E64049">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767E063">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3E4CE1AF">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7F18F7C">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370573C">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3B704523">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A82AAD9">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FFE4082">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7F6546D8">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5</w:t>
                  </w:r>
                </w:p>
              </w:tc>
              <w:tc>
                <w:tcPr>
                  <w:tcW w:w="3982" w:type="dxa"/>
                  <w:vAlign w:val="center"/>
                </w:tcPr>
                <w:p w14:paraId="3034D55E">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五、锂渣贮存按照省生态环境厅《固体废物环境管理指南锂渣生产》</w:t>
                  </w:r>
                  <w:r>
                    <w:rPr>
                      <w:rFonts w:hint="eastAsia"/>
                      <w:color w:val="auto"/>
                      <w:lang w:val="en-US" w:eastAsia="zh-CN"/>
                    </w:rPr>
                    <w:t>（</w:t>
                  </w:r>
                  <w:r>
                    <w:rPr>
                      <w:rFonts w:hint="default"/>
                      <w:color w:val="auto"/>
                      <w:lang w:val="en-US" w:eastAsia="zh-CN"/>
                    </w:rPr>
                    <w:t>指南</w:t>
                  </w:r>
                  <w:r>
                    <w:rPr>
                      <w:rFonts w:hint="eastAsia"/>
                      <w:color w:val="auto"/>
                      <w:lang w:val="en-US" w:eastAsia="zh-CN"/>
                    </w:rPr>
                    <w:t>）</w:t>
                  </w:r>
                  <w:r>
                    <w:rPr>
                      <w:rFonts w:hint="default"/>
                      <w:color w:val="auto"/>
                      <w:lang w:val="en-US" w:eastAsia="zh-CN"/>
                    </w:rPr>
                    <w:t>执行。已建成投入使用的锂渣贮存设施自2025年9月1日起执行指南要求，新建贮存设施要求自指南发布之日起执行。</w:t>
                  </w:r>
                </w:p>
                <w:p w14:paraId="627D09D9">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省生态环境厅印发的《指南》要求，未经鉴别明确固废属性的锂渣需按照危险废物标准贮存。但目前绝大部分锂渣是在《指南》下发之前就贮存在普通仓库里，而且仓库均达不到危险废物贮存标准。对此，专家指出，在2025年9月1日前，可按现有条件进行贮存，但要加强管理，防止环境风险。在2025年9月1日之后，未进行属性鉴别的库存锂渣必须落实《指南》要求，按危险废物标准进行贮存。新建锂渣贮存设施要求则从指南发布之日起执行。</w:t>
                  </w:r>
                </w:p>
                <w:p w14:paraId="103CAE09">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各地要高度重视，积极帮扶指导企业抓紧推进锂渣水洗利用工作，按照专家咨询意见，对符合要求的锂渣水洗利用工艺要依法依规积极推进，对不符合要求的固铍固铊工艺，要指导企业及时调整与改进，确保锂渣水洗工艺合法合规。各地要指导企业抓紧完成水洗利用工艺的相关环评手续，严格按照国家建设项目环境影响评价相关规定，针对企业不同实际，采取不同方式，尽快完善好环评手续。各地要加强对库存锂渣的环境监管，建立巡查检查制度，定期组织人员对辖区内锂渣仓库进行巡查检查，特别是对库顶漏雨、墙体破损、渗滤液渗漏等情况要及时处理，对锂渣贮存时间过长的仓库，必要时对其周地土壤、地下水开展监测检测，对存在环境污染隐患的要及时处理，坚决杜绝环境风险。</w:t>
                  </w:r>
                </w:p>
              </w:tc>
              <w:tc>
                <w:tcPr>
                  <w:tcW w:w="1944" w:type="dxa"/>
                  <w:vAlign w:val="center"/>
                </w:tcPr>
                <w:p w14:paraId="153EB8E9">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89CF793">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2A8BE6BA">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4E34CEA">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0A5536B">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035B6FB">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BBC9EE3">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77F98D5">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F29C1A9">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30716A84">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363B073">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06AAFFB">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7EF4425A">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892D254">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本项目使用鉴定为一般工业固体废物的锂渣。</w:t>
                  </w:r>
                </w:p>
              </w:tc>
              <w:tc>
                <w:tcPr>
                  <w:tcW w:w="1182" w:type="dxa"/>
                  <w:vAlign w:val="center"/>
                </w:tcPr>
                <w:p w14:paraId="6315ABF2">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1927EA3">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BEE1508">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A4A294F">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9698D0C">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BAFA99B">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3CEC6ED">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7E025093">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7076FF06">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85B50DC">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4ABC18D">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FD83E19">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406FD95">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3F6C4DA">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3910071">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391CF894">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bl>
          <w:p w14:paraId="6C891D14">
            <w:pPr>
              <w:keepNext w:val="0"/>
              <w:keepLines w:val="0"/>
              <w:suppressLineNumbers w:val="0"/>
              <w:bidi w:val="0"/>
              <w:spacing w:before="0" w:beforeAutospacing="0" w:after="0" w:afterAutospacing="0"/>
              <w:ind w:left="0" w:right="0"/>
              <w:rPr>
                <w:rFonts w:hint="default"/>
                <w:color w:val="auto"/>
              </w:rPr>
            </w:pPr>
            <w:r>
              <w:rPr>
                <w:rFonts w:hint="default"/>
                <w:color w:val="auto"/>
              </w:rPr>
              <w:t>综上所述，本项目与《关于进一步加强对全市锂渣利用处置指导的通知》宜环委办字</w:t>
            </w:r>
            <w:r>
              <w:rPr>
                <w:rFonts w:hint="eastAsia"/>
                <w:color w:val="auto"/>
                <w:lang w:eastAsia="zh-CN"/>
              </w:rPr>
              <w:t>〔2024〕33号</w:t>
            </w:r>
            <w:r>
              <w:rPr>
                <w:rFonts w:hint="default"/>
                <w:color w:val="auto"/>
              </w:rPr>
              <w:t>相关要求符合。</w:t>
            </w:r>
          </w:p>
          <w:p w14:paraId="2978B289">
            <w:pPr>
              <w:keepNext w:val="0"/>
              <w:keepLines w:val="0"/>
              <w:numPr>
                <w:ilvl w:val="0"/>
                <w:numId w:val="7"/>
              </w:numPr>
              <w:suppressLineNumbers w:val="0"/>
              <w:bidi w:val="0"/>
              <w:spacing w:before="0" w:beforeAutospacing="0" w:after="0" w:afterAutospacing="0"/>
              <w:ind w:left="0" w:leftChars="0" w:right="0" w:firstLine="48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与《关于以生态环境高水平保护助推锂电新能源等产业绿色高质量发展的二十条措施》的通知（宜党发〔2023〕2号）</w:t>
            </w:r>
            <w:r>
              <w:rPr>
                <w:rFonts w:hint="eastAsia" w:ascii="Times New Roman" w:hAnsi="Times New Roman" w:eastAsia="宋体" w:cs="Times New Roman"/>
                <w:color w:val="auto"/>
                <w:lang w:val="en-US" w:eastAsia="zh-CN"/>
              </w:rPr>
              <w:t>相符性分析</w:t>
            </w:r>
          </w:p>
          <w:p w14:paraId="2B105156">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default"/>
                <w:color w:val="auto"/>
              </w:rPr>
            </w:pPr>
            <w:r>
              <w:rPr>
                <w:rFonts w:hint="default"/>
                <w:b/>
                <w:bCs/>
                <w:color w:val="auto"/>
                <w:spacing w:val="-3"/>
              </w:rPr>
              <w:t>与（宜党发〔</w:t>
            </w:r>
            <w:r>
              <w:rPr>
                <w:rFonts w:hint="default" w:ascii="Times New Roman" w:hAnsi="Times New Roman" w:eastAsia="Times New Roman" w:cs="Times New Roman"/>
                <w:b/>
                <w:bCs/>
                <w:color w:val="auto"/>
                <w:spacing w:val="-3"/>
              </w:rPr>
              <w:t>2023</w:t>
            </w:r>
            <w:r>
              <w:rPr>
                <w:rFonts w:hint="default"/>
                <w:b/>
                <w:bCs/>
                <w:color w:val="auto"/>
                <w:spacing w:val="-3"/>
              </w:rPr>
              <w:t>〕</w:t>
            </w:r>
            <w:r>
              <w:rPr>
                <w:rFonts w:hint="default" w:ascii="Times New Roman" w:hAnsi="Times New Roman" w:eastAsia="Times New Roman" w:cs="Times New Roman"/>
                <w:b/>
                <w:bCs/>
                <w:color w:val="auto"/>
                <w:spacing w:val="-3"/>
              </w:rPr>
              <w:t>2</w:t>
            </w:r>
            <w:r>
              <w:rPr>
                <w:rFonts w:hint="default"/>
                <w:b/>
                <w:bCs/>
                <w:color w:val="auto"/>
                <w:spacing w:val="-3"/>
              </w:rPr>
              <w:t>号）号</w:t>
            </w:r>
            <w:r>
              <w:rPr>
                <w:rFonts w:hint="eastAsia"/>
                <w:b/>
                <w:bCs/>
                <w:color w:val="auto"/>
                <w:spacing w:val="-4"/>
                <w:lang w:eastAsia="zh-CN"/>
              </w:rPr>
              <w:t>相符性分析</w:t>
            </w:r>
            <w:r>
              <w:rPr>
                <w:rFonts w:hint="default"/>
                <w:b/>
                <w:bCs/>
                <w:color w:val="auto"/>
                <w:spacing w:val="-4"/>
              </w:rPr>
              <w:t>一览表</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3"/>
              <w:gridCol w:w="3072"/>
              <w:gridCol w:w="3068"/>
              <w:gridCol w:w="1179"/>
            </w:tblGrid>
            <w:tr w14:paraId="18C9D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shd w:val="clear" w:color="auto" w:fill="auto"/>
                  <w:vAlign w:val="center"/>
                </w:tcPr>
                <w:p w14:paraId="55536A41">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序号</w:t>
                  </w:r>
                </w:p>
              </w:tc>
              <w:tc>
                <w:tcPr>
                  <w:tcW w:w="3072" w:type="dxa"/>
                  <w:shd w:val="clear" w:color="auto" w:fill="auto"/>
                  <w:vAlign w:val="center"/>
                </w:tcPr>
                <w:p w14:paraId="6532258E">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要求</w:t>
                  </w:r>
                </w:p>
              </w:tc>
              <w:tc>
                <w:tcPr>
                  <w:tcW w:w="3068" w:type="dxa"/>
                  <w:shd w:val="clear" w:color="auto" w:fill="auto"/>
                  <w:vAlign w:val="center"/>
                </w:tcPr>
                <w:p w14:paraId="1720134C">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项目情况</w:t>
                  </w:r>
                </w:p>
              </w:tc>
              <w:tc>
                <w:tcPr>
                  <w:tcW w:w="1179" w:type="dxa"/>
                  <w:shd w:val="clear" w:color="auto" w:fill="auto"/>
                  <w:vAlign w:val="center"/>
                </w:tcPr>
                <w:p w14:paraId="14F9E1CF">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是否符合</w:t>
                  </w:r>
                </w:p>
              </w:tc>
            </w:tr>
            <w:tr w14:paraId="6CC44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shd w:val="clear" w:color="auto" w:fill="auto"/>
                  <w:vAlign w:val="center"/>
                </w:tcPr>
                <w:p w14:paraId="6D853D98">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330E91CE">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1</w:t>
                  </w:r>
                </w:p>
              </w:tc>
              <w:tc>
                <w:tcPr>
                  <w:tcW w:w="3072" w:type="dxa"/>
                  <w:shd w:val="clear" w:color="auto" w:fill="auto"/>
                  <w:vAlign w:val="center"/>
                </w:tcPr>
                <w:p w14:paraId="48B86456">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优化空间布局。认真落实长江经济带“共抓大保护、不搞大开发”要求，严格落实《产业结构调整指导目录（2019年）》《江西省长江经济带发展负面清单实施细则（试行）》。新建锂云母选矿项目原则上布局在宜丰县、奉新县、袁州区等锂资源所在地，新建锂盐项目布局在产业基础条件好的县市区，新建碳酸锂项目规模不得小于5000吨/年，碳酸锂及中间产品项目生产按照化工项目管理要求，不须进入化工园区但原则上应进入省政府认定的工业园区；铅酸蓄电池产业布局集中在宜丰县、上高县，保持现有产能，其他县市区不再引进新铅酸蓄电池项目。（责任单位：市发改委、市工信局、市生态环境</w:t>
                  </w:r>
                </w:p>
                <w:p w14:paraId="0581610F">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局，各县市区政府）</w:t>
                  </w:r>
                </w:p>
              </w:tc>
              <w:tc>
                <w:tcPr>
                  <w:tcW w:w="3068" w:type="dxa"/>
                  <w:shd w:val="clear" w:color="auto" w:fill="auto"/>
                  <w:vAlign w:val="center"/>
                </w:tcPr>
                <w:p w14:paraId="0D49FCFB">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本项目满足《产业结构调整指导目录》《江西省长江经济带发展负面清单实施细则（试行）》要求。本项目属于“第一类鼓励类”中“四十二、环境保护与资源节约综合利用8、废弃物循环利用：煤矸石、粉煤灰、尾矿（共伴生矿）、冶炼渣、工业副产石膏、赤泥、建筑垃圾等工业废弃物循环利用”，不属于碳酸锂生产型企业。</w:t>
                  </w:r>
                </w:p>
              </w:tc>
              <w:tc>
                <w:tcPr>
                  <w:tcW w:w="1179" w:type="dxa"/>
                  <w:shd w:val="clear" w:color="auto" w:fill="auto"/>
                  <w:vAlign w:val="center"/>
                </w:tcPr>
                <w:p w14:paraId="41BF94AA">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符合</w:t>
                  </w:r>
                </w:p>
              </w:tc>
            </w:tr>
            <w:tr w14:paraId="30881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Align w:val="center"/>
                </w:tcPr>
                <w:p w14:paraId="62B855EF">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2</w:t>
                  </w:r>
                </w:p>
              </w:tc>
              <w:tc>
                <w:tcPr>
                  <w:tcW w:w="3072" w:type="dxa"/>
                  <w:vAlign w:val="center"/>
                </w:tcPr>
                <w:p w14:paraId="59859B22">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延链强链补链。积极发展产业链中后端领域，支持动力电池项目建设，做大做强锂</w:t>
                  </w:r>
                </w:p>
                <w:p w14:paraId="35E6F8EA">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电池生产环节。瞄准扩大锂电下游应用领域，加快引进知名新能源汽车生产企业以</w:t>
                  </w:r>
                </w:p>
                <w:p w14:paraId="48985D71">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及“三电”等关键零部件配套企业，推动锂电产业链延伸和价值链提升。（责任单位：</w:t>
                  </w:r>
                </w:p>
                <w:p w14:paraId="3BDEA718">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市工信局、市发改委、市商务局，各县市区政府）</w:t>
                  </w:r>
                </w:p>
              </w:tc>
              <w:tc>
                <w:tcPr>
                  <w:tcW w:w="3068" w:type="dxa"/>
                  <w:vAlign w:val="center"/>
                </w:tcPr>
                <w:p w14:paraId="25F0E650">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本项目是对锂冶炼剩余物的综合利用，属于锂电新能源产业链的延伸。</w:t>
                  </w:r>
                </w:p>
              </w:tc>
              <w:tc>
                <w:tcPr>
                  <w:tcW w:w="1179" w:type="dxa"/>
                  <w:vAlign w:val="center"/>
                </w:tcPr>
                <w:p w14:paraId="06722FD9">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7FD35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03" w:type="dxa"/>
                  <w:vAlign w:val="center"/>
                </w:tcPr>
                <w:p w14:paraId="34FB75DE">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3</w:t>
                  </w:r>
                </w:p>
              </w:tc>
              <w:tc>
                <w:tcPr>
                  <w:tcW w:w="3072" w:type="dxa"/>
                  <w:vAlign w:val="center"/>
                </w:tcPr>
                <w:p w14:paraId="1100792A">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从严环境准入。严格执行《建设项目环境影响评价分类管理名录》要求，将以锂云母、锂辉石、锂渣等为原料进行焙烧生产碳酸锂及其他中间产品等项目划定为无机化工行业，编制环境影响评价报告书，污染物排放执行《无机化学工业污染物排放标准》（GB31573-2015）。碳酸锂及中间产品生产必须有合法合规的原料来源，如涉及危险废物、五类重金属、高氟等工业固废不得作为原料，严禁非法随意添加环评批复外的原辅材料。（责任单位：市生态环境局，各县市区政府）</w:t>
                  </w:r>
                </w:p>
              </w:tc>
              <w:tc>
                <w:tcPr>
                  <w:tcW w:w="3068" w:type="dxa"/>
                  <w:vAlign w:val="center"/>
                </w:tcPr>
                <w:p w14:paraId="14EDA6B3">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51453AC">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本项目是对锂冶炼剩余物的综合利用，使用的锂冶炼剩余物全部来自研硕科技二次提锂后产生的固化尾渣，每批次进行固废属性鉴定（包含铊、</w:t>
                  </w:r>
                </w:p>
                <w:p w14:paraId="47BCAFA6">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氟化物在内的成分分析和放射性分析）。根据附件中的属性鉴定报告，项目使用的研硕科技固化尾渣为一般工业固废。</w:t>
                  </w:r>
                </w:p>
              </w:tc>
              <w:tc>
                <w:tcPr>
                  <w:tcW w:w="1179" w:type="dxa"/>
                  <w:vAlign w:val="center"/>
                </w:tcPr>
                <w:p w14:paraId="7F81563A">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3AD9F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Align w:val="center"/>
                </w:tcPr>
                <w:p w14:paraId="19D14D2D">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4</w:t>
                  </w:r>
                </w:p>
              </w:tc>
              <w:tc>
                <w:tcPr>
                  <w:tcW w:w="3072" w:type="dxa"/>
                  <w:vAlign w:val="center"/>
                </w:tcPr>
                <w:p w14:paraId="7FE3BFA6">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加快能源绿色转型。加快推进宜丰县、袁州区、万载县、靖安县、铜鼓县和高安市</w:t>
                  </w:r>
                </w:p>
                <w:p w14:paraId="2F2F1CB9">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6个省级以上工业园区循环化改造。鼓励具备条件的煤电机组开展灵活性改造，谋</w:t>
                  </w:r>
                </w:p>
                <w:p w14:paraId="5DE43407">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划推进全市热电联产项目建设，加强电煤有效供应与煤炭清洁高效利用。加快推进</w:t>
                  </w:r>
                </w:p>
                <w:p w14:paraId="7F5FC90E">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全市电网、燃气管网建设，打造与全市产业发展相适应的智能化电力、燃气输送网</w:t>
                  </w:r>
                </w:p>
                <w:p w14:paraId="7D36A14B">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络，加快电力、天然气替代。大力推进光伏发电，鼓励锂电企业配套建设储能设</w:t>
                  </w:r>
                </w:p>
                <w:p w14:paraId="54BB15EC">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施，不断提升可再生能源消纳能力。（责任单位：市发改委、市工信局、市财政局，</w:t>
                  </w:r>
                </w:p>
                <w:p w14:paraId="1675A209">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各县市区政府）</w:t>
                  </w:r>
                </w:p>
              </w:tc>
              <w:tc>
                <w:tcPr>
                  <w:tcW w:w="3068" w:type="dxa"/>
                  <w:vAlign w:val="center"/>
                </w:tcPr>
                <w:p w14:paraId="28FCA453">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本项目不涉及</w:t>
                  </w:r>
                </w:p>
              </w:tc>
              <w:tc>
                <w:tcPr>
                  <w:tcW w:w="1179" w:type="dxa"/>
                  <w:vAlign w:val="center"/>
                </w:tcPr>
                <w:p w14:paraId="42B6672A">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66CE5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shd w:val="clear" w:color="auto" w:fill="auto"/>
                  <w:vAlign w:val="center"/>
                </w:tcPr>
                <w:p w14:paraId="6042AE34">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780674A">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5</w:t>
                  </w:r>
                </w:p>
              </w:tc>
              <w:tc>
                <w:tcPr>
                  <w:tcW w:w="3072" w:type="dxa"/>
                  <w:shd w:val="clear" w:color="auto" w:fill="auto"/>
                  <w:vAlign w:val="center"/>
                </w:tcPr>
                <w:p w14:paraId="4094F7B6">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强化能耗强度硬性约束。认真落实《宜春市加强高耗能高排放项目准入管理若干措施》，对高耗能高排放项目全面推行清单管理、分类处置、动态监控。新建高耗能高排放项目严格落实产能、煤耗、能耗、碳排放、污染物排放等区域等量削减要求；对存量项目积极有序开展节能降碳技术改造，加快淘汰落后产能。（责任单位：市发改委、市工信局、市生态环境局，各县市区政府）</w:t>
                  </w:r>
                </w:p>
              </w:tc>
              <w:tc>
                <w:tcPr>
                  <w:tcW w:w="3068" w:type="dxa"/>
                  <w:vAlign w:val="center"/>
                </w:tcPr>
                <w:p w14:paraId="2B1A5AC6">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项目是对锂冶炼剩余物的综合利用，根据《江西省“两高”项目管理目录》（2023年版），本项目可不纳入“两高”项目管理。</w:t>
                  </w:r>
                </w:p>
              </w:tc>
              <w:tc>
                <w:tcPr>
                  <w:tcW w:w="1179" w:type="dxa"/>
                  <w:vAlign w:val="center"/>
                </w:tcPr>
                <w:p w14:paraId="0F6A215E">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37CE5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vAlign w:val="center"/>
                </w:tcPr>
                <w:p w14:paraId="4943EF49">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A68ED5F">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395A26C">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6</w:t>
                  </w:r>
                </w:p>
              </w:tc>
              <w:tc>
                <w:tcPr>
                  <w:tcW w:w="3072" w:type="dxa"/>
                  <w:vAlign w:val="center"/>
                </w:tcPr>
                <w:p w14:paraId="7C003061">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严格开展节能审查。按照《固定资产投资项目节能审查办法》和《江西省工业固定</w:t>
                  </w:r>
                </w:p>
                <w:p w14:paraId="74872A0B">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资产投资（技改）项目节能评估和审查办法》，加强固定资产投资项目节能管理。</w:t>
                  </w:r>
                </w:p>
                <w:p w14:paraId="146C574F">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围绕锂电新能源、铅酸蓄电池等重点行业，开展节能审查未批先建情况自查，按</w:t>
                  </w:r>
                </w:p>
                <w:p w14:paraId="2C69C5FE">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照建成、在建、拟建、未批先建四种情形，形成四张清单，对未按规定进行节能审</w:t>
                  </w:r>
                </w:p>
                <w:p w14:paraId="76761282">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查，或节能审查未通过，擅自开工建设或擅自投入生产、使用的固定资产投资项</w:t>
                  </w:r>
                </w:p>
                <w:p w14:paraId="035A5938">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目，由节能审查机关依法依规进行处理。（责任单位：市发改委、市工信局，各县</w:t>
                  </w:r>
                </w:p>
                <w:p w14:paraId="0B65B2B5">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市区政府）</w:t>
                  </w:r>
                </w:p>
              </w:tc>
              <w:tc>
                <w:tcPr>
                  <w:tcW w:w="3068" w:type="dxa"/>
                  <w:vAlign w:val="center"/>
                </w:tcPr>
                <w:p w14:paraId="01DE5FEE">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2EC43A49">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项目按要求开展节能审查。</w:t>
                  </w:r>
                </w:p>
              </w:tc>
              <w:tc>
                <w:tcPr>
                  <w:tcW w:w="1179" w:type="dxa"/>
                  <w:vAlign w:val="center"/>
                </w:tcPr>
                <w:p w14:paraId="309A7BAF">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2EB71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03" w:type="dxa"/>
                  <w:shd w:val="clear" w:color="auto" w:fill="auto"/>
                  <w:vAlign w:val="center"/>
                </w:tcPr>
                <w:p w14:paraId="0051BB50">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C555409">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202A6A0E">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77548B9">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46D5BE4">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7</w:t>
                  </w:r>
                </w:p>
              </w:tc>
              <w:tc>
                <w:tcPr>
                  <w:tcW w:w="3072" w:type="dxa"/>
                  <w:shd w:val="clear" w:color="auto" w:fill="auto"/>
                  <w:vAlign w:val="center"/>
                </w:tcPr>
                <w:p w14:paraId="775CFF9C">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强化科技研发。通过“揭榜挂帅”等方式激发创新潜能，鼓励锂电、铅酸蓄电池企业开展科技研发和技术攻关，将含锂瓷土矿绿色开采、锂云母选矿、锂渣消纳处置、废旧锂电池回收利用等技术等纳入全市科技计划，给予重点支持，尤其对锂电、铅酸蓄电池行业除氟、除铊等现有技术优化升级优先支持。（责任单位：市科技局）</w:t>
                  </w:r>
                </w:p>
              </w:tc>
              <w:tc>
                <w:tcPr>
                  <w:tcW w:w="3068" w:type="dxa"/>
                  <w:shd w:val="clear" w:color="auto" w:fill="auto"/>
                  <w:vAlign w:val="center"/>
                </w:tcPr>
                <w:p w14:paraId="7520E87B">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本项目是对锂冶炼剩余物的综合利用，属于锂渣消纳处置为全市科技计划，为重点支持项目。</w:t>
                  </w:r>
                </w:p>
              </w:tc>
              <w:tc>
                <w:tcPr>
                  <w:tcW w:w="1179" w:type="dxa"/>
                  <w:vAlign w:val="center"/>
                </w:tcPr>
                <w:p w14:paraId="3B8B563F">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5BBAF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shd w:val="clear" w:color="auto" w:fill="auto"/>
                  <w:vAlign w:val="center"/>
                </w:tcPr>
                <w:p w14:paraId="3FE41BFF">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9BE3819">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8</w:t>
                  </w:r>
                </w:p>
              </w:tc>
              <w:tc>
                <w:tcPr>
                  <w:tcW w:w="3072" w:type="dxa"/>
                  <w:shd w:val="clear" w:color="auto" w:fill="auto"/>
                  <w:vAlign w:val="center"/>
                </w:tcPr>
                <w:p w14:paraId="3CA83A95">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实现综合利用。以全面提高长石粉、锂渣综合利用能力和水平为目标，重点在拉长产业链上下功夫，强化创新驱动，通过技术手段拓展消纳处理途径，将长石粉、锂渣转变成更多产品。在宜丰县、奉新县、万载县、高安市、袁州区（含宜春经开区）五地规范建设锂渣消纳场，探索推进锂渣公路路基筑路材料应用等锂矿资源循环利用，基本实现贮存能力、处置能力与产废情况总体匹配。（责任单位：市工信局、市科技局、市交通运输局、市公路事业发展中心，宜丰县、奉新县、万载县、高安市、袁州区政府及宜春经开区管委会）</w:t>
                  </w:r>
                </w:p>
              </w:tc>
              <w:tc>
                <w:tcPr>
                  <w:tcW w:w="3068" w:type="dxa"/>
                  <w:shd w:val="clear" w:color="auto" w:fill="auto"/>
                  <w:vAlign w:val="center"/>
                </w:tcPr>
                <w:p w14:paraId="4388C4C1">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586FF61">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本项目是对锂冶炼剩余物的综合利用。</w:t>
                  </w:r>
                </w:p>
              </w:tc>
              <w:tc>
                <w:tcPr>
                  <w:tcW w:w="1179" w:type="dxa"/>
                  <w:vAlign w:val="center"/>
                </w:tcPr>
                <w:p w14:paraId="211CE8AB">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4EDFA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shd w:val="clear" w:color="auto" w:fill="auto"/>
                  <w:vAlign w:val="center"/>
                </w:tcPr>
                <w:p w14:paraId="339B5CA3">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9</w:t>
                  </w:r>
                </w:p>
              </w:tc>
              <w:tc>
                <w:tcPr>
                  <w:tcW w:w="3072" w:type="dxa"/>
                  <w:shd w:val="clear" w:color="auto" w:fill="auto"/>
                  <w:vAlign w:val="center"/>
                </w:tcPr>
                <w:p w14:paraId="3A50F985">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坚持规划引领科学布局。按照“统筹规划、合理布局、因地制宜、生态保护”原则，严守开发红线，集中设置矿权，发挥矿规龙头作用，严格落实矿山准入条件，实现小型矿山减量化，提高中大型矿山比例，全面落实矿产资源总体规划。（责任单位：市自然资源局、市生态环境局、市应急管理局、市林业局、市水利局、市农业农村</w:t>
                  </w:r>
                </w:p>
                <w:p w14:paraId="69EFB1BC">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局，各县市区政府）</w:t>
                  </w:r>
                </w:p>
              </w:tc>
              <w:tc>
                <w:tcPr>
                  <w:tcW w:w="3068" w:type="dxa"/>
                  <w:shd w:val="clear" w:color="auto" w:fill="auto"/>
                  <w:vAlign w:val="center"/>
                </w:tcPr>
                <w:p w14:paraId="613B43DC">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44E74FEE">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本项目不属于矿山开采项目。</w:t>
                  </w:r>
                </w:p>
              </w:tc>
              <w:tc>
                <w:tcPr>
                  <w:tcW w:w="1179" w:type="dxa"/>
                  <w:vAlign w:val="center"/>
                </w:tcPr>
                <w:p w14:paraId="327EB091">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66B06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shd w:val="clear" w:color="auto" w:fill="auto"/>
                  <w:vAlign w:val="center"/>
                </w:tcPr>
                <w:p w14:paraId="7A37B289">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4630A8B">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10</w:t>
                  </w:r>
                </w:p>
              </w:tc>
              <w:tc>
                <w:tcPr>
                  <w:tcW w:w="3072" w:type="dxa"/>
                  <w:shd w:val="clear" w:color="auto" w:fill="auto"/>
                  <w:vAlign w:val="center"/>
                </w:tcPr>
                <w:p w14:paraId="29F59312">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规范矿山开发利用。督促矿山企业严格按照采矿许可证证载规模和“三合一”方案</w:t>
                  </w:r>
                </w:p>
                <w:p w14:paraId="60E92561">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（矿产资源开发利用、地质环境恢复治理和土地复垦方案）进行规范开采。扎实推</w:t>
                  </w:r>
                </w:p>
                <w:p w14:paraId="08C6BD3D">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进绿色矿山建设，新建含锂瓷土矿类矿山、选矿建设项目，必须制定尾砂尾泥工</w:t>
                  </w:r>
                </w:p>
                <w:p w14:paraId="20FABC94">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业化消纳处理方案，无法消纳处理尾砂尾泥的相关建设项目必须同步规划建设尾</w:t>
                  </w:r>
                </w:p>
                <w:p w14:paraId="046A9722">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砂库。（责任单位：市自然资源局、市生态环境局、市应急管理局、市交通运输局，各县市区政府）</w:t>
                  </w:r>
                </w:p>
              </w:tc>
              <w:tc>
                <w:tcPr>
                  <w:tcW w:w="3068" w:type="dxa"/>
                  <w:shd w:val="clear" w:color="auto" w:fill="auto"/>
                  <w:vAlign w:val="center"/>
                </w:tcPr>
                <w:p w14:paraId="1AC2958A">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本项目不属于矿山开采项目。</w:t>
                  </w:r>
                </w:p>
              </w:tc>
              <w:tc>
                <w:tcPr>
                  <w:tcW w:w="1179" w:type="dxa"/>
                  <w:vAlign w:val="center"/>
                </w:tcPr>
                <w:p w14:paraId="268B39C0">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5AA4E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03" w:type="dxa"/>
                  <w:shd w:val="clear" w:color="auto" w:fill="auto"/>
                  <w:vAlign w:val="center"/>
                </w:tcPr>
                <w:p w14:paraId="2AF7E25E">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D7CF5CA">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11</w:t>
                  </w:r>
                </w:p>
              </w:tc>
              <w:tc>
                <w:tcPr>
                  <w:tcW w:w="3072" w:type="dxa"/>
                  <w:shd w:val="clear" w:color="auto" w:fill="auto"/>
                  <w:vAlign w:val="center"/>
                </w:tcPr>
                <w:p w14:paraId="6F837E1F">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加强排土场监管。督促矿山企业做好开采时表土剥离工作，将表土层作为矿区后期</w:t>
                  </w:r>
                </w:p>
                <w:p w14:paraId="0774C7EF">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复垦复绿土壤使用。排土场的选址应尽量少占土地，做好防尘管护及水土流失管</w:t>
                  </w:r>
                </w:p>
                <w:p w14:paraId="4E22BE67">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护，对于已完成排土且暂不利用的排土场范围要做好复绿。（责任单位：市自然资</w:t>
                  </w:r>
                </w:p>
                <w:p w14:paraId="598B1F62">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源局、市生态环境局、市水利局，各县市区政府）</w:t>
                  </w:r>
                </w:p>
              </w:tc>
              <w:tc>
                <w:tcPr>
                  <w:tcW w:w="3068" w:type="dxa"/>
                  <w:shd w:val="clear" w:color="auto" w:fill="auto"/>
                  <w:vAlign w:val="center"/>
                </w:tcPr>
                <w:p w14:paraId="76103E16">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本项目不属于矿山开采项目。</w:t>
                  </w:r>
                </w:p>
              </w:tc>
              <w:tc>
                <w:tcPr>
                  <w:tcW w:w="1179" w:type="dxa"/>
                  <w:vAlign w:val="center"/>
                </w:tcPr>
                <w:p w14:paraId="01CB1F31">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60A49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shd w:val="clear" w:color="auto" w:fill="auto"/>
                  <w:vAlign w:val="center"/>
                </w:tcPr>
                <w:p w14:paraId="74C12571">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12</w:t>
                  </w:r>
                </w:p>
              </w:tc>
              <w:tc>
                <w:tcPr>
                  <w:tcW w:w="3072" w:type="dxa"/>
                  <w:shd w:val="clear" w:color="auto" w:fill="auto"/>
                  <w:vAlign w:val="center"/>
                </w:tcPr>
                <w:p w14:paraId="3984DAC6">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加强水环境治理。按照“清污分流、雨污分流”“雨水明沟化、污水明管化”及园区纳管企业“一企一管”要求，对园区、企业管网进行全面升级改造，加强初期雨水收集、处理和回用，科学配备初期雨水收集池和事故应急池，督促对新建的含锂瓷土矿采选、碳酸锂生产、铅酸蓄电池、冶炼等企业及相关园区污水处理厂在开展项目环境风险评估时要对铊、氟等污染因子进行分析并落实防治措施，同时对已投产的项目立即进行环评后评估，根据评估意见确定是否增设除铊除氟设施。对锂电、铅酸蓄电池、冶炼、陶瓷等行业企业的污染防治设施排口和雨水排口，以及相关工业园区污水处理厂进水口、污水总排口和雨水总排口加装氟化物、铊等特征污染物</w:t>
                  </w:r>
                </w:p>
                <w:p w14:paraId="79058142">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在线监控设备。（责任单位：市生态环境局、市工信局，各县市区政府）</w:t>
                  </w:r>
                </w:p>
              </w:tc>
              <w:tc>
                <w:tcPr>
                  <w:tcW w:w="3068" w:type="dxa"/>
                  <w:shd w:val="clear" w:color="auto" w:fill="auto"/>
                  <w:vAlign w:val="center"/>
                </w:tcPr>
                <w:p w14:paraId="350D70E6">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6E385B4B">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233D912A">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1、项目位于</w:t>
                  </w:r>
                  <w:r>
                    <w:rPr>
                      <w:rFonts w:hint="eastAsia"/>
                      <w:color w:val="auto"/>
                      <w:lang w:val="en-US" w:eastAsia="zh-CN"/>
                    </w:rPr>
                    <w:t>高安市高新产业园江西省建筑陶瓷产业基地</w:t>
                  </w:r>
                  <w:r>
                    <w:rPr>
                      <w:rFonts w:hint="default"/>
                      <w:color w:val="auto"/>
                      <w:lang w:val="en-US" w:eastAsia="zh-CN"/>
                    </w:rPr>
                    <w:t>，厂区内已布局好雨水管网和污水管网。</w:t>
                  </w:r>
                </w:p>
                <w:p w14:paraId="272F0C1C">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2、项目不属于锂电生产型企业，但本次评价要求建设单位在雨水排放口设有氟化物、铊在线监测设备，并与市、县两级在线监控管理平台联网。</w:t>
                  </w:r>
                </w:p>
              </w:tc>
              <w:tc>
                <w:tcPr>
                  <w:tcW w:w="1179" w:type="dxa"/>
                  <w:vAlign w:val="center"/>
                </w:tcPr>
                <w:p w14:paraId="4E5CBF08">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0BAB5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shd w:val="clear" w:color="auto" w:fill="auto"/>
                  <w:vAlign w:val="center"/>
                </w:tcPr>
                <w:p w14:paraId="011EACB7">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13</w:t>
                  </w:r>
                </w:p>
              </w:tc>
              <w:tc>
                <w:tcPr>
                  <w:tcW w:w="3072" w:type="dxa"/>
                  <w:shd w:val="clear" w:color="auto" w:fill="auto"/>
                  <w:vAlign w:val="center"/>
                </w:tcPr>
                <w:p w14:paraId="0F893927">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加强大气环境治理。督促相关企业特别是含锂瓷土矿采选、碳酸锂生产企业完善喷雾、喷淋、洒水等降尘抑尘和机扫吸尘除尘措施，高标准配备进出场车辆冲洗平台，沿线道路全面硬化，运输车辆全部篷布遮盖，严格控制碳酸锂生产企业铊等特征污染物汽化进入废气。（责任单位：市生态环境局，各县市区政府）</w:t>
                  </w:r>
                </w:p>
              </w:tc>
              <w:tc>
                <w:tcPr>
                  <w:tcW w:w="3068" w:type="dxa"/>
                  <w:shd w:val="clear" w:color="auto" w:fill="auto"/>
                  <w:vAlign w:val="center"/>
                </w:tcPr>
                <w:p w14:paraId="3DC78203">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1、项目运营期项目采用皮带输送机进行输送，物料装卸、储存、输送、破碎过程中产尘点均采取了有效抑尘措施（布</w:t>
                  </w:r>
                </w:p>
                <w:p w14:paraId="5CAE6A38">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袋除尘）。2、项目运输车辆使用遮盖运输，不进行敞篷运输。</w:t>
                  </w:r>
                </w:p>
              </w:tc>
              <w:tc>
                <w:tcPr>
                  <w:tcW w:w="1179" w:type="dxa"/>
                  <w:vAlign w:val="center"/>
                </w:tcPr>
                <w:p w14:paraId="09EBE937">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6840E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shd w:val="clear" w:color="auto" w:fill="auto"/>
                  <w:vAlign w:val="center"/>
                </w:tcPr>
                <w:p w14:paraId="730347DA">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0E0C5C98">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609B110">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7177EB7C">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8517C28">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14</w:t>
                  </w:r>
                </w:p>
              </w:tc>
              <w:tc>
                <w:tcPr>
                  <w:tcW w:w="3072" w:type="dxa"/>
                  <w:shd w:val="clear" w:color="auto" w:fill="auto"/>
                  <w:vAlign w:val="center"/>
                </w:tcPr>
                <w:p w14:paraId="21E039DB">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加强土壤污染防治。督促相关企业建立完善固废产生、储存、处置利用三本台账，实现工业固废可追溯、可查询闭环管理，建立健全全过程污染环境防治责任制度，按国家标准建设一般固体废物和危险废物贮存设施、场所，安全分类存放。对碳酸锂生产和锂渣坯生产等企业产生的二次提锂锂渣、废气处理循环池的污泥，组织开展危险废物属性鉴定，并根据鉴定结果实施分类管理，鉴定结果出来前，在污</w:t>
                  </w:r>
                </w:p>
                <w:p w14:paraId="056F0775">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泥压榨、收集、储存、转运、利用、处置等环节参照危险废物管理要求进行管理。危废暂存库、污水处理池、事故池、生产车间等重点区域要严格按环评及批复要求落实防腐防渗措施，防止污染土壤和地下水。（责任单位：市生态环境局，各县市区政府）</w:t>
                  </w:r>
                </w:p>
              </w:tc>
              <w:tc>
                <w:tcPr>
                  <w:tcW w:w="3068" w:type="dxa"/>
                  <w:shd w:val="clear" w:color="auto" w:fill="auto"/>
                  <w:vAlign w:val="center"/>
                </w:tcPr>
                <w:p w14:paraId="7792D786">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16BED281">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75595A46">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1 、项目使用的原料为一般工业固废，设置了专门的储存区域。</w:t>
                  </w:r>
                </w:p>
                <w:p w14:paraId="1BE68E8A">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2、危废暂存库、污水处理池、事故池、生产车间等重点区域严格按环评及批复要求落实防腐防渗措施，防止污染土壤和地下水。</w:t>
                  </w:r>
                </w:p>
              </w:tc>
              <w:tc>
                <w:tcPr>
                  <w:tcW w:w="1179" w:type="dxa"/>
                  <w:vAlign w:val="center"/>
                </w:tcPr>
                <w:p w14:paraId="074B4D91">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3D60F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03" w:type="dxa"/>
                  <w:shd w:val="clear" w:color="auto" w:fill="auto"/>
                  <w:vAlign w:val="center"/>
                </w:tcPr>
                <w:p w14:paraId="4E35C071">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15</w:t>
                  </w:r>
                </w:p>
              </w:tc>
              <w:tc>
                <w:tcPr>
                  <w:tcW w:w="3072" w:type="dxa"/>
                  <w:shd w:val="clear" w:color="auto" w:fill="auto"/>
                  <w:vAlign w:val="center"/>
                </w:tcPr>
                <w:p w14:paraId="0B819989">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加强应急协调联动。完善突发生态环境事件应急联动机制，组织生态环境、应急管理、公安、消防、水利、气象等部门，在联合执法、情况通报、信息共享、处置联动、协商交流、能力建设等方面加强合作，探索开展跨区域、跨流域演练。（责任单</w:t>
                  </w:r>
                </w:p>
                <w:p w14:paraId="3713F856">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位：市生态环境局、市应急管理局、市公安局、市消防救援支队、市水利局、市气象局，各县市区政府）</w:t>
                  </w:r>
                </w:p>
              </w:tc>
              <w:tc>
                <w:tcPr>
                  <w:tcW w:w="3068" w:type="dxa"/>
                  <w:shd w:val="clear" w:color="auto" w:fill="auto"/>
                  <w:vAlign w:val="center"/>
                </w:tcPr>
                <w:p w14:paraId="42E8AB46">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本环评要求企业完善突发生态环境事件应急联动机制。</w:t>
                  </w:r>
                </w:p>
              </w:tc>
              <w:tc>
                <w:tcPr>
                  <w:tcW w:w="1179" w:type="dxa"/>
                  <w:vAlign w:val="center"/>
                </w:tcPr>
                <w:p w14:paraId="691FE53A">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29B4F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shd w:val="clear" w:color="auto" w:fill="auto"/>
                  <w:vAlign w:val="center"/>
                </w:tcPr>
                <w:p w14:paraId="72CE5857">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16</w:t>
                  </w:r>
                </w:p>
              </w:tc>
              <w:tc>
                <w:tcPr>
                  <w:tcW w:w="3072" w:type="dxa"/>
                  <w:shd w:val="clear" w:color="auto" w:fill="auto"/>
                  <w:vAlign w:val="center"/>
                </w:tcPr>
                <w:p w14:paraId="70105611">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开展风险隐患排查。紧盯危险废物、危险化学品、尾矿库等高风险领域和重点环节开展隐患大排查，建立健全河流环境隐患日常排查制度，加强干支流断面和饮用水水源地环境监管，定期巡查监测，发现水质异常及时报告、及时处理。（责任单位：</w:t>
                  </w:r>
                </w:p>
                <w:p w14:paraId="223016A4">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市生态环境局、市应急管理局、市水利局，各县市区政府）</w:t>
                  </w:r>
                </w:p>
              </w:tc>
              <w:tc>
                <w:tcPr>
                  <w:tcW w:w="3068" w:type="dxa"/>
                  <w:shd w:val="clear" w:color="auto" w:fill="auto"/>
                  <w:vAlign w:val="center"/>
                </w:tcPr>
                <w:p w14:paraId="75F36CF6">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7830765D">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本项目严格按照固废管理制度执行。</w:t>
                  </w:r>
                </w:p>
              </w:tc>
              <w:tc>
                <w:tcPr>
                  <w:tcW w:w="1179" w:type="dxa"/>
                  <w:vAlign w:val="center"/>
                </w:tcPr>
                <w:p w14:paraId="6D9FCCF3">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77359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shd w:val="clear" w:color="auto" w:fill="auto"/>
                  <w:vAlign w:val="center"/>
                </w:tcPr>
                <w:p w14:paraId="076EF5F1">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17</w:t>
                  </w:r>
                </w:p>
              </w:tc>
              <w:tc>
                <w:tcPr>
                  <w:tcW w:w="3072" w:type="dxa"/>
                  <w:shd w:val="clear" w:color="auto" w:fill="auto"/>
                  <w:vAlign w:val="center"/>
                </w:tcPr>
                <w:p w14:paraId="0519D87E">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完善应急防控体系。完善应急预案，加强风险评估，实施分类分级管控，按照“就地就近、平衡分布、突出中心、辐射周边”原则在全市范围内建设应急物资储备库，针对锂电、铅酸蓄电池等行业风险特点有的放矢做好硫化钠沉淀剂、铊因子快检设备等应急物资储备，在袁州区、上高县、高安市分片建设三个区域中心库，为有效应对突发环境事件提供保障。（责任单位：市生态环境局、市应急管理局，各县市区政府）</w:t>
                  </w:r>
                </w:p>
              </w:tc>
              <w:tc>
                <w:tcPr>
                  <w:tcW w:w="3068" w:type="dxa"/>
                  <w:shd w:val="clear" w:color="auto" w:fill="auto"/>
                  <w:vAlign w:val="center"/>
                </w:tcPr>
                <w:p w14:paraId="259CD614">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本环评要求企业完善应急预案。</w:t>
                  </w:r>
                </w:p>
              </w:tc>
              <w:tc>
                <w:tcPr>
                  <w:tcW w:w="1179" w:type="dxa"/>
                  <w:vAlign w:val="center"/>
                </w:tcPr>
                <w:p w14:paraId="377A75DB">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5AF5C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shd w:val="clear" w:color="auto" w:fill="auto"/>
                  <w:vAlign w:val="center"/>
                </w:tcPr>
                <w:p w14:paraId="5BC0824B">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18</w:t>
                  </w:r>
                </w:p>
              </w:tc>
              <w:tc>
                <w:tcPr>
                  <w:tcW w:w="3072" w:type="dxa"/>
                  <w:shd w:val="clear" w:color="auto" w:fill="auto"/>
                  <w:vAlign w:val="center"/>
                </w:tcPr>
                <w:p w14:paraId="1CBED10A">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严格落实属地管理责任。按“党政同责、一岗双责”要求，压紧压实市、县、乡各级责任，在产业规划、空间布局、项目建设等各方面、全过程贯彻“生态优先、绿色发展”理念，坚决守住生态容量和环境质量两条底线，协同推进生态环境高水平保护和经济高质量跨越式发展。（责任单位：各县市区政府）</w:t>
                  </w:r>
                </w:p>
              </w:tc>
              <w:tc>
                <w:tcPr>
                  <w:tcW w:w="3068" w:type="dxa"/>
                  <w:shd w:val="clear" w:color="auto" w:fill="auto"/>
                  <w:vAlign w:val="center"/>
                </w:tcPr>
                <w:p w14:paraId="30D4F83F">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317C0469">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2E0A008C">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本项目符合</w:t>
                  </w:r>
                  <w:r>
                    <w:rPr>
                      <w:rFonts w:hint="default" w:ascii="Times New Roman" w:hAnsi="Times New Roman" w:eastAsia="宋体" w:cs="Times New Roman"/>
                      <w:color w:val="auto"/>
                      <w:lang w:val="en-US" w:eastAsia="zh-CN"/>
                    </w:rPr>
                    <w:t>江西高安高新技术产业园区</w:t>
                  </w:r>
                  <w:r>
                    <w:rPr>
                      <w:rFonts w:hint="default"/>
                      <w:color w:val="auto"/>
                      <w:lang w:val="en-US" w:eastAsia="zh-CN"/>
                    </w:rPr>
                    <w:t>准入要求，在采取环保措施的条件下，项目未突破生态容量和环境质量。</w:t>
                  </w:r>
                </w:p>
              </w:tc>
              <w:tc>
                <w:tcPr>
                  <w:tcW w:w="1179" w:type="dxa"/>
                  <w:vAlign w:val="center"/>
                </w:tcPr>
                <w:p w14:paraId="7996EC44">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256CD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03" w:type="dxa"/>
                  <w:shd w:val="clear" w:color="auto" w:fill="auto"/>
                  <w:vAlign w:val="center"/>
                </w:tcPr>
                <w:p w14:paraId="30CF223A">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7C234723">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19</w:t>
                  </w:r>
                </w:p>
              </w:tc>
              <w:tc>
                <w:tcPr>
                  <w:tcW w:w="3072" w:type="dxa"/>
                  <w:shd w:val="clear" w:color="auto" w:fill="auto"/>
                  <w:vAlign w:val="center"/>
                </w:tcPr>
                <w:p w14:paraId="71A5D21D">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严格落实部门监管责任。认真贯彻生态环境部和最高法、最高检、国家发展改革委等18部门联合印发《关于推动职能部门做好生态环境保护工作的意见》，统筹组织发改、工信、自然资源等部门按“三管三必须”要求履行监管职责，聚焦园区基</w:t>
                  </w:r>
                </w:p>
                <w:p w14:paraId="17DFDA97">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础设施建设、尾砂尾泥锂渣综合利用、节能审查、加强高耗能高排放项目准入管理、绿色矿山落实等方面，对行业领域内的突出问题紧盯不放、拉条挂账，直至整改到位。（责任单位：市直有关单位，各县市区政府）</w:t>
                  </w:r>
                </w:p>
              </w:tc>
              <w:tc>
                <w:tcPr>
                  <w:tcW w:w="3068" w:type="dxa"/>
                  <w:shd w:val="clear" w:color="auto" w:fill="auto"/>
                  <w:vAlign w:val="center"/>
                </w:tcPr>
                <w:p w14:paraId="3BAEDD65">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本项目是对锂冶炼剩余物的综合利用，使用的锂冶炼剩余物全部来自江西研硕科技研发有限公司二次提锂产生的浸出渣，每批次进行固废属性鉴定（包含铊、氟化物在内的成分分析和放射性分析）。根据附件的属性鉴定报告，项目使用的江西研硕科技研发有限公司浸出渣为一般</w:t>
                  </w:r>
                </w:p>
                <w:p w14:paraId="5923D7E0">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工业固废。</w:t>
                  </w:r>
                </w:p>
              </w:tc>
              <w:tc>
                <w:tcPr>
                  <w:tcW w:w="1179" w:type="dxa"/>
                  <w:vAlign w:val="center"/>
                </w:tcPr>
                <w:p w14:paraId="15AC89F8">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r w14:paraId="614AB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shd w:val="clear" w:color="auto" w:fill="auto"/>
                  <w:vAlign w:val="center"/>
                </w:tcPr>
                <w:p w14:paraId="717C2EED">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2E1759B4">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20</w:t>
                  </w:r>
                </w:p>
              </w:tc>
              <w:tc>
                <w:tcPr>
                  <w:tcW w:w="3072" w:type="dxa"/>
                  <w:shd w:val="clear" w:color="auto" w:fill="auto"/>
                  <w:vAlign w:val="center"/>
                </w:tcPr>
                <w:p w14:paraId="12E4BFBC">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严格落实企业主体责任。督促企业进一步加大环保投入，改造提升工艺技术水平，不断提高工业废水、废气、废渣的处理和综合利用效率，最大限度地减少生产过程中的污染物排放，对顶风作案、偷排偷放的企业，一律上限顶格严惩，保持高压态势，形成强大震慑，倒逼责任落实。（责任单位：市生态环境局，各县市区政府）</w:t>
                  </w:r>
                </w:p>
              </w:tc>
              <w:tc>
                <w:tcPr>
                  <w:tcW w:w="3068" w:type="dxa"/>
                  <w:shd w:val="clear" w:color="auto" w:fill="auto"/>
                  <w:vAlign w:val="center"/>
                </w:tcPr>
                <w:p w14:paraId="6FDB2769">
                  <w:pPr>
                    <w:pStyle w:val="56"/>
                    <w:keepNext w:val="0"/>
                    <w:keepLines w:val="0"/>
                    <w:suppressLineNumbers w:val="0"/>
                    <w:bidi w:val="0"/>
                    <w:spacing w:before="0" w:beforeAutospacing="0" w:after="0" w:afterAutospacing="0"/>
                    <w:ind w:left="0" w:right="0"/>
                    <w:jc w:val="center"/>
                    <w:rPr>
                      <w:rFonts w:hint="default"/>
                      <w:color w:val="auto"/>
                      <w:lang w:val="en-US" w:eastAsia="zh-CN"/>
                    </w:rPr>
                  </w:pPr>
                </w:p>
                <w:p w14:paraId="57F3FC19">
                  <w:pPr>
                    <w:pStyle w:val="56"/>
                    <w:keepNext w:val="0"/>
                    <w:keepLines w:val="0"/>
                    <w:suppressLineNumbers w:val="0"/>
                    <w:bidi w:val="0"/>
                    <w:spacing w:before="0" w:beforeAutospacing="0" w:after="0" w:afterAutospacing="0"/>
                    <w:ind w:left="0" w:right="0"/>
                    <w:jc w:val="center"/>
                    <w:rPr>
                      <w:rFonts w:hint="default"/>
                      <w:color w:val="auto"/>
                      <w:lang w:val="en-US" w:eastAsia="en-US"/>
                    </w:rPr>
                  </w:pPr>
                  <w:r>
                    <w:rPr>
                      <w:rFonts w:hint="default"/>
                      <w:color w:val="auto"/>
                      <w:lang w:val="en-US" w:eastAsia="zh-CN"/>
                    </w:rPr>
                    <w:t>本项目设置了内部管理体制，对于每批次入场的原料均要求取得固废鉴定报告，杜绝危险废物入场。</w:t>
                  </w:r>
                </w:p>
              </w:tc>
              <w:tc>
                <w:tcPr>
                  <w:tcW w:w="1179" w:type="dxa"/>
                  <w:vAlign w:val="center"/>
                </w:tcPr>
                <w:p w14:paraId="196445E7">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default"/>
                      <w:color w:val="auto"/>
                      <w:lang w:val="en-US" w:eastAsia="zh-CN"/>
                    </w:rPr>
                    <w:t>符合</w:t>
                  </w:r>
                </w:p>
              </w:tc>
            </w:tr>
          </w:tbl>
          <w:p w14:paraId="10E973F0">
            <w:pPr>
              <w:keepNext w:val="0"/>
              <w:keepLines w:val="0"/>
              <w:numPr>
                <w:ilvl w:val="0"/>
                <w:numId w:val="0"/>
              </w:numPr>
              <w:suppressLineNumbers w:val="0"/>
              <w:bidi w:val="0"/>
              <w:spacing w:before="0" w:beforeAutospacing="0" w:after="0" w:afterAutospacing="0"/>
              <w:ind w:left="480" w:leftChars="0" w:right="0" w:rightChars="0"/>
              <w:rPr>
                <w:rFonts w:hint="default" w:ascii="Times New Roman" w:hAnsi="Times New Roman" w:eastAsia="宋体" w:cs="Times New Roman"/>
                <w:color w:val="auto"/>
                <w:lang w:val="en-US" w:eastAsia="zh-CN"/>
              </w:rPr>
            </w:pPr>
          </w:p>
          <w:p w14:paraId="0CF3C20E">
            <w:pPr>
              <w:keepNext w:val="0"/>
              <w:keepLines w:val="0"/>
              <w:numPr>
                <w:ilvl w:val="0"/>
                <w:numId w:val="7"/>
              </w:numPr>
              <w:suppressLineNumbers w:val="0"/>
              <w:bidi w:val="0"/>
              <w:spacing w:before="0" w:beforeAutospacing="0" w:after="0" w:afterAutospacing="0"/>
              <w:ind w:left="0" w:leftChars="0" w:right="0" w:firstLine="480" w:firstLineChars="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项目与《建筑垃圾资源化利用行业规范条件（暂行）》</w:t>
            </w:r>
            <w:r>
              <w:rPr>
                <w:rFonts w:hint="eastAsia" w:ascii="Times New Roman" w:hAnsi="Times New Roman" w:eastAsia="宋体" w:cs="Times New Roman"/>
                <w:color w:val="auto"/>
                <w:lang w:val="en-US" w:eastAsia="zh-CN"/>
              </w:rPr>
              <w:t>的相符性分析</w:t>
            </w:r>
          </w:p>
          <w:p w14:paraId="7E684C41">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default"/>
                <w:b/>
                <w:bCs/>
                <w:color w:val="auto"/>
                <w:szCs w:val="21"/>
              </w:rPr>
            </w:pPr>
            <w:r>
              <w:rPr>
                <w:rFonts w:hint="default"/>
                <w:b/>
                <w:bCs/>
                <w:color w:val="auto"/>
                <w:szCs w:val="21"/>
              </w:rPr>
              <w:t>项目与《建筑垃圾资源化利用行业规范条件（暂行）》</w:t>
            </w:r>
            <w:r>
              <w:rPr>
                <w:rFonts w:hint="eastAsia"/>
                <w:b/>
                <w:bCs/>
                <w:color w:val="auto"/>
                <w:szCs w:val="21"/>
              </w:rPr>
              <w:t>的</w:t>
            </w:r>
            <w:r>
              <w:rPr>
                <w:rFonts w:hint="eastAsia"/>
                <w:b/>
                <w:bCs/>
                <w:color w:val="auto"/>
                <w:szCs w:val="21"/>
                <w:lang w:eastAsia="zh-CN"/>
              </w:rPr>
              <w:t>相符性分析</w:t>
            </w: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3"/>
              <w:gridCol w:w="5192"/>
              <w:gridCol w:w="1802"/>
              <w:gridCol w:w="892"/>
            </w:tblGrid>
            <w:tr w14:paraId="3626B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75" w:type="dxa"/>
                  <w:gridSpan w:val="2"/>
                  <w:vAlign w:val="center"/>
                </w:tcPr>
                <w:p w14:paraId="02424A29">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规范要求</w:t>
                  </w:r>
                </w:p>
              </w:tc>
              <w:tc>
                <w:tcPr>
                  <w:tcW w:w="1744" w:type="dxa"/>
                  <w:vAlign w:val="center"/>
                </w:tcPr>
                <w:p w14:paraId="4423B3C7">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本项目情况</w:t>
                  </w:r>
                </w:p>
              </w:tc>
              <w:tc>
                <w:tcPr>
                  <w:tcW w:w="863" w:type="dxa"/>
                  <w:vAlign w:val="center"/>
                </w:tcPr>
                <w:p w14:paraId="28B4AB91">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相符性分析</w:t>
                  </w:r>
                </w:p>
              </w:tc>
            </w:tr>
            <w:tr w14:paraId="4E182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dxa"/>
                  <w:vAlign w:val="center"/>
                </w:tcPr>
                <w:p w14:paraId="05FDFDEA">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生产企业的设立和布局</w:t>
                  </w:r>
                </w:p>
              </w:tc>
              <w:tc>
                <w:tcPr>
                  <w:tcW w:w="5024" w:type="dxa"/>
                  <w:vAlign w:val="center"/>
                </w:tcPr>
                <w:p w14:paraId="7C02A337">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1、各地建筑垃圾资源化利用企业的设立和布局应根据区域内建筑垃圾存量及增量预测情况、运输半径、应用条件等，统筹协调确定。</w:t>
                  </w:r>
                </w:p>
                <w:p w14:paraId="0C3C7171">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2、建筑垃圾资源化利用企业选址必须符合国家法律法规、行业发展规划和产业政策，统筹资源、能源、环境、物流和市场等因素合理选址，有条件的地区要优先考虑利用现有垃圾消纳场。建筑垃圾资源化利用企业的固定生产场地宜接近建筑垃圾源头集中地，交通方便，可通行重载建筑垃圾运输车。在条件允许时，在拆迁现场进行现场作业。</w:t>
                  </w:r>
                </w:p>
                <w:p w14:paraId="05D8A44B">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3、鼓励建筑垃圾资源化利用企业进行拆迁、运输、处置和产品应用等产业链相关环节的整合，以资源化利用为主线，提高产业集中度，加速工业化发展。</w:t>
                  </w:r>
                </w:p>
              </w:tc>
              <w:tc>
                <w:tcPr>
                  <w:tcW w:w="1744" w:type="dxa"/>
                  <w:vAlign w:val="center"/>
                </w:tcPr>
                <w:p w14:paraId="6323731D">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本项目主要原料为</w:t>
                  </w:r>
                  <w:r>
                    <w:rPr>
                      <w:rFonts w:hint="default"/>
                      <w:color w:val="auto"/>
                      <w:lang w:val="en-US" w:eastAsia="zh-CN"/>
                    </w:rPr>
                    <w:t>江西研硕科技研发有限公司</w:t>
                  </w:r>
                  <w:r>
                    <w:rPr>
                      <w:rFonts w:hint="eastAsia"/>
                      <w:color w:val="auto"/>
                      <w:lang w:val="en-US"/>
                    </w:rPr>
                    <w:t>产生的</w:t>
                  </w:r>
                  <w:r>
                    <w:rPr>
                      <w:rFonts w:hint="eastAsia"/>
                      <w:color w:val="auto"/>
                      <w:lang w:val="en-US" w:eastAsia="zh-CN"/>
                    </w:rPr>
                    <w:t>锂渣</w:t>
                  </w:r>
                  <w:r>
                    <w:rPr>
                      <w:rFonts w:hint="eastAsia"/>
                      <w:color w:val="auto"/>
                      <w:lang w:val="en-US"/>
                    </w:rPr>
                    <w:t>，本项目的建设有利于区域</w:t>
                  </w:r>
                  <w:r>
                    <w:rPr>
                      <w:rFonts w:hint="eastAsia"/>
                      <w:color w:val="auto"/>
                      <w:lang w:val="en-US" w:eastAsia="zh-CN"/>
                    </w:rPr>
                    <w:t>锂渣</w:t>
                  </w:r>
                  <w:r>
                    <w:rPr>
                      <w:rFonts w:hint="eastAsia"/>
                      <w:color w:val="auto"/>
                      <w:lang w:val="en-US"/>
                    </w:rPr>
                    <w:t>资源化利用。同时，项目选址符合国家法律法规，周边交通便利。</w:t>
                  </w:r>
                </w:p>
              </w:tc>
              <w:tc>
                <w:tcPr>
                  <w:tcW w:w="863" w:type="dxa"/>
                  <w:vAlign w:val="center"/>
                </w:tcPr>
                <w:p w14:paraId="6203FD45">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符合</w:t>
                  </w:r>
                </w:p>
              </w:tc>
            </w:tr>
            <w:tr w14:paraId="6D6D2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dxa"/>
                  <w:vAlign w:val="center"/>
                </w:tcPr>
                <w:p w14:paraId="0EFCBB91">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生产规模和管理</w:t>
                  </w:r>
                </w:p>
              </w:tc>
              <w:tc>
                <w:tcPr>
                  <w:tcW w:w="5024" w:type="dxa"/>
                  <w:vAlign w:val="center"/>
                </w:tcPr>
                <w:p w14:paraId="10B46506">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1、根据当地建筑垃圾条件及资源化利用方式等因素，综合确定建筑垃圾资源化利用项目的年处置能力，鼓励规模化发展。大型建筑垃圾资源化项目年处置生产能力不低于100万吨，中型不低于50万吨，小型不低于25万吨。</w:t>
                  </w:r>
                </w:p>
                <w:p w14:paraId="73944542">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2、各地应依据国家和地方的相关法律法规和产业政策，落实完善建筑垃圾资源化利用相关制度、标准和规范等。选择适宜生产主体，鼓励探索运行成熟、具有地区特色的经营模式。</w:t>
                  </w:r>
                </w:p>
              </w:tc>
              <w:tc>
                <w:tcPr>
                  <w:tcW w:w="1744" w:type="dxa"/>
                  <w:vAlign w:val="center"/>
                </w:tcPr>
                <w:p w14:paraId="1A31EA04">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本项目设计年处理</w:t>
                  </w:r>
                  <w:r>
                    <w:rPr>
                      <w:rFonts w:hint="eastAsia"/>
                      <w:color w:val="auto"/>
                      <w:lang w:val="en-US" w:eastAsia="zh-CN"/>
                    </w:rPr>
                    <w:t>28</w:t>
                  </w:r>
                  <w:r>
                    <w:rPr>
                      <w:rFonts w:hint="eastAsia"/>
                      <w:color w:val="auto"/>
                      <w:lang w:val="en-US"/>
                    </w:rPr>
                    <w:t>万吨</w:t>
                  </w:r>
                  <w:r>
                    <w:rPr>
                      <w:rFonts w:hint="eastAsia"/>
                      <w:color w:val="auto"/>
                      <w:lang w:val="en-US" w:eastAsia="zh-CN"/>
                    </w:rPr>
                    <w:t>锂渣</w:t>
                  </w:r>
                  <w:r>
                    <w:rPr>
                      <w:rFonts w:hint="eastAsia"/>
                      <w:color w:val="auto"/>
                      <w:lang w:val="en-US"/>
                    </w:rPr>
                    <w:t>，符合小型建筑垃圾资源化项目处置能力要求。本项目依据国家和地方的相关法律法规和产业政策，落实完善建筑垃圾资源化利用相关制度、标准和规范。</w:t>
                  </w:r>
                </w:p>
              </w:tc>
              <w:tc>
                <w:tcPr>
                  <w:tcW w:w="863" w:type="dxa"/>
                  <w:vAlign w:val="center"/>
                </w:tcPr>
                <w:p w14:paraId="07EB6ACE">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符合</w:t>
                  </w:r>
                </w:p>
              </w:tc>
            </w:tr>
            <w:tr w14:paraId="4C013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51" w:type="dxa"/>
                  <w:vAlign w:val="center"/>
                </w:tcPr>
                <w:p w14:paraId="0EBF1B12">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资源综合利用及能源消耗</w:t>
                  </w:r>
                </w:p>
              </w:tc>
              <w:tc>
                <w:tcPr>
                  <w:tcW w:w="5024" w:type="dxa"/>
                  <w:vAlign w:val="center"/>
                </w:tcPr>
                <w:p w14:paraId="547E41C0">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1、资源综合利用建筑垃圾资源化利用企业应全面接收当地产生的符合相关规范要求的建筑垃圾（有毒有害垃圾除外）。鼓励企业根据进场建筑垃圾的特点，选择合适的工艺装备，在全面资源化利用处理的前提下，生产混凝土和砂浆用骨料等再生产品。</w:t>
                  </w:r>
                </w:p>
                <w:p w14:paraId="0AAD5625">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2、建筑垃圾资源化利用企业单位产品综合能耗应符合能耗限额限定值的规定：粒径0-80mm≤5.0吨标煤/万吨，粒径0-37.5mm≤9.0吨标煤/万吨，粒径0-5mm,5-10mm,5-20mm≤12.0吨标煤/万吨</w:t>
                  </w:r>
                </w:p>
              </w:tc>
              <w:tc>
                <w:tcPr>
                  <w:tcW w:w="1744" w:type="dxa"/>
                  <w:vAlign w:val="center"/>
                </w:tcPr>
                <w:p w14:paraId="36CE726E">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本项目利用的固体废物不含有毒有害物质。本项目选用适宜的生产工艺。本项目综合能耗满足能耗限定要求。</w:t>
                  </w:r>
                </w:p>
              </w:tc>
              <w:tc>
                <w:tcPr>
                  <w:tcW w:w="863" w:type="dxa"/>
                  <w:vAlign w:val="center"/>
                </w:tcPr>
                <w:p w14:paraId="2908A726">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符合</w:t>
                  </w:r>
                </w:p>
              </w:tc>
            </w:tr>
            <w:tr w14:paraId="0BBFC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dxa"/>
                  <w:vAlign w:val="center"/>
                </w:tcPr>
                <w:p w14:paraId="65C267CD">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工艺与装备</w:t>
                  </w:r>
                </w:p>
              </w:tc>
              <w:tc>
                <w:tcPr>
                  <w:tcW w:w="5024" w:type="dxa"/>
                  <w:vAlign w:val="center"/>
                </w:tcPr>
                <w:p w14:paraId="6E150FE4">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1、根据当地建筑垃圾特点、分布及生产条件，确定采用固定式或移动式生产方式。结合进厂建筑垃圾原料情况和再生产品类型，选用适宜的破碎、分选、筛分等工艺及设备。</w:t>
                  </w:r>
                </w:p>
                <w:p w14:paraId="390F97AA">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2、根据不同生产条件，采用适用的除尘、降噪和废水处理工艺及设备。固定式生产方式宜建设封闭生产厂房或封闭式生产单元。</w:t>
                  </w:r>
                </w:p>
              </w:tc>
              <w:tc>
                <w:tcPr>
                  <w:tcW w:w="1744" w:type="dxa"/>
                  <w:vAlign w:val="center"/>
                </w:tcPr>
                <w:p w14:paraId="263A15B9">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本项目生产方式属于固定式。项目高噪声设备安装有减震基座，通过墙体隔声降噪。项目设置有封闭厂房，并采用车间</w:t>
                  </w:r>
                  <w:r>
                    <w:rPr>
                      <w:rFonts w:hint="eastAsia"/>
                      <w:color w:val="auto"/>
                      <w:lang w:val="en-US" w:eastAsia="zh-CN"/>
                    </w:rPr>
                    <w:t>布袋除尘器</w:t>
                  </w:r>
                  <w:r>
                    <w:rPr>
                      <w:rFonts w:hint="eastAsia"/>
                      <w:color w:val="auto"/>
                      <w:lang w:val="en-US"/>
                    </w:rPr>
                    <w:t>等措施进行除尘。</w:t>
                  </w:r>
                </w:p>
              </w:tc>
              <w:tc>
                <w:tcPr>
                  <w:tcW w:w="863" w:type="dxa"/>
                  <w:vAlign w:val="center"/>
                </w:tcPr>
                <w:p w14:paraId="1D602031">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符合</w:t>
                  </w:r>
                </w:p>
              </w:tc>
            </w:tr>
            <w:tr w14:paraId="77FC3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dxa"/>
                  <w:vAlign w:val="center"/>
                </w:tcPr>
                <w:p w14:paraId="56DAA945">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环境保护</w:t>
                  </w:r>
                </w:p>
              </w:tc>
              <w:tc>
                <w:tcPr>
                  <w:tcW w:w="5024" w:type="dxa"/>
                  <w:vAlign w:val="center"/>
                </w:tcPr>
                <w:p w14:paraId="1D9C9A1B">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1、要严格执行《中华人民共和国环境影响评价法》，依法向环境保护行政主管部门报批建筑垃圾资源化利用项目环境影响评价文件，建设与项目相配套的环境保护设施，并依法申请项目竣工环境保护验收。</w:t>
                  </w:r>
                </w:p>
                <w:p w14:paraId="1BD0AFB7">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2、建筑垃圾资源化利用企业根据生产需要应设置粉尘回收和储存设备，厂区环境空气质量应达到《环境空气质量标准》（GB3095）要求，且符合企业所在地的相关地方标准和环境影响评价要求。</w:t>
                  </w:r>
                </w:p>
                <w:p w14:paraId="2FF1B1E9">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3、建筑垃圾资源化利用企业应根据生产工艺的需求，建设生产废水处理系统，实现生产废水循环利用和零排放。</w:t>
                  </w:r>
                </w:p>
                <w:p w14:paraId="6642F47C">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4、建筑垃圾资源化利用企业应对噪声污染采取防治措施，达到《工业企业厂界环境噪声排放标准》（GB12348）的要求，且符合企业所在地的相关地方标准和环境影响评价要求。</w:t>
                  </w:r>
                </w:p>
              </w:tc>
              <w:tc>
                <w:tcPr>
                  <w:tcW w:w="1744" w:type="dxa"/>
                  <w:vAlign w:val="center"/>
                </w:tcPr>
                <w:p w14:paraId="31AA25C5">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企业正在依法开展项目环境影响评价工作。厂区环境空气质量应达到《环境空气质量标准》（GB 3095）二级标准要求。本项目生产废水不外排。本项目在落实好本环评提出噪声防治措施后，厂界噪声可达标排放。</w:t>
                  </w:r>
                </w:p>
              </w:tc>
              <w:tc>
                <w:tcPr>
                  <w:tcW w:w="863" w:type="dxa"/>
                  <w:vAlign w:val="center"/>
                </w:tcPr>
                <w:p w14:paraId="6777BF8B">
                  <w:pPr>
                    <w:pStyle w:val="56"/>
                    <w:keepNext w:val="0"/>
                    <w:keepLines w:val="0"/>
                    <w:suppressLineNumbers w:val="0"/>
                    <w:bidi w:val="0"/>
                    <w:spacing w:before="0" w:beforeAutospacing="0" w:after="0" w:afterAutospacing="0"/>
                    <w:ind w:left="0" w:right="0"/>
                    <w:rPr>
                      <w:rFonts w:hint="default"/>
                      <w:color w:val="auto"/>
                      <w:lang w:val="en-US"/>
                    </w:rPr>
                  </w:pPr>
                  <w:r>
                    <w:rPr>
                      <w:rFonts w:hint="eastAsia"/>
                      <w:color w:val="auto"/>
                      <w:lang w:val="en-US"/>
                    </w:rPr>
                    <w:t>符合</w:t>
                  </w:r>
                </w:p>
              </w:tc>
            </w:tr>
          </w:tbl>
          <w:p w14:paraId="2178E522">
            <w:pPr>
              <w:keepNext w:val="0"/>
              <w:keepLines w:val="0"/>
              <w:suppressLineNumbers w:val="0"/>
              <w:spacing w:before="0" w:beforeAutospacing="0" w:after="0" w:afterAutospacing="0" w:line="360" w:lineRule="auto"/>
              <w:ind w:left="0" w:right="0" w:firstLine="482"/>
              <w:rPr>
                <w:rFonts w:hint="eastAsia" w:ascii="宋体" w:hAnsi="宋体"/>
                <w:color w:val="auto"/>
                <w:kern w:val="0"/>
                <w:sz w:val="24"/>
              </w:rPr>
            </w:pPr>
            <w:r>
              <w:rPr>
                <w:rFonts w:hint="eastAsia" w:ascii="宋体" w:hAnsi="宋体"/>
                <w:color w:val="auto"/>
                <w:kern w:val="0"/>
                <w:sz w:val="24"/>
              </w:rPr>
              <w:t>综上，本项目建设符合《建筑垃圾资源化利用行业规范条件（暂行）》的相关要求。</w:t>
            </w:r>
          </w:p>
          <w:p w14:paraId="329411AA">
            <w:pPr>
              <w:keepNext w:val="0"/>
              <w:keepLines w:val="0"/>
              <w:numPr>
                <w:ilvl w:val="0"/>
                <w:numId w:val="7"/>
              </w:numPr>
              <w:suppressLineNumbers w:val="0"/>
              <w:bidi w:val="0"/>
              <w:spacing w:before="0" w:beforeAutospacing="0" w:after="0" w:afterAutospacing="0"/>
              <w:ind w:left="0" w:leftChars="0" w:right="0" w:firstLine="48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与《建筑垃圾处理技术标准（CJJ/T134-2019）》相符性分析</w:t>
            </w:r>
          </w:p>
          <w:p w14:paraId="3018F4BA">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default"/>
                <w:b/>
                <w:bCs/>
                <w:color w:val="auto"/>
                <w:szCs w:val="21"/>
                <w:lang w:val="en-US" w:eastAsia="zh-CN"/>
              </w:rPr>
            </w:pPr>
            <w:r>
              <w:rPr>
                <w:rFonts w:hint="eastAsia"/>
                <w:b/>
                <w:bCs/>
                <w:color w:val="auto"/>
                <w:szCs w:val="21"/>
                <w:lang w:val="en-US" w:eastAsia="zh-CN"/>
              </w:rPr>
              <w:t>与《建筑垃圾处理技术标准（CJJ/T134-2019）》相符性分析</w:t>
            </w:r>
          </w:p>
          <w:tbl>
            <w:tblPr>
              <w:tblStyle w:val="29"/>
              <w:tblW w:w="8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4403"/>
              <w:gridCol w:w="2532"/>
              <w:gridCol w:w="845"/>
            </w:tblGrid>
            <w:tr w14:paraId="4D4FD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8440" w:type="dxa"/>
                  <w:gridSpan w:val="4"/>
                  <w:tcBorders>
                    <w:tl2br w:val="nil"/>
                    <w:tr2bl w:val="nil"/>
                  </w:tcBorders>
                  <w:vAlign w:val="center"/>
                </w:tcPr>
                <w:p w14:paraId="34FA5BBC">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与《建筑垃圾处理技术标准（CJJ/T134-2019）》相符性分析</w:t>
                  </w:r>
                </w:p>
              </w:tc>
            </w:tr>
            <w:tr w14:paraId="2FD7B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660" w:type="dxa"/>
                  <w:tcBorders>
                    <w:tl2br w:val="nil"/>
                    <w:tr2bl w:val="nil"/>
                  </w:tcBorders>
                  <w:shd w:val="clear" w:color="auto" w:fill="auto"/>
                  <w:vAlign w:val="center"/>
                </w:tcPr>
                <w:p w14:paraId="417E0A1E">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1</w:t>
                  </w:r>
                </w:p>
              </w:tc>
              <w:tc>
                <w:tcPr>
                  <w:tcW w:w="4403" w:type="dxa"/>
                  <w:tcBorders>
                    <w:tl2br w:val="nil"/>
                    <w:tr2bl w:val="nil"/>
                  </w:tcBorders>
                  <w:shd w:val="clear" w:color="auto" w:fill="auto"/>
                  <w:vAlign w:val="center"/>
                </w:tcPr>
                <w:p w14:paraId="685E6CDE">
                  <w:pPr>
                    <w:pStyle w:val="56"/>
                    <w:keepNext w:val="0"/>
                    <w:keepLines w:val="0"/>
                    <w:suppressLineNumbers w:val="0"/>
                    <w:bidi w:val="0"/>
                    <w:spacing w:before="0" w:beforeAutospacing="0" w:after="0" w:afterAutospacing="0"/>
                    <w:ind w:left="0" w:right="0"/>
                    <w:rPr>
                      <w:rFonts w:hint="eastAsia"/>
                      <w:color w:val="auto"/>
                      <w:lang w:val="en-US" w:eastAsia="en-US"/>
                    </w:rPr>
                  </w:pPr>
                  <w:r>
                    <w:rPr>
                      <w:rFonts w:hint="default"/>
                      <w:color w:val="auto"/>
                      <w:lang w:val="en-US"/>
                    </w:rPr>
                    <w:t>3.0.2、建筑垃圾应从源头分类，应分类收集、分类运输、分类处理处置。</w:t>
                  </w:r>
                </w:p>
              </w:tc>
              <w:tc>
                <w:tcPr>
                  <w:tcW w:w="2532" w:type="dxa"/>
                  <w:tcBorders>
                    <w:tl2br w:val="nil"/>
                    <w:tr2bl w:val="nil"/>
                  </w:tcBorders>
                  <w:shd w:val="clear" w:color="auto" w:fill="auto"/>
                  <w:vAlign w:val="center"/>
                </w:tcPr>
                <w:p w14:paraId="3E36960D">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项目建筑垃圾应从源头分类，应分类收集、分类运输、分类处理处置。</w:t>
                  </w:r>
                </w:p>
              </w:tc>
              <w:tc>
                <w:tcPr>
                  <w:tcW w:w="845" w:type="dxa"/>
                  <w:tcBorders>
                    <w:tl2br w:val="nil"/>
                    <w:tr2bl w:val="nil"/>
                  </w:tcBorders>
                  <w:shd w:val="clear" w:color="auto" w:fill="auto"/>
                  <w:vAlign w:val="center"/>
                </w:tcPr>
                <w:p w14:paraId="72A644BB">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符合</w:t>
                  </w:r>
                </w:p>
              </w:tc>
            </w:tr>
            <w:tr w14:paraId="78313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660" w:type="dxa"/>
                  <w:tcBorders>
                    <w:tl2br w:val="nil"/>
                    <w:tr2bl w:val="nil"/>
                  </w:tcBorders>
                  <w:shd w:val="clear" w:color="auto" w:fill="auto"/>
                  <w:vAlign w:val="center"/>
                </w:tcPr>
                <w:p w14:paraId="0495F172">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2</w:t>
                  </w:r>
                </w:p>
              </w:tc>
              <w:tc>
                <w:tcPr>
                  <w:tcW w:w="4403" w:type="dxa"/>
                  <w:tcBorders>
                    <w:tl2br w:val="nil"/>
                    <w:tr2bl w:val="nil"/>
                  </w:tcBorders>
                  <w:shd w:val="clear" w:color="auto" w:fill="auto"/>
                  <w:vAlign w:val="center"/>
                </w:tcPr>
                <w:p w14:paraId="3ABBE2CF">
                  <w:pPr>
                    <w:pStyle w:val="56"/>
                    <w:keepNext w:val="0"/>
                    <w:keepLines w:val="0"/>
                    <w:suppressLineNumbers w:val="0"/>
                    <w:bidi w:val="0"/>
                    <w:spacing w:before="0" w:beforeAutospacing="0" w:after="0" w:afterAutospacing="0"/>
                    <w:ind w:left="0" w:right="0"/>
                    <w:rPr>
                      <w:rFonts w:hint="eastAsia"/>
                      <w:color w:val="auto"/>
                      <w:lang w:val="en-US" w:eastAsia="en-US"/>
                    </w:rPr>
                  </w:pPr>
                  <w:r>
                    <w:rPr>
                      <w:rFonts w:hint="default"/>
                      <w:color w:val="auto"/>
                      <w:lang w:val="en-US"/>
                    </w:rPr>
                    <w:t>3.0.3、工程渣土、工程泥浆、工程垃圾和拆除垃圾应优先就地利用。</w:t>
                  </w:r>
                </w:p>
              </w:tc>
              <w:tc>
                <w:tcPr>
                  <w:tcW w:w="2532" w:type="dxa"/>
                  <w:tcBorders>
                    <w:tl2br w:val="nil"/>
                    <w:tr2bl w:val="nil"/>
                  </w:tcBorders>
                  <w:shd w:val="clear" w:color="auto" w:fill="auto"/>
                  <w:vAlign w:val="center"/>
                </w:tcPr>
                <w:p w14:paraId="16B247A6">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项目建筑垃圾为</w:t>
                  </w:r>
                  <w:r>
                    <w:rPr>
                      <w:rFonts w:hint="eastAsia"/>
                      <w:color w:val="auto"/>
                      <w:lang w:val="en-US" w:eastAsia="zh-CN"/>
                    </w:rPr>
                    <w:t>建筑陶瓷产业园内锂渣</w:t>
                  </w:r>
                  <w:r>
                    <w:rPr>
                      <w:rFonts w:hint="default"/>
                      <w:color w:val="auto"/>
                      <w:lang w:val="en-US"/>
                    </w:rPr>
                    <w:t>，属于就地利用。</w:t>
                  </w:r>
                </w:p>
              </w:tc>
              <w:tc>
                <w:tcPr>
                  <w:tcW w:w="845" w:type="dxa"/>
                  <w:tcBorders>
                    <w:tl2br w:val="nil"/>
                    <w:tr2bl w:val="nil"/>
                  </w:tcBorders>
                  <w:shd w:val="clear" w:color="auto" w:fill="auto"/>
                  <w:vAlign w:val="center"/>
                </w:tcPr>
                <w:p w14:paraId="06CE6246">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符合</w:t>
                  </w:r>
                </w:p>
              </w:tc>
            </w:tr>
            <w:tr w14:paraId="770B7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660" w:type="dxa"/>
                  <w:tcBorders>
                    <w:tl2br w:val="nil"/>
                    <w:tr2bl w:val="nil"/>
                  </w:tcBorders>
                  <w:shd w:val="clear" w:color="auto" w:fill="auto"/>
                  <w:vAlign w:val="center"/>
                </w:tcPr>
                <w:p w14:paraId="14F08859">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3</w:t>
                  </w:r>
                </w:p>
              </w:tc>
              <w:tc>
                <w:tcPr>
                  <w:tcW w:w="4403" w:type="dxa"/>
                  <w:tcBorders>
                    <w:tl2br w:val="nil"/>
                    <w:tr2bl w:val="nil"/>
                  </w:tcBorders>
                  <w:shd w:val="clear" w:color="auto" w:fill="auto"/>
                  <w:vAlign w:val="center"/>
                </w:tcPr>
                <w:p w14:paraId="0D825CEA">
                  <w:pPr>
                    <w:pStyle w:val="56"/>
                    <w:keepNext w:val="0"/>
                    <w:keepLines w:val="0"/>
                    <w:suppressLineNumbers w:val="0"/>
                    <w:bidi w:val="0"/>
                    <w:spacing w:before="0" w:beforeAutospacing="0" w:after="0" w:afterAutospacing="0"/>
                    <w:ind w:left="0" w:right="0"/>
                    <w:rPr>
                      <w:rFonts w:hint="eastAsia"/>
                      <w:color w:val="auto"/>
                      <w:lang w:val="en-US" w:eastAsia="en-US"/>
                    </w:rPr>
                  </w:pPr>
                  <w:r>
                    <w:rPr>
                      <w:rFonts w:hint="default"/>
                      <w:color w:val="auto"/>
                      <w:lang w:val="en-US"/>
                    </w:rPr>
                    <w:t>3.0.6、建筑垃圾宜优先考虑资源化利用，拆除垃圾优先进行资源化利用</w:t>
                  </w:r>
                </w:p>
              </w:tc>
              <w:tc>
                <w:tcPr>
                  <w:tcW w:w="2532" w:type="dxa"/>
                  <w:tcBorders>
                    <w:tl2br w:val="nil"/>
                    <w:tr2bl w:val="nil"/>
                  </w:tcBorders>
                  <w:shd w:val="clear" w:color="auto" w:fill="auto"/>
                  <w:vAlign w:val="center"/>
                </w:tcPr>
                <w:p w14:paraId="697E5214">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项目利用</w:t>
                  </w:r>
                  <w:r>
                    <w:rPr>
                      <w:rFonts w:hint="eastAsia"/>
                      <w:color w:val="auto"/>
                      <w:lang w:val="en-US" w:eastAsia="zh-CN"/>
                    </w:rPr>
                    <w:t>锂渣</w:t>
                  </w:r>
                  <w:r>
                    <w:rPr>
                      <w:rFonts w:hint="default"/>
                      <w:color w:val="auto"/>
                      <w:lang w:val="en-US"/>
                    </w:rPr>
                    <w:t>，属于资源化利用。</w:t>
                  </w:r>
                </w:p>
              </w:tc>
              <w:tc>
                <w:tcPr>
                  <w:tcW w:w="845" w:type="dxa"/>
                  <w:tcBorders>
                    <w:tl2br w:val="nil"/>
                    <w:tr2bl w:val="nil"/>
                  </w:tcBorders>
                  <w:shd w:val="clear" w:color="auto" w:fill="auto"/>
                  <w:vAlign w:val="center"/>
                </w:tcPr>
                <w:p w14:paraId="13913ECD">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符合</w:t>
                  </w:r>
                </w:p>
              </w:tc>
            </w:tr>
            <w:tr w14:paraId="43FE5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7" w:hRule="atLeast"/>
                <w:jc w:val="center"/>
              </w:trPr>
              <w:tc>
                <w:tcPr>
                  <w:tcW w:w="660" w:type="dxa"/>
                  <w:tcBorders>
                    <w:tl2br w:val="nil"/>
                    <w:tr2bl w:val="nil"/>
                  </w:tcBorders>
                  <w:shd w:val="clear" w:color="auto" w:fill="auto"/>
                  <w:vAlign w:val="center"/>
                </w:tcPr>
                <w:p w14:paraId="5FFDD01D">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4</w:t>
                  </w:r>
                </w:p>
              </w:tc>
              <w:tc>
                <w:tcPr>
                  <w:tcW w:w="4403" w:type="dxa"/>
                  <w:tcBorders>
                    <w:tl2br w:val="nil"/>
                    <w:tr2bl w:val="nil"/>
                  </w:tcBorders>
                  <w:shd w:val="clear" w:color="auto" w:fill="auto"/>
                  <w:vAlign w:val="center"/>
                </w:tcPr>
                <w:p w14:paraId="307F796E">
                  <w:pPr>
                    <w:pStyle w:val="56"/>
                    <w:keepNext w:val="0"/>
                    <w:keepLines w:val="0"/>
                    <w:suppressLineNumbers w:val="0"/>
                    <w:bidi w:val="0"/>
                    <w:spacing w:before="0" w:beforeAutospacing="0" w:after="0" w:afterAutospacing="0"/>
                    <w:ind w:left="0" w:right="0"/>
                    <w:rPr>
                      <w:rFonts w:hint="eastAsia"/>
                      <w:color w:val="auto"/>
                      <w:lang w:val="en-US" w:eastAsia="en-US"/>
                    </w:rPr>
                  </w:pPr>
                  <w:r>
                    <w:rPr>
                      <w:rFonts w:hint="default"/>
                      <w:color w:val="auto"/>
                      <w:lang w:val="en-US"/>
                    </w:rPr>
                    <w:t>5.0.4、资源化利用和填埋处置工程选址应符合下列规定：应符合当地城市总体规划、环境卫生设施专项规划以及国家现行有关标准的规定；应与当地的大气防护、水土资源保护、自然保护及生态平衡要求相一致；工程地质与水文地质条件应满足设施建设和运行的要求，不应选在发震断层、滑坡、泥石流、沼泽、流沙及采矿陷落区等地区；应交通方便、运距合理，并应综合建筑垃圾处理厂的服务区域、建筑垃圾收集运输能力、产品出路、预留发展标准应符合现行国家标准《防洪标准》GB50201的有关规定。</w:t>
                  </w:r>
                </w:p>
              </w:tc>
              <w:tc>
                <w:tcPr>
                  <w:tcW w:w="2532" w:type="dxa"/>
                  <w:tcBorders>
                    <w:tl2br w:val="nil"/>
                    <w:tr2bl w:val="nil"/>
                  </w:tcBorders>
                  <w:shd w:val="clear" w:color="auto" w:fill="auto"/>
                  <w:vAlign w:val="center"/>
                </w:tcPr>
                <w:p w14:paraId="7A2A48C8">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项目选址</w:t>
                  </w:r>
                  <w:r>
                    <w:rPr>
                      <w:rFonts w:hint="eastAsia"/>
                      <w:color w:val="auto"/>
                      <w:lang w:val="en-US" w:eastAsia="zh-CN"/>
                    </w:rPr>
                    <w:t>江西省建筑陶瓷产业园</w:t>
                  </w:r>
                  <w:r>
                    <w:rPr>
                      <w:rFonts w:hint="default"/>
                      <w:color w:val="auto"/>
                      <w:lang w:val="en-US"/>
                    </w:rPr>
                    <w:t>，属于工业用地，符合</w:t>
                  </w:r>
                  <w:r>
                    <w:rPr>
                      <w:rFonts w:hint="eastAsia"/>
                      <w:color w:val="auto"/>
                      <w:lang w:val="en-US" w:eastAsia="zh-CN"/>
                    </w:rPr>
                    <w:t>高安县</w:t>
                  </w:r>
                  <w:r>
                    <w:rPr>
                      <w:rFonts w:hint="default"/>
                      <w:color w:val="auto"/>
                      <w:lang w:val="en-US"/>
                    </w:rPr>
                    <w:t>总体规划，符合国家现行有关标准的规定</w:t>
                  </w:r>
                  <w:r>
                    <w:rPr>
                      <w:rFonts w:hint="eastAsia"/>
                      <w:color w:val="auto"/>
                      <w:lang w:val="en-US" w:eastAsia="zh-CN"/>
                    </w:rPr>
                    <w:t>；</w:t>
                  </w:r>
                  <w:r>
                    <w:rPr>
                      <w:rFonts w:hint="default"/>
                      <w:color w:val="auto"/>
                      <w:lang w:val="en-US"/>
                    </w:rPr>
                    <w:t>满足“三线一单”要求，满足设施建设和运行要求；</w:t>
                  </w:r>
                  <w:r>
                    <w:rPr>
                      <w:rFonts w:hint="eastAsia"/>
                      <w:color w:val="auto"/>
                      <w:lang w:val="en-US"/>
                    </w:rPr>
                    <w:t>项目建筑垃圾为</w:t>
                  </w:r>
                  <w:r>
                    <w:rPr>
                      <w:rFonts w:hint="eastAsia"/>
                      <w:color w:val="auto"/>
                      <w:lang w:val="en-US" w:eastAsia="zh-CN"/>
                    </w:rPr>
                    <w:t>锂渣</w:t>
                  </w:r>
                  <w:r>
                    <w:rPr>
                      <w:rFonts w:hint="eastAsia"/>
                      <w:color w:val="auto"/>
                      <w:lang w:val="en-US"/>
                    </w:rPr>
                    <w:t>，项目利用</w:t>
                  </w:r>
                  <w:r>
                    <w:rPr>
                      <w:rFonts w:hint="eastAsia"/>
                      <w:color w:val="auto"/>
                      <w:lang w:val="en-US" w:eastAsia="zh-CN"/>
                    </w:rPr>
                    <w:t>锂渣</w:t>
                  </w:r>
                  <w:r>
                    <w:rPr>
                      <w:rFonts w:hint="eastAsia"/>
                      <w:color w:val="auto"/>
                      <w:lang w:val="en-US"/>
                    </w:rPr>
                    <w:t>生产</w:t>
                  </w:r>
                  <w:r>
                    <w:rPr>
                      <w:rFonts w:hint="default"/>
                      <w:color w:val="auto"/>
                      <w:lang w:val="en-US"/>
                    </w:rPr>
                    <w:t>再生道路复合稳定料</w:t>
                  </w:r>
                  <w:r>
                    <w:rPr>
                      <w:rFonts w:hint="eastAsia"/>
                      <w:color w:val="auto"/>
                      <w:lang w:val="en-US" w:eastAsia="zh-CN"/>
                    </w:rPr>
                    <w:t>、</w:t>
                  </w:r>
                  <w:r>
                    <w:rPr>
                      <w:rFonts w:hint="default"/>
                      <w:color w:val="auto"/>
                      <w:lang w:val="en-US"/>
                    </w:rPr>
                    <w:t>免烧砖（环保砖）</w:t>
                  </w:r>
                  <w:r>
                    <w:rPr>
                      <w:rFonts w:hint="eastAsia"/>
                      <w:color w:val="auto"/>
                      <w:lang w:val="en-US"/>
                    </w:rPr>
                    <w:t>，属于资源化利用。</w:t>
                  </w:r>
                  <w:r>
                    <w:rPr>
                      <w:rFonts w:hint="default"/>
                      <w:color w:val="auto"/>
                      <w:lang w:val="en-US"/>
                    </w:rPr>
                    <w:t>项目厂址不在洪水、潮水或内涝区域，符合国家有关规定。</w:t>
                  </w:r>
                </w:p>
              </w:tc>
              <w:tc>
                <w:tcPr>
                  <w:tcW w:w="845" w:type="dxa"/>
                  <w:tcBorders>
                    <w:tl2br w:val="nil"/>
                    <w:tr2bl w:val="nil"/>
                  </w:tcBorders>
                  <w:shd w:val="clear" w:color="auto" w:fill="auto"/>
                  <w:vAlign w:val="center"/>
                </w:tcPr>
                <w:p w14:paraId="4D067A35">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符合</w:t>
                  </w:r>
                </w:p>
              </w:tc>
            </w:tr>
            <w:tr w14:paraId="0E6C2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7" w:hRule="atLeast"/>
                <w:jc w:val="center"/>
              </w:trPr>
              <w:tc>
                <w:tcPr>
                  <w:tcW w:w="660" w:type="dxa"/>
                  <w:tcBorders>
                    <w:tl2br w:val="nil"/>
                    <w:tr2bl w:val="nil"/>
                  </w:tcBorders>
                  <w:shd w:val="clear" w:color="auto" w:fill="auto"/>
                  <w:vAlign w:val="center"/>
                </w:tcPr>
                <w:p w14:paraId="5C4E422A">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5</w:t>
                  </w:r>
                </w:p>
              </w:tc>
              <w:tc>
                <w:tcPr>
                  <w:tcW w:w="4403" w:type="dxa"/>
                  <w:tcBorders>
                    <w:tl2br w:val="nil"/>
                    <w:tr2bl w:val="nil"/>
                  </w:tcBorders>
                  <w:shd w:val="clear" w:color="auto" w:fill="auto"/>
                  <w:vAlign w:val="center"/>
                </w:tcPr>
                <w:p w14:paraId="0B188298">
                  <w:pPr>
                    <w:pStyle w:val="56"/>
                    <w:keepNext w:val="0"/>
                    <w:keepLines w:val="0"/>
                    <w:suppressLineNumbers w:val="0"/>
                    <w:bidi w:val="0"/>
                    <w:spacing w:before="0" w:beforeAutospacing="0" w:after="0" w:afterAutospacing="0"/>
                    <w:ind w:left="0" w:right="0"/>
                    <w:rPr>
                      <w:rFonts w:hint="eastAsia"/>
                      <w:color w:val="auto"/>
                      <w:lang w:val="en-US" w:eastAsia="en-US"/>
                    </w:rPr>
                  </w:pPr>
                  <w:r>
                    <w:rPr>
                      <w:rFonts w:hint="default"/>
                      <w:color w:val="auto"/>
                      <w:lang w:val="en-US"/>
                    </w:rPr>
                    <w:t>6.1.2、资源化处理工程应包括计量系统、预处理系统、资源化利用系统、原料及成品贮存系统、通风除尘系统、污水处理系统、厂区道路、地基处理、防洪等。</w:t>
                  </w:r>
                </w:p>
              </w:tc>
              <w:tc>
                <w:tcPr>
                  <w:tcW w:w="2532" w:type="dxa"/>
                  <w:tcBorders>
                    <w:tl2br w:val="nil"/>
                    <w:tr2bl w:val="nil"/>
                  </w:tcBorders>
                  <w:shd w:val="clear" w:color="auto" w:fill="auto"/>
                  <w:vAlign w:val="center"/>
                </w:tcPr>
                <w:p w14:paraId="554BAE05">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项目设置计量系统按比例搅拌等处理系统，预处理系统、资源化利用系统、原料及成品贮存系统、通风除尘系统、污水处理系统、厂区道路</w:t>
                  </w:r>
                  <w:r>
                    <w:rPr>
                      <w:rFonts w:hint="eastAsia"/>
                      <w:color w:val="auto"/>
                      <w:lang w:val="en-US" w:eastAsia="zh-CN"/>
                    </w:rPr>
                    <w:t>等</w:t>
                  </w:r>
                  <w:r>
                    <w:rPr>
                      <w:rFonts w:hint="eastAsia"/>
                      <w:color w:val="auto"/>
                      <w:lang w:val="en-US"/>
                    </w:rPr>
                    <w:t>。</w:t>
                  </w:r>
                </w:p>
              </w:tc>
              <w:tc>
                <w:tcPr>
                  <w:tcW w:w="845" w:type="dxa"/>
                  <w:tcBorders>
                    <w:tl2br w:val="nil"/>
                    <w:tr2bl w:val="nil"/>
                  </w:tcBorders>
                  <w:shd w:val="clear" w:color="auto" w:fill="auto"/>
                  <w:vAlign w:val="center"/>
                </w:tcPr>
                <w:p w14:paraId="6D1A6048">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符合</w:t>
                  </w:r>
                </w:p>
              </w:tc>
            </w:tr>
            <w:tr w14:paraId="2B160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5" w:hRule="atLeast"/>
                <w:jc w:val="center"/>
              </w:trPr>
              <w:tc>
                <w:tcPr>
                  <w:tcW w:w="660" w:type="dxa"/>
                  <w:tcBorders>
                    <w:tl2br w:val="nil"/>
                    <w:tr2bl w:val="nil"/>
                  </w:tcBorders>
                  <w:shd w:val="clear" w:color="auto" w:fill="auto"/>
                  <w:vAlign w:val="center"/>
                </w:tcPr>
                <w:p w14:paraId="549C6EB3">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6</w:t>
                  </w:r>
                </w:p>
              </w:tc>
              <w:tc>
                <w:tcPr>
                  <w:tcW w:w="4403" w:type="dxa"/>
                  <w:tcBorders>
                    <w:tl2br w:val="nil"/>
                    <w:tr2bl w:val="nil"/>
                  </w:tcBorders>
                  <w:shd w:val="clear" w:color="auto" w:fill="auto"/>
                  <w:vAlign w:val="center"/>
                </w:tcPr>
                <w:p w14:paraId="11ADFFE6">
                  <w:pPr>
                    <w:pStyle w:val="56"/>
                    <w:keepNext w:val="0"/>
                    <w:keepLines w:val="0"/>
                    <w:suppressLineNumbers w:val="0"/>
                    <w:bidi w:val="0"/>
                    <w:spacing w:before="0" w:beforeAutospacing="0" w:after="0" w:afterAutospacing="0"/>
                    <w:ind w:left="0" w:right="0"/>
                    <w:rPr>
                      <w:rFonts w:hint="eastAsia"/>
                      <w:color w:val="auto"/>
                      <w:lang w:val="en-US" w:eastAsia="en-US"/>
                    </w:rPr>
                  </w:pPr>
                  <w:r>
                    <w:rPr>
                      <w:rFonts w:hint="default"/>
                      <w:color w:val="auto"/>
                      <w:lang w:val="en-US"/>
                    </w:rPr>
                    <w:t>6.1.3、辅助设施构成应包括进厂</w:t>
                  </w:r>
                  <w:r>
                    <w:rPr>
                      <w:rFonts w:hint="eastAsia"/>
                      <w:color w:val="auto"/>
                      <w:lang w:val="en-US" w:eastAsia="zh-CN"/>
                    </w:rPr>
                    <w:t>（</w:t>
                  </w:r>
                  <w:r>
                    <w:rPr>
                      <w:rFonts w:hint="default"/>
                      <w:color w:val="auto"/>
                      <w:lang w:val="en-US"/>
                    </w:rPr>
                    <w:t>场</w:t>
                  </w:r>
                  <w:r>
                    <w:rPr>
                      <w:rFonts w:hint="eastAsia"/>
                      <w:color w:val="auto"/>
                      <w:lang w:val="en-US" w:eastAsia="zh-CN"/>
                    </w:rPr>
                    <w:t>）</w:t>
                  </w:r>
                  <w:r>
                    <w:rPr>
                      <w:rFonts w:hint="default"/>
                      <w:color w:val="auto"/>
                      <w:lang w:val="en-US"/>
                    </w:rPr>
                    <w:t>道路、供配电、给排水设施、生活和行政办公管理设施、设备维修、消防和安全卫生设施、车辆冲洗、通信、信息化及监控、应急设施</w:t>
                  </w:r>
                  <w:r>
                    <w:rPr>
                      <w:rFonts w:hint="eastAsia"/>
                      <w:color w:val="auto"/>
                      <w:lang w:val="en-US" w:eastAsia="zh-CN"/>
                    </w:rPr>
                    <w:t>（</w:t>
                  </w:r>
                  <w:r>
                    <w:rPr>
                      <w:rFonts w:hint="default"/>
                      <w:color w:val="auto"/>
                      <w:lang w:val="en-US"/>
                    </w:rPr>
                    <w:t>包括建筑垃圾临时存放、紧急照明</w:t>
                  </w:r>
                  <w:r>
                    <w:rPr>
                      <w:rFonts w:hint="eastAsia"/>
                      <w:color w:val="auto"/>
                      <w:lang w:val="en-US" w:eastAsia="zh-CN"/>
                    </w:rPr>
                    <w:t>）</w:t>
                  </w:r>
                  <w:r>
                    <w:rPr>
                      <w:rFonts w:hint="default"/>
                      <w:color w:val="auto"/>
                      <w:lang w:val="en-US"/>
                    </w:rPr>
                    <w:t>等。</w:t>
                  </w:r>
                </w:p>
              </w:tc>
              <w:tc>
                <w:tcPr>
                  <w:tcW w:w="2532" w:type="dxa"/>
                  <w:tcBorders>
                    <w:tl2br w:val="nil"/>
                    <w:tr2bl w:val="nil"/>
                  </w:tcBorders>
                  <w:shd w:val="clear" w:color="auto" w:fill="auto"/>
                  <w:vAlign w:val="center"/>
                </w:tcPr>
                <w:p w14:paraId="74A9B629">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项目配套建设了进厂道路、供配电、给排水系统、车辆冲洗平台等。</w:t>
                  </w:r>
                </w:p>
              </w:tc>
              <w:tc>
                <w:tcPr>
                  <w:tcW w:w="845" w:type="dxa"/>
                  <w:tcBorders>
                    <w:tl2br w:val="nil"/>
                    <w:tr2bl w:val="nil"/>
                  </w:tcBorders>
                  <w:shd w:val="clear" w:color="auto" w:fill="auto"/>
                  <w:vAlign w:val="center"/>
                </w:tcPr>
                <w:p w14:paraId="4CE5285C">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符合</w:t>
                  </w:r>
                </w:p>
              </w:tc>
            </w:tr>
            <w:tr w14:paraId="1EF8C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5" w:hRule="atLeast"/>
                <w:jc w:val="center"/>
              </w:trPr>
              <w:tc>
                <w:tcPr>
                  <w:tcW w:w="660" w:type="dxa"/>
                  <w:tcBorders>
                    <w:tl2br w:val="nil"/>
                    <w:tr2bl w:val="nil"/>
                  </w:tcBorders>
                  <w:shd w:val="clear" w:color="auto" w:fill="auto"/>
                  <w:vAlign w:val="center"/>
                </w:tcPr>
                <w:p w14:paraId="744B0623">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7</w:t>
                  </w:r>
                </w:p>
              </w:tc>
              <w:tc>
                <w:tcPr>
                  <w:tcW w:w="4403" w:type="dxa"/>
                  <w:tcBorders>
                    <w:tl2br w:val="nil"/>
                    <w:tr2bl w:val="nil"/>
                  </w:tcBorders>
                  <w:shd w:val="clear" w:color="auto" w:fill="auto"/>
                  <w:vAlign w:val="center"/>
                </w:tcPr>
                <w:p w14:paraId="7C8003DE">
                  <w:pPr>
                    <w:pStyle w:val="56"/>
                    <w:keepNext w:val="0"/>
                    <w:keepLines w:val="0"/>
                    <w:suppressLineNumbers w:val="0"/>
                    <w:bidi w:val="0"/>
                    <w:spacing w:before="0" w:beforeAutospacing="0" w:after="0" w:afterAutospacing="0"/>
                    <w:ind w:left="0" w:right="0"/>
                    <w:rPr>
                      <w:rFonts w:hint="eastAsia"/>
                      <w:color w:val="auto"/>
                      <w:lang w:val="en-US" w:eastAsia="en-US"/>
                    </w:rPr>
                  </w:pPr>
                  <w:r>
                    <w:rPr>
                      <w:rFonts w:hint="default"/>
                      <w:color w:val="auto"/>
                      <w:lang w:val="en-US"/>
                    </w:rPr>
                    <w:t>6.2.2、总平面布置应有利于减少建筑垃圾运输和处理过程中的粉尘、噪声等对周围环境的影响，并防止各设施间的交叉污染。</w:t>
                  </w:r>
                </w:p>
              </w:tc>
              <w:tc>
                <w:tcPr>
                  <w:tcW w:w="2532" w:type="dxa"/>
                  <w:tcBorders>
                    <w:tl2br w:val="nil"/>
                    <w:tr2bl w:val="nil"/>
                  </w:tcBorders>
                  <w:shd w:val="clear" w:color="auto" w:fill="auto"/>
                  <w:vAlign w:val="center"/>
                </w:tcPr>
                <w:p w14:paraId="2D64794D">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项目破碎、筛分</w:t>
                  </w:r>
                  <w:r>
                    <w:rPr>
                      <w:rFonts w:hint="eastAsia"/>
                      <w:color w:val="auto"/>
                      <w:lang w:val="en-US" w:eastAsia="zh-CN"/>
                    </w:rPr>
                    <w:t>、搅拌等</w:t>
                  </w:r>
                  <w:r>
                    <w:rPr>
                      <w:rFonts w:hint="default"/>
                      <w:color w:val="auto"/>
                      <w:lang w:val="en-US"/>
                    </w:rPr>
                    <w:t>位于</w:t>
                  </w:r>
                  <w:r>
                    <w:rPr>
                      <w:rFonts w:hint="eastAsia"/>
                      <w:color w:val="auto"/>
                      <w:lang w:val="en-US" w:eastAsia="zh-CN"/>
                    </w:rPr>
                    <w:t>生产</w:t>
                  </w:r>
                  <w:r>
                    <w:rPr>
                      <w:rFonts w:hint="default"/>
                      <w:color w:val="auto"/>
                      <w:lang w:val="en-US"/>
                    </w:rPr>
                    <w:t>车间内，粉尘收集经袋式除尘器处理，项目总平面布置有利于运输和污染处理。</w:t>
                  </w:r>
                </w:p>
              </w:tc>
              <w:tc>
                <w:tcPr>
                  <w:tcW w:w="845" w:type="dxa"/>
                  <w:tcBorders>
                    <w:tl2br w:val="nil"/>
                    <w:tr2bl w:val="nil"/>
                  </w:tcBorders>
                  <w:shd w:val="clear" w:color="auto" w:fill="auto"/>
                  <w:vAlign w:val="center"/>
                </w:tcPr>
                <w:p w14:paraId="5FC3DC66">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符合</w:t>
                  </w:r>
                </w:p>
              </w:tc>
            </w:tr>
            <w:tr w14:paraId="3F7B9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660" w:type="dxa"/>
                  <w:tcBorders>
                    <w:tl2br w:val="nil"/>
                    <w:tr2bl w:val="nil"/>
                  </w:tcBorders>
                  <w:shd w:val="clear" w:color="auto" w:fill="auto"/>
                  <w:vAlign w:val="center"/>
                </w:tcPr>
                <w:p w14:paraId="09A5FA1D">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8</w:t>
                  </w:r>
                </w:p>
              </w:tc>
              <w:tc>
                <w:tcPr>
                  <w:tcW w:w="4403" w:type="dxa"/>
                  <w:tcBorders>
                    <w:tl2br w:val="nil"/>
                    <w:tr2bl w:val="nil"/>
                  </w:tcBorders>
                  <w:shd w:val="clear" w:color="auto" w:fill="auto"/>
                  <w:vAlign w:val="center"/>
                </w:tcPr>
                <w:p w14:paraId="2DAD8C99">
                  <w:pPr>
                    <w:pStyle w:val="56"/>
                    <w:keepNext w:val="0"/>
                    <w:keepLines w:val="0"/>
                    <w:suppressLineNumbers w:val="0"/>
                    <w:bidi w:val="0"/>
                    <w:spacing w:before="0" w:beforeAutospacing="0" w:after="0" w:afterAutospacing="0"/>
                    <w:ind w:left="0" w:right="0"/>
                    <w:rPr>
                      <w:rFonts w:hint="eastAsia"/>
                      <w:color w:val="auto"/>
                      <w:lang w:val="en-US" w:eastAsia="en-US"/>
                    </w:rPr>
                  </w:pPr>
                  <w:r>
                    <w:rPr>
                      <w:rFonts w:hint="default"/>
                      <w:color w:val="auto"/>
                      <w:lang w:val="en-US"/>
                    </w:rPr>
                    <w:t>6.2.3、宜分别设置人流和物流出入口，两出入口不得相互影响,且做到进出车辆畅通。</w:t>
                  </w:r>
                </w:p>
              </w:tc>
              <w:tc>
                <w:tcPr>
                  <w:tcW w:w="2532" w:type="dxa"/>
                  <w:tcBorders>
                    <w:tl2br w:val="nil"/>
                    <w:tr2bl w:val="nil"/>
                  </w:tcBorders>
                  <w:shd w:val="clear" w:color="auto" w:fill="auto"/>
                  <w:vAlign w:val="center"/>
                </w:tcPr>
                <w:p w14:paraId="02D50EED">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项目厂区大门设立人流和物流出入口。</w:t>
                  </w:r>
                </w:p>
              </w:tc>
              <w:tc>
                <w:tcPr>
                  <w:tcW w:w="845" w:type="dxa"/>
                  <w:tcBorders>
                    <w:tl2br w:val="nil"/>
                    <w:tr2bl w:val="nil"/>
                  </w:tcBorders>
                  <w:shd w:val="clear" w:color="auto" w:fill="auto"/>
                  <w:vAlign w:val="center"/>
                </w:tcPr>
                <w:p w14:paraId="524DF4B2">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符合</w:t>
                  </w:r>
                </w:p>
              </w:tc>
            </w:tr>
            <w:tr w14:paraId="35151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2" w:hRule="atLeast"/>
                <w:jc w:val="center"/>
              </w:trPr>
              <w:tc>
                <w:tcPr>
                  <w:tcW w:w="660" w:type="dxa"/>
                  <w:tcBorders>
                    <w:tl2br w:val="nil"/>
                    <w:tr2bl w:val="nil"/>
                  </w:tcBorders>
                  <w:shd w:val="clear" w:color="auto" w:fill="auto"/>
                  <w:vAlign w:val="center"/>
                </w:tcPr>
                <w:p w14:paraId="3254BED6">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9</w:t>
                  </w:r>
                </w:p>
              </w:tc>
              <w:tc>
                <w:tcPr>
                  <w:tcW w:w="4403" w:type="dxa"/>
                  <w:tcBorders>
                    <w:tl2br w:val="nil"/>
                    <w:tr2bl w:val="nil"/>
                  </w:tcBorders>
                  <w:shd w:val="clear" w:color="auto" w:fill="auto"/>
                  <w:vAlign w:val="center"/>
                </w:tcPr>
                <w:p w14:paraId="5D14787D">
                  <w:pPr>
                    <w:pStyle w:val="56"/>
                    <w:keepNext w:val="0"/>
                    <w:keepLines w:val="0"/>
                    <w:suppressLineNumbers w:val="0"/>
                    <w:bidi w:val="0"/>
                    <w:spacing w:before="0" w:beforeAutospacing="0" w:after="0" w:afterAutospacing="0"/>
                    <w:ind w:left="0" w:right="0"/>
                    <w:rPr>
                      <w:rFonts w:hint="eastAsia"/>
                      <w:color w:val="auto"/>
                      <w:lang w:val="en-US" w:eastAsia="en-US"/>
                    </w:rPr>
                  </w:pPr>
                  <w:r>
                    <w:rPr>
                      <w:rFonts w:hint="default"/>
                      <w:color w:val="auto"/>
                      <w:lang w:val="en-US"/>
                    </w:rPr>
                    <w:t>6.2.6、资源化处理工程总平面布置应以预处理及资源化利用厂房为主体进行布置，其他各项设施应按建筑垃圾处理流程、功能分区，合理布置，并应做到整体效果协调。</w:t>
                  </w:r>
                </w:p>
              </w:tc>
              <w:tc>
                <w:tcPr>
                  <w:tcW w:w="2532" w:type="dxa"/>
                  <w:tcBorders>
                    <w:tl2br w:val="nil"/>
                    <w:tr2bl w:val="nil"/>
                  </w:tcBorders>
                  <w:shd w:val="clear" w:color="auto" w:fill="auto"/>
                  <w:vAlign w:val="center"/>
                </w:tcPr>
                <w:p w14:paraId="4140AA7D">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eastAsia="zh-CN"/>
                    </w:rPr>
                    <w:t>原料</w:t>
                  </w:r>
                  <w:r>
                    <w:rPr>
                      <w:rFonts w:hint="eastAsia"/>
                      <w:color w:val="auto"/>
                      <w:lang w:val="en-US" w:eastAsia="zh-CN"/>
                    </w:rPr>
                    <w:t>仓库</w:t>
                  </w:r>
                  <w:r>
                    <w:rPr>
                      <w:rFonts w:hint="default"/>
                      <w:color w:val="auto"/>
                      <w:lang w:val="en-US" w:eastAsia="zh-CN"/>
                    </w:rPr>
                    <w:t>位于厂</w:t>
                  </w:r>
                  <w:r>
                    <w:rPr>
                      <w:rFonts w:hint="eastAsia"/>
                      <w:color w:val="auto"/>
                      <w:lang w:val="en-US" w:eastAsia="zh-CN"/>
                    </w:rPr>
                    <w:t>房西南侧</w:t>
                  </w:r>
                  <w:r>
                    <w:rPr>
                      <w:rFonts w:hint="default"/>
                      <w:color w:val="auto"/>
                      <w:lang w:val="en-US" w:eastAsia="zh-CN"/>
                    </w:rPr>
                    <w:t>，靠近</w:t>
                  </w:r>
                  <w:r>
                    <w:rPr>
                      <w:rFonts w:hint="eastAsia"/>
                      <w:color w:val="auto"/>
                      <w:lang w:val="en-US" w:eastAsia="zh-CN"/>
                    </w:rPr>
                    <w:t>依托的锂冶炼剩余物仓库</w:t>
                  </w:r>
                  <w:r>
                    <w:rPr>
                      <w:rFonts w:hint="default"/>
                      <w:color w:val="auto"/>
                      <w:lang w:val="en-US" w:eastAsia="zh-CN"/>
                    </w:rPr>
                    <w:t>，同时，原料输送管道位于原料</w:t>
                  </w:r>
                  <w:r>
                    <w:rPr>
                      <w:rFonts w:hint="eastAsia"/>
                      <w:color w:val="auto"/>
                      <w:lang w:val="en-US" w:eastAsia="zh-CN"/>
                    </w:rPr>
                    <w:t>仓库北</w:t>
                  </w:r>
                  <w:r>
                    <w:rPr>
                      <w:rFonts w:hint="default"/>
                      <w:color w:val="auto"/>
                      <w:lang w:val="en-US" w:eastAsia="zh-CN"/>
                    </w:rPr>
                    <w:t>部，靠近</w:t>
                  </w:r>
                  <w:r>
                    <w:rPr>
                      <w:rFonts w:hint="eastAsia"/>
                      <w:color w:val="auto"/>
                      <w:lang w:val="en-US" w:eastAsia="zh-CN"/>
                    </w:rPr>
                    <w:t>生产</w:t>
                  </w:r>
                  <w:r>
                    <w:rPr>
                      <w:rFonts w:hint="default"/>
                      <w:color w:val="auto"/>
                      <w:lang w:val="en-US" w:eastAsia="zh-CN"/>
                    </w:rPr>
                    <w:t>车间，最大程度减短输送距离。成品仓位于</w:t>
                  </w:r>
                  <w:r>
                    <w:rPr>
                      <w:rFonts w:hint="eastAsia"/>
                      <w:color w:val="auto"/>
                      <w:lang w:val="en-US" w:eastAsia="zh-CN"/>
                    </w:rPr>
                    <w:t>租赁厂房东</w:t>
                  </w:r>
                  <w:r>
                    <w:rPr>
                      <w:rFonts w:hint="default"/>
                      <w:color w:val="auto"/>
                      <w:lang w:val="en-US" w:eastAsia="zh-CN"/>
                    </w:rPr>
                    <w:t>侧，</w:t>
                  </w:r>
                  <w:r>
                    <w:rPr>
                      <w:rFonts w:hint="eastAsia"/>
                      <w:color w:val="auto"/>
                      <w:lang w:val="en-US" w:eastAsia="zh-CN"/>
                    </w:rPr>
                    <w:t>生产区北</w:t>
                  </w:r>
                  <w:r>
                    <w:rPr>
                      <w:rFonts w:hint="default"/>
                      <w:color w:val="auto"/>
                      <w:lang w:val="en-US" w:eastAsia="zh-CN"/>
                    </w:rPr>
                    <w:t>侧，方便</w:t>
                  </w:r>
                  <w:r>
                    <w:rPr>
                      <w:rFonts w:hint="eastAsia"/>
                      <w:color w:val="auto"/>
                      <w:lang w:val="en-US" w:eastAsia="zh-CN"/>
                    </w:rPr>
                    <w:t>生产</w:t>
                  </w:r>
                  <w:r>
                    <w:rPr>
                      <w:rFonts w:hint="default"/>
                      <w:color w:val="auto"/>
                      <w:lang w:val="en-US" w:eastAsia="zh-CN"/>
                    </w:rPr>
                    <w:t>成品储存，同时，成品仓靠近</w:t>
                  </w:r>
                  <w:r>
                    <w:rPr>
                      <w:rFonts w:hint="eastAsia"/>
                      <w:color w:val="auto"/>
                      <w:lang w:val="en-US" w:eastAsia="zh-CN"/>
                    </w:rPr>
                    <w:t>路口侧</w:t>
                  </w:r>
                  <w:r>
                    <w:rPr>
                      <w:rFonts w:hint="default"/>
                      <w:color w:val="auto"/>
                      <w:lang w:val="en-US" w:eastAsia="zh-CN"/>
                    </w:rPr>
                    <w:t>，便于产品的外运</w:t>
                  </w:r>
                  <w:r>
                    <w:rPr>
                      <w:rFonts w:hint="eastAsia"/>
                      <w:color w:val="auto"/>
                      <w:lang w:val="en-US" w:eastAsia="zh-CN"/>
                    </w:rPr>
                    <w:t>，</w:t>
                  </w:r>
                  <w:r>
                    <w:rPr>
                      <w:rFonts w:hint="default"/>
                      <w:color w:val="auto"/>
                      <w:lang w:val="en-US"/>
                    </w:rPr>
                    <w:t>布置合理。</w:t>
                  </w:r>
                </w:p>
              </w:tc>
              <w:tc>
                <w:tcPr>
                  <w:tcW w:w="845" w:type="dxa"/>
                  <w:tcBorders>
                    <w:tl2br w:val="nil"/>
                    <w:tr2bl w:val="nil"/>
                  </w:tcBorders>
                  <w:shd w:val="clear" w:color="auto" w:fill="auto"/>
                  <w:vAlign w:val="center"/>
                </w:tcPr>
                <w:p w14:paraId="39257350">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符合</w:t>
                  </w:r>
                </w:p>
              </w:tc>
            </w:tr>
            <w:tr w14:paraId="0B4AC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660" w:type="dxa"/>
                  <w:tcBorders>
                    <w:tl2br w:val="nil"/>
                    <w:tr2bl w:val="nil"/>
                  </w:tcBorders>
                  <w:shd w:val="clear" w:color="auto" w:fill="auto"/>
                  <w:vAlign w:val="center"/>
                </w:tcPr>
                <w:p w14:paraId="2FF0A1A8">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10</w:t>
                  </w:r>
                </w:p>
              </w:tc>
              <w:tc>
                <w:tcPr>
                  <w:tcW w:w="4403" w:type="dxa"/>
                  <w:tcBorders>
                    <w:tl2br w:val="nil"/>
                    <w:tr2bl w:val="nil"/>
                  </w:tcBorders>
                  <w:shd w:val="clear" w:color="auto" w:fill="auto"/>
                  <w:vAlign w:val="center"/>
                </w:tcPr>
                <w:p w14:paraId="04D751F0">
                  <w:pPr>
                    <w:pStyle w:val="56"/>
                    <w:keepNext w:val="0"/>
                    <w:keepLines w:val="0"/>
                    <w:suppressLineNumbers w:val="0"/>
                    <w:bidi w:val="0"/>
                    <w:spacing w:before="0" w:beforeAutospacing="0" w:after="0" w:afterAutospacing="0"/>
                    <w:ind w:left="0" w:right="0"/>
                    <w:rPr>
                      <w:rFonts w:hint="eastAsia"/>
                      <w:color w:val="auto"/>
                      <w:lang w:val="en-US" w:eastAsia="en-US"/>
                    </w:rPr>
                  </w:pPr>
                  <w:r>
                    <w:rPr>
                      <w:rFonts w:hint="default"/>
                      <w:color w:val="auto"/>
                      <w:lang w:val="en-US"/>
                    </w:rPr>
                    <w:t>6.2.8、辅助设施布置应符合下列规定：宜布置在夏季主导风向的上风向，与预处理区、资源化利用区、填埋库区、污水处理区之间宜设绿化隔离带；管理区各项建</w:t>
                  </w:r>
                  <w:r>
                    <w:rPr>
                      <w:rFonts w:hint="eastAsia"/>
                      <w:color w:val="auto"/>
                      <w:lang w:val="en-US" w:eastAsia="zh-CN"/>
                    </w:rPr>
                    <w:t>（</w:t>
                  </w:r>
                  <w:r>
                    <w:rPr>
                      <w:rFonts w:hint="default"/>
                      <w:color w:val="auto"/>
                      <w:lang w:val="en-US"/>
                    </w:rPr>
                    <w:t>构</w:t>
                  </w:r>
                  <w:r>
                    <w:rPr>
                      <w:rFonts w:hint="eastAsia"/>
                      <w:color w:val="auto"/>
                      <w:lang w:val="en-US" w:eastAsia="zh-CN"/>
                    </w:rPr>
                    <w:t>）</w:t>
                  </w:r>
                  <w:r>
                    <w:rPr>
                      <w:rFonts w:hint="default"/>
                      <w:color w:val="auto"/>
                      <w:lang w:val="en-US"/>
                    </w:rPr>
                    <w:t>筑物的组成及其面积应符合国家现行相关标准的规定。</w:t>
                  </w:r>
                </w:p>
              </w:tc>
              <w:tc>
                <w:tcPr>
                  <w:tcW w:w="2532" w:type="dxa"/>
                  <w:tcBorders>
                    <w:tl2br w:val="nil"/>
                    <w:tr2bl w:val="nil"/>
                  </w:tcBorders>
                  <w:shd w:val="clear" w:color="auto" w:fill="auto"/>
                  <w:vAlign w:val="center"/>
                </w:tcPr>
                <w:p w14:paraId="206978C7">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项目辅助设施办公</w:t>
                  </w:r>
                  <w:r>
                    <w:rPr>
                      <w:rFonts w:hint="eastAsia"/>
                      <w:color w:val="auto"/>
                      <w:lang w:val="en-US" w:eastAsia="zh-CN"/>
                    </w:rPr>
                    <w:t>室</w:t>
                  </w:r>
                  <w:r>
                    <w:rPr>
                      <w:rFonts w:hint="default"/>
                      <w:color w:val="auto"/>
                      <w:lang w:val="en-US"/>
                    </w:rPr>
                    <w:t>位于厂区</w:t>
                  </w:r>
                  <w:r>
                    <w:rPr>
                      <w:rFonts w:hint="eastAsia"/>
                      <w:color w:val="auto"/>
                      <w:lang w:val="en-US" w:eastAsia="zh-CN"/>
                    </w:rPr>
                    <w:t>东</w:t>
                  </w:r>
                  <w:r>
                    <w:rPr>
                      <w:rFonts w:hint="default"/>
                      <w:color w:val="auto"/>
                      <w:lang w:val="en-US"/>
                    </w:rPr>
                    <w:t>北侧，单独建设。</w:t>
                  </w:r>
                </w:p>
              </w:tc>
              <w:tc>
                <w:tcPr>
                  <w:tcW w:w="845" w:type="dxa"/>
                  <w:tcBorders>
                    <w:tl2br w:val="nil"/>
                    <w:tr2bl w:val="nil"/>
                  </w:tcBorders>
                  <w:shd w:val="clear" w:color="auto" w:fill="auto"/>
                  <w:vAlign w:val="center"/>
                </w:tcPr>
                <w:p w14:paraId="33E035C0">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符合</w:t>
                  </w:r>
                </w:p>
              </w:tc>
            </w:tr>
            <w:tr w14:paraId="0CB3F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660" w:type="dxa"/>
                  <w:tcBorders>
                    <w:tl2br w:val="nil"/>
                    <w:tr2bl w:val="nil"/>
                  </w:tcBorders>
                  <w:shd w:val="clear" w:color="auto" w:fill="auto"/>
                  <w:vAlign w:val="center"/>
                </w:tcPr>
                <w:p w14:paraId="478102B1">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11</w:t>
                  </w:r>
                </w:p>
              </w:tc>
              <w:tc>
                <w:tcPr>
                  <w:tcW w:w="4403" w:type="dxa"/>
                  <w:tcBorders>
                    <w:tl2br w:val="nil"/>
                    <w:tr2bl w:val="nil"/>
                  </w:tcBorders>
                  <w:shd w:val="clear" w:color="auto" w:fill="auto"/>
                  <w:vAlign w:val="center"/>
                </w:tcPr>
                <w:p w14:paraId="49C17BAD">
                  <w:pPr>
                    <w:pStyle w:val="56"/>
                    <w:keepNext w:val="0"/>
                    <w:keepLines w:val="0"/>
                    <w:suppressLineNumbers w:val="0"/>
                    <w:bidi w:val="0"/>
                    <w:spacing w:before="0" w:beforeAutospacing="0" w:after="0" w:afterAutospacing="0"/>
                    <w:ind w:left="0" w:right="0"/>
                    <w:rPr>
                      <w:rFonts w:hint="eastAsia"/>
                      <w:color w:val="auto"/>
                      <w:lang w:val="en-US" w:eastAsia="en-US"/>
                    </w:rPr>
                  </w:pPr>
                  <w:r>
                    <w:rPr>
                      <w:rFonts w:hint="default"/>
                      <w:color w:val="auto"/>
                      <w:lang w:val="en-US"/>
                    </w:rPr>
                    <w:t>6.4.1.资源化利用及填埋处置工程应设置汽车衡进行称重计量，计量房应设置在处理工程的交通入口处，并应具有良好的通视条件。</w:t>
                  </w:r>
                </w:p>
              </w:tc>
              <w:tc>
                <w:tcPr>
                  <w:tcW w:w="2532" w:type="dxa"/>
                  <w:tcBorders>
                    <w:tl2br w:val="nil"/>
                    <w:tr2bl w:val="nil"/>
                  </w:tcBorders>
                  <w:shd w:val="clear" w:color="auto" w:fill="auto"/>
                  <w:vAlign w:val="center"/>
                </w:tcPr>
                <w:p w14:paraId="268DAE91">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项目厂区地出入口处设置一座地磅，具有良好的通视条件。</w:t>
                  </w:r>
                </w:p>
              </w:tc>
              <w:tc>
                <w:tcPr>
                  <w:tcW w:w="845" w:type="dxa"/>
                  <w:tcBorders>
                    <w:tl2br w:val="nil"/>
                    <w:tr2bl w:val="nil"/>
                  </w:tcBorders>
                  <w:shd w:val="clear" w:color="auto" w:fill="auto"/>
                  <w:vAlign w:val="center"/>
                </w:tcPr>
                <w:p w14:paraId="47399B2F">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符合</w:t>
                  </w:r>
                </w:p>
              </w:tc>
            </w:tr>
            <w:tr w14:paraId="4140E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660" w:type="dxa"/>
                  <w:tcBorders>
                    <w:tl2br w:val="nil"/>
                    <w:tr2bl w:val="nil"/>
                  </w:tcBorders>
                  <w:shd w:val="clear" w:color="auto" w:fill="auto"/>
                  <w:vAlign w:val="center"/>
                </w:tcPr>
                <w:p w14:paraId="2B5A8D03">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12</w:t>
                  </w:r>
                </w:p>
              </w:tc>
              <w:tc>
                <w:tcPr>
                  <w:tcW w:w="4403" w:type="dxa"/>
                  <w:tcBorders>
                    <w:tl2br w:val="nil"/>
                    <w:tr2bl w:val="nil"/>
                  </w:tcBorders>
                  <w:shd w:val="clear" w:color="auto" w:fill="auto"/>
                  <w:vAlign w:val="center"/>
                </w:tcPr>
                <w:p w14:paraId="0577115C">
                  <w:pPr>
                    <w:pStyle w:val="56"/>
                    <w:keepNext w:val="0"/>
                    <w:keepLines w:val="0"/>
                    <w:suppressLineNumbers w:val="0"/>
                    <w:bidi w:val="0"/>
                    <w:spacing w:before="0" w:beforeAutospacing="0" w:after="0" w:afterAutospacing="0"/>
                    <w:ind w:left="0" w:right="0"/>
                    <w:rPr>
                      <w:rFonts w:hint="eastAsia"/>
                      <w:color w:val="auto"/>
                      <w:lang w:val="en-US" w:eastAsia="en-US"/>
                    </w:rPr>
                  </w:pPr>
                  <w:r>
                    <w:rPr>
                      <w:rFonts w:hint="default"/>
                      <w:color w:val="auto"/>
                      <w:lang w:val="en-US"/>
                    </w:rPr>
                    <w:t>6.5.4.生产区与管理区之间以及填埋库区周边应设置防尘、防噪措施；填埋库区周围宜设安全防护设施.</w:t>
                  </w:r>
                </w:p>
              </w:tc>
              <w:tc>
                <w:tcPr>
                  <w:tcW w:w="2532" w:type="dxa"/>
                  <w:tcBorders>
                    <w:tl2br w:val="nil"/>
                    <w:tr2bl w:val="nil"/>
                  </w:tcBorders>
                  <w:shd w:val="clear" w:color="auto" w:fill="auto"/>
                  <w:vAlign w:val="center"/>
                </w:tcPr>
                <w:p w14:paraId="25822FDD">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项目生产车间封闭，</w:t>
                  </w:r>
                  <w:r>
                    <w:rPr>
                      <w:rFonts w:hint="eastAsia"/>
                      <w:color w:val="auto"/>
                      <w:kern w:val="0"/>
                      <w:sz w:val="21"/>
                      <w:szCs w:val="21"/>
                      <w:lang w:val="en-US" w:eastAsia="zh-CN"/>
                    </w:rPr>
                    <w:t>筛选破碎废气、投料废气、搅拌经3个集气罩收集+1个布袋除尘处理后通过15m的排气筒排放（DA001）</w:t>
                  </w:r>
                  <w:r>
                    <w:rPr>
                      <w:rFonts w:hint="default"/>
                      <w:color w:val="auto"/>
                      <w:lang w:val="en-US"/>
                    </w:rPr>
                    <w:t>，高噪声设备安装减振基座，厂房隔声等。</w:t>
                  </w:r>
                </w:p>
              </w:tc>
              <w:tc>
                <w:tcPr>
                  <w:tcW w:w="845" w:type="dxa"/>
                  <w:tcBorders>
                    <w:tl2br w:val="nil"/>
                    <w:tr2bl w:val="nil"/>
                  </w:tcBorders>
                  <w:shd w:val="clear" w:color="auto" w:fill="auto"/>
                  <w:vAlign w:val="center"/>
                </w:tcPr>
                <w:p w14:paraId="1606ABF6">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符合</w:t>
                  </w:r>
                </w:p>
              </w:tc>
            </w:tr>
            <w:tr w14:paraId="3AF56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660" w:type="dxa"/>
                  <w:tcBorders>
                    <w:tl2br w:val="nil"/>
                    <w:tr2bl w:val="nil"/>
                  </w:tcBorders>
                  <w:shd w:val="clear" w:color="auto" w:fill="auto"/>
                  <w:vAlign w:val="center"/>
                </w:tcPr>
                <w:p w14:paraId="6DAD3290">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13</w:t>
                  </w:r>
                </w:p>
              </w:tc>
              <w:tc>
                <w:tcPr>
                  <w:tcW w:w="4403" w:type="dxa"/>
                  <w:tcBorders>
                    <w:tl2br w:val="nil"/>
                    <w:tr2bl w:val="nil"/>
                  </w:tcBorders>
                  <w:shd w:val="clear" w:color="auto" w:fill="auto"/>
                  <w:vAlign w:val="center"/>
                </w:tcPr>
                <w:p w14:paraId="29AF565A">
                  <w:pPr>
                    <w:pStyle w:val="56"/>
                    <w:keepNext w:val="0"/>
                    <w:keepLines w:val="0"/>
                    <w:suppressLineNumbers w:val="0"/>
                    <w:bidi w:val="0"/>
                    <w:spacing w:before="0" w:beforeAutospacing="0" w:after="0" w:afterAutospacing="0"/>
                    <w:ind w:left="0" w:right="0"/>
                    <w:rPr>
                      <w:rFonts w:hint="eastAsia"/>
                      <w:color w:val="auto"/>
                      <w:lang w:val="en-US" w:eastAsia="en-US"/>
                    </w:rPr>
                  </w:pPr>
                  <w:r>
                    <w:rPr>
                      <w:rFonts w:hint="default"/>
                      <w:color w:val="auto"/>
                      <w:lang w:val="en-US"/>
                    </w:rPr>
                    <w:t>7.1.3、建筑垃圾散装运输车或船表面应有效遮盖，建筑垃圾不得裸露和散落。</w:t>
                  </w:r>
                </w:p>
              </w:tc>
              <w:tc>
                <w:tcPr>
                  <w:tcW w:w="2532" w:type="dxa"/>
                  <w:tcBorders>
                    <w:tl2br w:val="nil"/>
                    <w:tr2bl w:val="nil"/>
                  </w:tcBorders>
                  <w:shd w:val="clear" w:color="auto" w:fill="auto"/>
                  <w:vAlign w:val="center"/>
                </w:tcPr>
                <w:p w14:paraId="1F29787D">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项目</w:t>
                  </w:r>
                  <w:r>
                    <w:rPr>
                      <w:rFonts w:hint="eastAsia"/>
                      <w:color w:val="auto"/>
                      <w:lang w:val="en-US" w:eastAsia="zh-CN"/>
                    </w:rPr>
                    <w:t>锂渣</w:t>
                  </w:r>
                  <w:r>
                    <w:rPr>
                      <w:rFonts w:hint="default"/>
                      <w:color w:val="auto"/>
                      <w:lang w:val="en-US"/>
                    </w:rPr>
                    <w:t>运输车辆加盖毡布，封闭式运输。</w:t>
                  </w:r>
                </w:p>
              </w:tc>
              <w:tc>
                <w:tcPr>
                  <w:tcW w:w="845" w:type="dxa"/>
                  <w:tcBorders>
                    <w:tl2br w:val="nil"/>
                    <w:tr2bl w:val="nil"/>
                  </w:tcBorders>
                  <w:shd w:val="clear" w:color="auto" w:fill="auto"/>
                  <w:vAlign w:val="center"/>
                </w:tcPr>
                <w:p w14:paraId="2B0D6B97">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符合</w:t>
                  </w:r>
                </w:p>
              </w:tc>
            </w:tr>
            <w:tr w14:paraId="25897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660" w:type="dxa"/>
                  <w:tcBorders>
                    <w:tl2br w:val="nil"/>
                    <w:tr2bl w:val="nil"/>
                  </w:tcBorders>
                  <w:shd w:val="clear" w:color="auto" w:fill="auto"/>
                  <w:vAlign w:val="center"/>
                </w:tcPr>
                <w:p w14:paraId="471CA1D4">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14</w:t>
                  </w:r>
                </w:p>
              </w:tc>
              <w:tc>
                <w:tcPr>
                  <w:tcW w:w="4403" w:type="dxa"/>
                  <w:tcBorders>
                    <w:tl2br w:val="nil"/>
                    <w:tr2bl w:val="nil"/>
                  </w:tcBorders>
                  <w:shd w:val="clear" w:color="auto" w:fill="auto"/>
                  <w:vAlign w:val="center"/>
                </w:tcPr>
                <w:p w14:paraId="79C88DCD">
                  <w:pPr>
                    <w:pStyle w:val="56"/>
                    <w:keepNext w:val="0"/>
                    <w:keepLines w:val="0"/>
                    <w:suppressLineNumbers w:val="0"/>
                    <w:bidi w:val="0"/>
                    <w:spacing w:before="0" w:beforeAutospacing="0" w:after="0" w:afterAutospacing="0"/>
                    <w:ind w:left="0" w:right="0"/>
                    <w:rPr>
                      <w:rFonts w:hint="eastAsia"/>
                      <w:color w:val="auto"/>
                      <w:lang w:val="en-US" w:eastAsia="en-US"/>
                    </w:rPr>
                  </w:pPr>
                  <w:r>
                    <w:rPr>
                      <w:rFonts w:hint="default"/>
                      <w:color w:val="auto"/>
                      <w:lang w:val="en-US"/>
                    </w:rPr>
                    <w:t>7.1.5、建筑垃圾运输工具应容貌整洁、标志齐全，车厢、集装箱、车辆底盘、车轮、船舶无大块泥沙等附着物。</w:t>
                  </w:r>
                </w:p>
              </w:tc>
              <w:tc>
                <w:tcPr>
                  <w:tcW w:w="2532" w:type="dxa"/>
                  <w:tcBorders>
                    <w:tl2br w:val="nil"/>
                    <w:tr2bl w:val="nil"/>
                  </w:tcBorders>
                  <w:shd w:val="clear" w:color="auto" w:fill="auto"/>
                  <w:vAlign w:val="center"/>
                </w:tcPr>
                <w:p w14:paraId="3023EF0D">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项目运输车辆进出冲洗。</w:t>
                  </w:r>
                </w:p>
              </w:tc>
              <w:tc>
                <w:tcPr>
                  <w:tcW w:w="845" w:type="dxa"/>
                  <w:tcBorders>
                    <w:tl2br w:val="nil"/>
                    <w:tr2bl w:val="nil"/>
                  </w:tcBorders>
                  <w:shd w:val="clear" w:color="auto" w:fill="auto"/>
                  <w:vAlign w:val="center"/>
                </w:tcPr>
                <w:p w14:paraId="419D8E80">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符合</w:t>
                  </w:r>
                </w:p>
              </w:tc>
            </w:tr>
            <w:tr w14:paraId="7F1B3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660" w:type="dxa"/>
                  <w:tcBorders>
                    <w:tl2br w:val="nil"/>
                    <w:tr2bl w:val="nil"/>
                  </w:tcBorders>
                  <w:shd w:val="clear" w:color="auto" w:fill="auto"/>
                  <w:vAlign w:val="center"/>
                </w:tcPr>
                <w:p w14:paraId="28E877C8">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15</w:t>
                  </w:r>
                </w:p>
              </w:tc>
              <w:tc>
                <w:tcPr>
                  <w:tcW w:w="4403" w:type="dxa"/>
                  <w:tcBorders>
                    <w:tl2br w:val="nil"/>
                    <w:tr2bl w:val="nil"/>
                  </w:tcBorders>
                  <w:shd w:val="clear" w:color="auto" w:fill="auto"/>
                  <w:vAlign w:val="center"/>
                </w:tcPr>
                <w:p w14:paraId="607D6CE7">
                  <w:pPr>
                    <w:pStyle w:val="56"/>
                    <w:keepNext w:val="0"/>
                    <w:keepLines w:val="0"/>
                    <w:suppressLineNumbers w:val="0"/>
                    <w:bidi w:val="0"/>
                    <w:spacing w:before="0" w:beforeAutospacing="0" w:after="0" w:afterAutospacing="0"/>
                    <w:ind w:left="0" w:right="0"/>
                    <w:rPr>
                      <w:rFonts w:hint="eastAsia"/>
                      <w:color w:val="auto"/>
                      <w:lang w:val="en-US" w:eastAsia="en-US"/>
                    </w:rPr>
                  </w:pPr>
                  <w:r>
                    <w:rPr>
                      <w:rFonts w:hint="default"/>
                      <w:color w:val="auto"/>
                      <w:lang w:val="en-US"/>
                    </w:rPr>
                    <w:t>7.1.6、建筑垃圾装载高度最高点应低于车厢栏板高度0. 15m以上，车辆装载完毕后，相盖应关闭到位,装载量不得超过车辆额定载重量。</w:t>
                  </w:r>
                </w:p>
              </w:tc>
              <w:tc>
                <w:tcPr>
                  <w:tcW w:w="2532" w:type="dxa"/>
                  <w:tcBorders>
                    <w:tl2br w:val="nil"/>
                    <w:tr2bl w:val="nil"/>
                  </w:tcBorders>
                  <w:shd w:val="clear" w:color="auto" w:fill="auto"/>
                  <w:vAlign w:val="center"/>
                </w:tcPr>
                <w:p w14:paraId="18E3C321">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项目运输车辆装载不得超载。</w:t>
                  </w:r>
                </w:p>
              </w:tc>
              <w:tc>
                <w:tcPr>
                  <w:tcW w:w="845" w:type="dxa"/>
                  <w:tcBorders>
                    <w:tl2br w:val="nil"/>
                    <w:tr2bl w:val="nil"/>
                  </w:tcBorders>
                  <w:shd w:val="clear" w:color="auto" w:fill="auto"/>
                  <w:vAlign w:val="center"/>
                </w:tcPr>
                <w:p w14:paraId="7FD775DB">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符合</w:t>
                  </w:r>
                </w:p>
              </w:tc>
            </w:tr>
            <w:tr w14:paraId="2DABC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660" w:type="dxa"/>
                  <w:tcBorders>
                    <w:tl2br w:val="nil"/>
                    <w:tr2bl w:val="nil"/>
                  </w:tcBorders>
                  <w:shd w:val="clear" w:color="auto" w:fill="auto"/>
                  <w:vAlign w:val="center"/>
                </w:tcPr>
                <w:p w14:paraId="3503193A">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16</w:t>
                  </w:r>
                </w:p>
              </w:tc>
              <w:tc>
                <w:tcPr>
                  <w:tcW w:w="4403" w:type="dxa"/>
                  <w:tcBorders>
                    <w:tl2br w:val="nil"/>
                    <w:tr2bl w:val="nil"/>
                  </w:tcBorders>
                  <w:shd w:val="clear" w:color="auto" w:fill="auto"/>
                  <w:vAlign w:val="center"/>
                </w:tcPr>
                <w:p w14:paraId="5FF86526">
                  <w:pPr>
                    <w:pStyle w:val="56"/>
                    <w:keepNext w:val="0"/>
                    <w:keepLines w:val="0"/>
                    <w:suppressLineNumbers w:val="0"/>
                    <w:bidi w:val="0"/>
                    <w:spacing w:before="0" w:beforeAutospacing="0" w:after="0" w:afterAutospacing="0"/>
                    <w:ind w:left="0" w:right="0"/>
                    <w:rPr>
                      <w:rFonts w:hint="eastAsia"/>
                      <w:color w:val="auto"/>
                      <w:lang w:val="en-US" w:eastAsia="en-US"/>
                    </w:rPr>
                  </w:pPr>
                  <w:r>
                    <w:rPr>
                      <w:rFonts w:hint="default"/>
                      <w:color w:val="auto"/>
                      <w:lang w:val="en-US"/>
                    </w:rPr>
                    <w:t>12.1.1、资源化利用和填埋处置工程应有雨、污分流设施，防止污染周边环境。</w:t>
                  </w:r>
                </w:p>
              </w:tc>
              <w:tc>
                <w:tcPr>
                  <w:tcW w:w="2532" w:type="dxa"/>
                  <w:tcBorders>
                    <w:tl2br w:val="nil"/>
                    <w:tr2bl w:val="nil"/>
                  </w:tcBorders>
                  <w:shd w:val="clear" w:color="auto" w:fill="auto"/>
                  <w:vAlign w:val="center"/>
                </w:tcPr>
                <w:p w14:paraId="4617B279">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项目雨污分流，设置环形雨水管网，专用污水管网收集生产废水排入沉淀池。</w:t>
                  </w:r>
                </w:p>
              </w:tc>
              <w:tc>
                <w:tcPr>
                  <w:tcW w:w="845" w:type="dxa"/>
                  <w:tcBorders>
                    <w:tl2br w:val="nil"/>
                    <w:tr2bl w:val="nil"/>
                  </w:tcBorders>
                  <w:shd w:val="clear" w:color="auto" w:fill="auto"/>
                  <w:vAlign w:val="center"/>
                </w:tcPr>
                <w:p w14:paraId="496C5044">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符合</w:t>
                  </w:r>
                </w:p>
              </w:tc>
            </w:tr>
            <w:tr w14:paraId="0F42F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660" w:type="dxa"/>
                  <w:tcBorders>
                    <w:tl2br w:val="nil"/>
                    <w:tr2bl w:val="nil"/>
                  </w:tcBorders>
                  <w:vAlign w:val="center"/>
                </w:tcPr>
                <w:p w14:paraId="30F6C26C">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17</w:t>
                  </w:r>
                </w:p>
              </w:tc>
              <w:tc>
                <w:tcPr>
                  <w:tcW w:w="4403" w:type="dxa"/>
                  <w:tcBorders>
                    <w:tl2br w:val="nil"/>
                    <w:tr2bl w:val="nil"/>
                  </w:tcBorders>
                  <w:vAlign w:val="center"/>
                </w:tcPr>
                <w:p w14:paraId="7745F6D7">
                  <w:pPr>
                    <w:pStyle w:val="56"/>
                    <w:keepNext w:val="0"/>
                    <w:keepLines w:val="0"/>
                    <w:suppressLineNumbers w:val="0"/>
                    <w:bidi w:val="0"/>
                    <w:spacing w:before="0" w:beforeAutospacing="0" w:after="0" w:afterAutospacing="0"/>
                    <w:ind w:left="0" w:right="0"/>
                    <w:rPr>
                      <w:rFonts w:hint="eastAsia"/>
                      <w:color w:val="auto"/>
                      <w:lang w:val="en-US"/>
                    </w:rPr>
                  </w:pPr>
                  <w:r>
                    <w:rPr>
                      <w:rFonts w:hint="eastAsia"/>
                      <w:color w:val="auto"/>
                      <w:lang w:val="en-US"/>
                    </w:rPr>
                    <w:t>12.1.2、资源化处理工程应通过洒水降尘、封闭设备、局部抽吸等措施控制粉尘污染。</w:t>
                  </w:r>
                </w:p>
              </w:tc>
              <w:tc>
                <w:tcPr>
                  <w:tcW w:w="2532" w:type="dxa"/>
                  <w:tcBorders>
                    <w:tl2br w:val="nil"/>
                    <w:tr2bl w:val="nil"/>
                  </w:tcBorders>
                  <w:vAlign w:val="center"/>
                </w:tcPr>
                <w:p w14:paraId="57663648">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本项目生产车间密闭，设有布袋除尘和洒水降尘</w:t>
                  </w:r>
                  <w:r>
                    <w:rPr>
                      <w:rFonts w:hint="eastAsia"/>
                      <w:color w:val="auto"/>
                      <w:lang w:val="en-US"/>
                    </w:rPr>
                    <w:t>等措施控制粉尘污染</w:t>
                  </w:r>
                  <w:r>
                    <w:rPr>
                      <w:rFonts w:hint="eastAsia"/>
                      <w:color w:val="auto"/>
                      <w:lang w:val="en-US" w:eastAsia="zh-CN"/>
                    </w:rPr>
                    <w:t>。</w:t>
                  </w:r>
                </w:p>
              </w:tc>
              <w:tc>
                <w:tcPr>
                  <w:tcW w:w="845" w:type="dxa"/>
                  <w:tcBorders>
                    <w:tl2br w:val="nil"/>
                    <w:tr2bl w:val="nil"/>
                  </w:tcBorders>
                  <w:vAlign w:val="center"/>
                </w:tcPr>
                <w:p w14:paraId="3FD1E875">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符合</w:t>
                  </w:r>
                </w:p>
              </w:tc>
            </w:tr>
            <w:tr w14:paraId="41A0A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4" w:hRule="atLeast"/>
                <w:jc w:val="center"/>
              </w:trPr>
              <w:tc>
                <w:tcPr>
                  <w:tcW w:w="660" w:type="dxa"/>
                  <w:tcBorders>
                    <w:tl2br w:val="nil"/>
                    <w:tr2bl w:val="nil"/>
                  </w:tcBorders>
                  <w:shd w:val="clear" w:color="auto" w:fill="auto"/>
                  <w:vAlign w:val="center"/>
                </w:tcPr>
                <w:p w14:paraId="3640962C">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18</w:t>
                  </w:r>
                </w:p>
              </w:tc>
              <w:tc>
                <w:tcPr>
                  <w:tcW w:w="4403" w:type="dxa"/>
                  <w:tcBorders>
                    <w:tl2br w:val="nil"/>
                    <w:tr2bl w:val="nil"/>
                  </w:tcBorders>
                  <w:shd w:val="clear" w:color="auto" w:fill="auto"/>
                  <w:vAlign w:val="center"/>
                </w:tcPr>
                <w:p w14:paraId="08CC266D">
                  <w:pPr>
                    <w:pStyle w:val="56"/>
                    <w:keepNext w:val="0"/>
                    <w:keepLines w:val="0"/>
                    <w:suppressLineNumbers w:val="0"/>
                    <w:bidi w:val="0"/>
                    <w:spacing w:before="0" w:beforeAutospacing="0" w:after="0" w:afterAutospacing="0"/>
                    <w:ind w:left="0" w:right="0"/>
                    <w:rPr>
                      <w:rFonts w:hint="eastAsia"/>
                      <w:color w:val="auto"/>
                      <w:lang w:val="en-US" w:eastAsia="en-US"/>
                    </w:rPr>
                  </w:pPr>
                  <w:r>
                    <w:rPr>
                      <w:rFonts w:hint="default"/>
                      <w:color w:val="auto"/>
                      <w:lang w:val="en-US"/>
                    </w:rPr>
                    <w:t>12.1.3、建筑垃圾收集、运输、处理系统应选取低噪声运输车辆；建立缓冲带、设置噪声屏障或封闭车间控制处理工程噪声；资源化处理车间，采取隔声罩、隔声间或车间建筑内墙附加吸声材料等。</w:t>
                  </w:r>
                </w:p>
              </w:tc>
              <w:tc>
                <w:tcPr>
                  <w:tcW w:w="2532" w:type="dxa"/>
                  <w:tcBorders>
                    <w:tl2br w:val="nil"/>
                    <w:tr2bl w:val="nil"/>
                  </w:tcBorders>
                  <w:shd w:val="clear" w:color="auto" w:fill="auto"/>
                  <w:vAlign w:val="center"/>
                </w:tcPr>
                <w:p w14:paraId="57C16F97">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项目选用低噪声设备，厂房封闭，高噪声设备安装减振基座，软连接，车间隔声等措施。</w:t>
                  </w:r>
                </w:p>
              </w:tc>
              <w:tc>
                <w:tcPr>
                  <w:tcW w:w="845" w:type="dxa"/>
                  <w:tcBorders>
                    <w:tl2br w:val="nil"/>
                    <w:tr2bl w:val="nil"/>
                  </w:tcBorders>
                  <w:shd w:val="clear" w:color="auto" w:fill="auto"/>
                  <w:vAlign w:val="center"/>
                </w:tcPr>
                <w:p w14:paraId="3B5FEBB6">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default"/>
                      <w:color w:val="auto"/>
                      <w:lang w:val="en-US"/>
                    </w:rPr>
                    <w:t>符合</w:t>
                  </w:r>
                </w:p>
              </w:tc>
            </w:tr>
          </w:tbl>
          <w:p w14:paraId="3AC2C9C5">
            <w:pPr>
              <w:keepNext w:val="0"/>
              <w:keepLines w:val="0"/>
              <w:numPr>
                <w:ilvl w:val="0"/>
                <w:numId w:val="7"/>
              </w:numPr>
              <w:suppressLineNumbers w:val="0"/>
              <w:bidi w:val="0"/>
              <w:spacing w:before="0" w:beforeAutospacing="0" w:after="0" w:afterAutospacing="0"/>
              <w:ind w:left="0" w:leftChars="0" w:right="0" w:firstLine="48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与《江西省生态环境厅深入开展涉铊行业企业排查整治工作方案》相符性分析</w:t>
            </w:r>
          </w:p>
          <w:p w14:paraId="5C43046A">
            <w:pPr>
              <w:pStyle w:val="9"/>
              <w:keepNext w:val="0"/>
              <w:keepLines w:val="0"/>
              <w:suppressLineNumbers w:val="0"/>
              <w:tabs>
                <w:tab w:val="left" w:pos="1750"/>
              </w:tabs>
              <w:spacing w:before="0" w:beforeAutospacing="0" w:after="0" w:afterAutospacing="0" w:line="240" w:lineRule="auto"/>
              <w:ind w:left="0" w:right="0"/>
              <w:jc w:val="left"/>
              <w:rPr>
                <w:rFonts w:hint="default"/>
                <w:color w:val="auto"/>
                <w:sz w:val="21"/>
                <w:szCs w:val="21"/>
                <w:lang w:val="en-US" w:eastAsia="zh-CN"/>
              </w:rPr>
            </w:pPr>
          </w:p>
          <w:p w14:paraId="25C16D56">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eastAsia"/>
                <w:b/>
                <w:bCs/>
                <w:color w:val="auto"/>
                <w:szCs w:val="21"/>
                <w:lang w:val="en-US" w:eastAsia="zh-CN"/>
              </w:rPr>
            </w:pPr>
            <w:r>
              <w:rPr>
                <w:rFonts w:hint="eastAsia"/>
                <w:b/>
                <w:bCs/>
                <w:color w:val="auto"/>
                <w:szCs w:val="21"/>
                <w:lang w:val="en-US" w:eastAsia="zh-CN"/>
              </w:rPr>
              <w:t>与《</w:t>
            </w:r>
            <w:r>
              <w:rPr>
                <w:rFonts w:hint="eastAsia"/>
                <w:b/>
                <w:bCs/>
                <w:color w:val="auto"/>
                <w:szCs w:val="21"/>
                <w:lang w:val="en" w:eastAsia="zh-CN"/>
              </w:rPr>
              <w:t>江西省生态环境厅深入开展涉铊行业企业排查整治工作方案</w:t>
            </w:r>
            <w:r>
              <w:rPr>
                <w:rFonts w:hint="eastAsia"/>
                <w:b/>
                <w:bCs/>
                <w:color w:val="auto"/>
                <w:szCs w:val="21"/>
                <w:lang w:val="en-US" w:eastAsia="zh-CN"/>
              </w:rPr>
              <w:t>》相符性分析</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05DBE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3596F990">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文件要求</w:t>
                  </w:r>
                </w:p>
              </w:tc>
              <w:tc>
                <w:tcPr>
                  <w:tcW w:w="2841" w:type="dxa"/>
                  <w:vAlign w:val="center"/>
                </w:tcPr>
                <w:p w14:paraId="14B024EA">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本项目实际情况</w:t>
                  </w:r>
                </w:p>
              </w:tc>
              <w:tc>
                <w:tcPr>
                  <w:tcW w:w="2841" w:type="dxa"/>
                  <w:vAlign w:val="center"/>
                </w:tcPr>
                <w:p w14:paraId="5D6C2DEA">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相符性分析</w:t>
                  </w:r>
                </w:p>
              </w:tc>
            </w:tr>
            <w:tr w14:paraId="478C0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4755F76E">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rPr>
                    <w:t>将铊因子纳入项目环评、排污许可证及突发环境事件应急预案管理</w:t>
                  </w:r>
                </w:p>
              </w:tc>
              <w:tc>
                <w:tcPr>
                  <w:tcW w:w="2841" w:type="dxa"/>
                  <w:vAlign w:val="center"/>
                </w:tcPr>
                <w:p w14:paraId="5812C7D7">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企业为涉</w:t>
                  </w:r>
                  <w:r>
                    <w:rPr>
                      <w:rFonts w:hint="eastAsia"/>
                      <w:color w:val="auto"/>
                      <w:lang w:val="en-US"/>
                    </w:rPr>
                    <w:t>铊</w:t>
                  </w:r>
                  <w:r>
                    <w:rPr>
                      <w:rFonts w:hint="eastAsia"/>
                      <w:color w:val="auto"/>
                      <w:lang w:val="en-US" w:eastAsia="zh-CN"/>
                    </w:rPr>
                    <w:t>企业，</w:t>
                  </w:r>
                  <w:r>
                    <w:rPr>
                      <w:rFonts w:hint="eastAsia"/>
                      <w:color w:val="auto"/>
                      <w:lang w:val="en-US"/>
                    </w:rPr>
                    <w:t>铊因子</w:t>
                  </w:r>
                  <w:r>
                    <w:rPr>
                      <w:rFonts w:hint="eastAsia"/>
                      <w:color w:val="auto"/>
                      <w:lang w:val="en-US" w:eastAsia="zh-CN"/>
                    </w:rPr>
                    <w:t>已</w:t>
                  </w:r>
                  <w:r>
                    <w:rPr>
                      <w:rFonts w:hint="eastAsia"/>
                      <w:color w:val="auto"/>
                      <w:lang w:val="en-US"/>
                    </w:rPr>
                    <w:t>纳入项目环评</w:t>
                  </w:r>
                  <w:r>
                    <w:rPr>
                      <w:rFonts w:hint="eastAsia"/>
                      <w:color w:val="auto"/>
                      <w:lang w:val="en-US" w:eastAsia="zh-CN"/>
                    </w:rPr>
                    <w:t>，企业后续</w:t>
                  </w:r>
                  <w:r>
                    <w:rPr>
                      <w:rFonts w:hint="eastAsia"/>
                      <w:color w:val="auto"/>
                      <w:lang w:val="en-US"/>
                    </w:rPr>
                    <w:t>排污许可证及突发环境事件应急预案管理</w:t>
                  </w:r>
                  <w:r>
                    <w:rPr>
                      <w:rFonts w:hint="eastAsia"/>
                      <w:color w:val="auto"/>
                      <w:lang w:val="en-US" w:eastAsia="zh-CN"/>
                    </w:rPr>
                    <w:t>都将</w:t>
                  </w:r>
                  <w:r>
                    <w:rPr>
                      <w:rFonts w:hint="eastAsia"/>
                      <w:color w:val="auto"/>
                      <w:lang w:val="en-US"/>
                    </w:rPr>
                    <w:t>铊因子</w:t>
                  </w:r>
                  <w:r>
                    <w:rPr>
                      <w:rFonts w:hint="eastAsia"/>
                      <w:color w:val="auto"/>
                      <w:lang w:val="en-US" w:eastAsia="zh-CN"/>
                    </w:rPr>
                    <w:t>纳入管理</w:t>
                  </w:r>
                </w:p>
              </w:tc>
              <w:tc>
                <w:tcPr>
                  <w:tcW w:w="2841" w:type="dxa"/>
                  <w:vAlign w:val="center"/>
                </w:tcPr>
                <w:p w14:paraId="0C8063A9">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相符</w:t>
                  </w:r>
                </w:p>
              </w:tc>
            </w:tr>
            <w:tr w14:paraId="7E9CA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57C4D76E">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rPr>
                    <w:t>规范建设涉铊车间排口，严禁涉铊废水同其它废水混合稀释排放</w:t>
                  </w:r>
                  <w:r>
                    <w:rPr>
                      <w:rFonts w:hint="eastAsia"/>
                      <w:color w:val="auto"/>
                      <w:lang w:val="en-US" w:eastAsia="zh-CN"/>
                    </w:rPr>
                    <w:t>，完善</w:t>
                  </w:r>
                  <w:r>
                    <w:rPr>
                      <w:rFonts w:hint="eastAsia"/>
                      <w:color w:val="auto"/>
                      <w:lang w:val="en-US"/>
                    </w:rPr>
                    <w:t>除铊治理措施</w:t>
                  </w:r>
                  <w:r>
                    <w:rPr>
                      <w:rFonts w:hint="eastAsia"/>
                      <w:color w:val="auto"/>
                      <w:lang w:val="en-US" w:eastAsia="zh-CN"/>
                    </w:rPr>
                    <w:t>，确保</w:t>
                  </w:r>
                  <w:r>
                    <w:rPr>
                      <w:rFonts w:hint="eastAsia"/>
                      <w:color w:val="auto"/>
                      <w:lang w:val="en-US"/>
                    </w:rPr>
                    <w:t>铊因子稳定达标排放</w:t>
                  </w:r>
                </w:p>
              </w:tc>
              <w:tc>
                <w:tcPr>
                  <w:tcW w:w="2841" w:type="dxa"/>
                  <w:vAlign w:val="center"/>
                </w:tcPr>
                <w:p w14:paraId="0027898A">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w:t>
                  </w:r>
                  <w:r>
                    <w:rPr>
                      <w:rFonts w:hint="eastAsia"/>
                      <w:color w:val="auto"/>
                      <w:lang w:val="en-US"/>
                    </w:rPr>
                    <w:t>涉铊废水</w:t>
                  </w:r>
                  <w:r>
                    <w:rPr>
                      <w:rFonts w:hint="eastAsia"/>
                      <w:color w:val="auto"/>
                      <w:lang w:val="en-US" w:eastAsia="zh-CN"/>
                    </w:rPr>
                    <w:t>单独处理，生产废水不排放</w:t>
                  </w:r>
                </w:p>
              </w:tc>
              <w:tc>
                <w:tcPr>
                  <w:tcW w:w="2841" w:type="dxa"/>
                  <w:vAlign w:val="center"/>
                </w:tcPr>
                <w:p w14:paraId="48A92504">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相符</w:t>
                  </w:r>
                </w:p>
              </w:tc>
            </w:tr>
            <w:tr w14:paraId="15740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40" w:type="dxa"/>
                  <w:vAlign w:val="center"/>
                </w:tcPr>
                <w:p w14:paraId="1E1A1C2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rPr>
                    <w:t>构建全链条闭环管理体系，对原料、主副产品和固体废物中铊成分进行检测分析，实现铊元素可核算可追踪</w:t>
                  </w:r>
                </w:p>
              </w:tc>
              <w:tc>
                <w:tcPr>
                  <w:tcW w:w="2841" w:type="dxa"/>
                  <w:vAlign w:val="center"/>
                </w:tcPr>
                <w:p w14:paraId="4E2A43A5">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企业对</w:t>
                  </w:r>
                  <w:r>
                    <w:rPr>
                      <w:rFonts w:hint="eastAsia"/>
                      <w:color w:val="auto"/>
                      <w:lang w:val="en-US"/>
                    </w:rPr>
                    <w:t>原料、主副产品和固体废物中铊成分进行检测分析</w:t>
                  </w:r>
                  <w:r>
                    <w:rPr>
                      <w:rFonts w:hint="eastAsia"/>
                      <w:color w:val="auto"/>
                      <w:lang w:val="en-US" w:eastAsia="zh-CN"/>
                    </w:rPr>
                    <w:t>，对</w:t>
                  </w:r>
                  <w:r>
                    <w:rPr>
                      <w:rFonts w:hint="eastAsia"/>
                      <w:color w:val="auto"/>
                      <w:lang w:val="en-US"/>
                    </w:rPr>
                    <w:t>铊元素可核算可追踪</w:t>
                  </w:r>
                </w:p>
              </w:tc>
              <w:tc>
                <w:tcPr>
                  <w:tcW w:w="2841" w:type="dxa"/>
                  <w:vAlign w:val="center"/>
                </w:tcPr>
                <w:p w14:paraId="1B8F83E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相符</w:t>
                  </w:r>
                </w:p>
              </w:tc>
            </w:tr>
            <w:tr w14:paraId="28E8B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70540544">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rPr>
                    <w:t>规范建设涉铊固体废物贮存场所，建立涉铊固体废物管理台账</w:t>
                  </w:r>
                </w:p>
              </w:tc>
              <w:tc>
                <w:tcPr>
                  <w:tcW w:w="2841" w:type="dxa"/>
                  <w:vAlign w:val="center"/>
                </w:tcPr>
                <w:p w14:paraId="2F925101">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项目</w:t>
                  </w:r>
                  <w:r>
                    <w:rPr>
                      <w:rFonts w:hint="eastAsia"/>
                      <w:color w:val="auto"/>
                      <w:lang w:val="en-US"/>
                    </w:rPr>
                    <w:t>涉铊固体废物贮存场所建设规范</w:t>
                  </w:r>
                  <w:r>
                    <w:rPr>
                      <w:rFonts w:hint="eastAsia"/>
                      <w:color w:val="auto"/>
                      <w:lang w:val="en-US" w:eastAsia="zh-CN"/>
                    </w:rPr>
                    <w:t>，</w:t>
                  </w:r>
                  <w:r>
                    <w:rPr>
                      <w:rFonts w:hint="eastAsia"/>
                      <w:color w:val="auto"/>
                      <w:lang w:val="en-US"/>
                    </w:rPr>
                    <w:t>建立涉铊固体废物管理台账</w:t>
                  </w:r>
                  <w:r>
                    <w:rPr>
                      <w:rFonts w:hint="eastAsia"/>
                      <w:color w:val="auto"/>
                      <w:lang w:val="en-US" w:eastAsia="zh-CN"/>
                    </w:rPr>
                    <w:t>（电子台账+纸质台账，保存5年）</w:t>
                  </w:r>
                </w:p>
              </w:tc>
              <w:tc>
                <w:tcPr>
                  <w:tcW w:w="2841" w:type="dxa"/>
                  <w:vAlign w:val="center"/>
                </w:tcPr>
                <w:p w14:paraId="2A425320">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相符</w:t>
                  </w:r>
                </w:p>
              </w:tc>
            </w:tr>
            <w:tr w14:paraId="67E57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546586D3">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rPr>
                    <w:t>完善厂区雨、污收集设施，真正做到雨污分流</w:t>
                  </w:r>
                </w:p>
              </w:tc>
              <w:tc>
                <w:tcPr>
                  <w:tcW w:w="2841" w:type="dxa"/>
                  <w:vAlign w:val="center"/>
                </w:tcPr>
                <w:p w14:paraId="7D80F520">
                  <w:pPr>
                    <w:pStyle w:val="56"/>
                    <w:keepNext w:val="0"/>
                    <w:keepLines w:val="0"/>
                    <w:suppressLineNumbers w:val="0"/>
                    <w:bidi w:val="0"/>
                    <w:spacing w:before="0" w:beforeAutospacing="0" w:after="0" w:afterAutospacing="0"/>
                    <w:ind w:left="0" w:right="0"/>
                    <w:rPr>
                      <w:rFonts w:hint="default"/>
                      <w:color w:val="auto"/>
                      <w:lang w:val="en-US" w:eastAsia="zh-CN"/>
                    </w:rPr>
                  </w:pPr>
                </w:p>
                <w:p w14:paraId="77D26EC7">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项目设置雨污分流装置，防治</w:t>
                  </w:r>
                  <w:r>
                    <w:rPr>
                      <w:rFonts w:hint="eastAsia"/>
                      <w:color w:val="auto"/>
                      <w:lang w:val="en-US"/>
                    </w:rPr>
                    <w:t>铊</w:t>
                  </w:r>
                  <w:r>
                    <w:rPr>
                      <w:rFonts w:hint="eastAsia"/>
                      <w:color w:val="auto"/>
                      <w:lang w:val="en-US" w:eastAsia="zh-CN"/>
                    </w:rPr>
                    <w:t>随雨水排入受纳水体</w:t>
                  </w:r>
                </w:p>
              </w:tc>
              <w:tc>
                <w:tcPr>
                  <w:tcW w:w="2841" w:type="dxa"/>
                  <w:vAlign w:val="center"/>
                </w:tcPr>
                <w:p w14:paraId="28F94BAB">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相符</w:t>
                  </w:r>
                </w:p>
              </w:tc>
            </w:tr>
          </w:tbl>
          <w:p w14:paraId="7B3FD973">
            <w:pPr>
              <w:pStyle w:val="9"/>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 w:val="21"/>
                <w:szCs w:val="21"/>
                <w:vertAlign w:val="baseline"/>
                <w:lang w:val="en-US" w:eastAsia="zh-CN"/>
              </w:rPr>
            </w:pPr>
          </w:p>
          <w:p w14:paraId="64100B5D">
            <w:pPr>
              <w:keepNext w:val="0"/>
              <w:keepLines w:val="0"/>
              <w:numPr>
                <w:ilvl w:val="0"/>
                <w:numId w:val="7"/>
              </w:numPr>
              <w:suppressLineNumbers w:val="0"/>
              <w:bidi w:val="0"/>
              <w:spacing w:before="0" w:beforeAutospacing="0" w:after="0" w:afterAutospacing="0"/>
              <w:ind w:left="0" w:leftChars="0" w:right="0" w:firstLine="480" w:firstLineChars="0"/>
              <w:rPr>
                <w:rFonts w:hint="default" w:ascii="Times New Roman" w:hAnsi="Times New Roman" w:cs="Times New Roman"/>
                <w:color w:val="auto"/>
                <w:lang w:val="en-US" w:eastAsia="zh-CN"/>
              </w:rPr>
            </w:pPr>
            <w:r>
              <w:rPr>
                <w:rFonts w:hint="default" w:ascii="Times New Roman" w:hAnsi="Times New Roman" w:eastAsia="宋体" w:cs="Times New Roman"/>
                <w:color w:val="auto"/>
                <w:sz w:val="24"/>
                <w:lang w:val="en-US" w:eastAsia="zh-CN"/>
              </w:rPr>
              <w:t>根据《</w:t>
            </w:r>
            <w:r>
              <w:rPr>
                <w:rFonts w:hint="eastAsia" w:ascii="Times New Roman" w:hAnsi="Times New Roman" w:eastAsia="宋体" w:cs="Times New Roman"/>
                <w:color w:val="auto"/>
                <w:sz w:val="24"/>
                <w:lang w:val="en-US" w:eastAsia="zh-CN"/>
              </w:rPr>
              <w:t>固体废物处理处置工程技术导则</w:t>
            </w:r>
            <w:r>
              <w:rPr>
                <w:rFonts w:hint="default" w:ascii="Times New Roman" w:hAnsi="Times New Roman" w:eastAsia="宋体" w:cs="Times New Roman"/>
                <w:color w:val="auto"/>
                <w:sz w:val="24"/>
                <w:lang w:val="en-US" w:eastAsia="zh-CN"/>
              </w:rPr>
              <w:t>》（HJ</w:t>
            </w:r>
            <w:r>
              <w:rPr>
                <w:rFonts w:hint="eastAsia" w:ascii="Times New Roman" w:hAnsi="Times New Roman" w:eastAsia="宋体" w:cs="Times New Roman"/>
                <w:color w:val="auto"/>
                <w:sz w:val="24"/>
                <w:lang w:val="en-US" w:eastAsia="zh-CN"/>
              </w:rPr>
              <w:t>2035</w:t>
            </w:r>
            <w:r>
              <w:rPr>
                <w:rFonts w:hint="default" w:ascii="Times New Roman" w:hAnsi="Times New Roman" w:eastAsia="宋体" w:cs="Times New Roman"/>
                <w:color w:val="auto"/>
                <w:sz w:val="24"/>
                <w:lang w:val="en-US" w:eastAsia="zh-CN"/>
              </w:rPr>
              <w:t>-20</w:t>
            </w:r>
            <w:r>
              <w:rPr>
                <w:rFonts w:hint="eastAsia" w:ascii="Times New Roman" w:hAnsi="Times New Roman" w:eastAsia="宋体" w:cs="Times New Roman"/>
                <w:color w:val="auto"/>
                <w:sz w:val="24"/>
                <w:lang w:val="en-US" w:eastAsia="zh-CN"/>
              </w:rPr>
              <w:t>13</w:t>
            </w:r>
            <w:r>
              <w:rPr>
                <w:rFonts w:hint="default" w:ascii="Times New Roman" w:hAnsi="Times New Roman" w:eastAsia="宋体" w:cs="Times New Roman"/>
                <w:color w:val="auto"/>
                <w:sz w:val="24"/>
                <w:lang w:val="en-US" w:eastAsia="zh-CN"/>
              </w:rPr>
              <w:t>），与本项目相关的控制要求</w:t>
            </w:r>
            <w:r>
              <w:rPr>
                <w:rFonts w:hint="eastAsia" w:cs="Times New Roman"/>
                <w:color w:val="auto"/>
                <w:sz w:val="24"/>
                <w:lang w:val="en-US" w:eastAsia="zh-CN"/>
              </w:rPr>
              <w:t>相符性分析</w:t>
            </w:r>
            <w:r>
              <w:rPr>
                <w:rFonts w:hint="default" w:ascii="Times New Roman" w:hAnsi="Times New Roman" w:eastAsia="宋体" w:cs="Times New Roman"/>
                <w:color w:val="auto"/>
                <w:sz w:val="24"/>
                <w:lang w:val="en-US" w:eastAsia="zh-CN"/>
              </w:rPr>
              <w:t>如下：</w:t>
            </w:r>
          </w:p>
          <w:p w14:paraId="35BA2C55">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default"/>
                <w:b/>
                <w:bCs/>
                <w:color w:val="auto"/>
                <w:szCs w:val="21"/>
                <w:lang w:val="en-US" w:eastAsia="zh-CN"/>
              </w:rPr>
            </w:pPr>
            <w:r>
              <w:rPr>
                <w:rFonts w:hint="default"/>
                <w:b/>
                <w:bCs/>
                <w:color w:val="auto"/>
                <w:szCs w:val="21"/>
                <w:lang w:val="en-US" w:eastAsia="zh-CN"/>
              </w:rPr>
              <w:t>与HJ</w:t>
            </w:r>
            <w:r>
              <w:rPr>
                <w:rFonts w:hint="eastAsia"/>
                <w:b/>
                <w:bCs/>
                <w:color w:val="auto"/>
                <w:szCs w:val="21"/>
                <w:lang w:val="en-US" w:eastAsia="zh-CN"/>
              </w:rPr>
              <w:t>2035</w:t>
            </w:r>
            <w:r>
              <w:rPr>
                <w:rFonts w:hint="default"/>
                <w:b/>
                <w:bCs/>
                <w:color w:val="auto"/>
                <w:szCs w:val="21"/>
                <w:lang w:val="en-US" w:eastAsia="zh-CN"/>
              </w:rPr>
              <w:t>-20</w:t>
            </w:r>
            <w:r>
              <w:rPr>
                <w:rFonts w:hint="eastAsia"/>
                <w:b/>
                <w:bCs/>
                <w:color w:val="auto"/>
                <w:szCs w:val="21"/>
                <w:lang w:val="en-US" w:eastAsia="zh-CN"/>
              </w:rPr>
              <w:t xml:space="preserve">13 </w:t>
            </w:r>
            <w:r>
              <w:rPr>
                <w:rFonts w:hint="default"/>
                <w:b/>
                <w:bCs/>
                <w:color w:val="auto"/>
                <w:szCs w:val="21"/>
                <w:lang w:val="en-US" w:eastAsia="zh-CN"/>
              </w:rPr>
              <w:t>符合性分析</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6"/>
              <w:gridCol w:w="4370"/>
              <w:gridCol w:w="2822"/>
              <w:gridCol w:w="501"/>
            </w:tblGrid>
            <w:tr w14:paraId="45A1E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pct"/>
                  <w:tcBorders>
                    <w:tl2br w:val="nil"/>
                    <w:tr2bl w:val="nil"/>
                  </w:tcBorders>
                  <w:noWrap w:val="0"/>
                  <w:vAlign w:val="center"/>
                </w:tcPr>
                <w:p w14:paraId="0EC5FFBD">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标号</w:t>
                  </w:r>
                </w:p>
              </w:tc>
              <w:tc>
                <w:tcPr>
                  <w:tcW w:w="2552" w:type="pct"/>
                  <w:tcBorders>
                    <w:tl2br w:val="nil"/>
                    <w:tr2bl w:val="nil"/>
                  </w:tcBorders>
                  <w:noWrap w:val="0"/>
                  <w:vAlign w:val="center"/>
                </w:tcPr>
                <w:p w14:paraId="0DE825D3">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总体要求</w:t>
                  </w:r>
                </w:p>
              </w:tc>
              <w:tc>
                <w:tcPr>
                  <w:tcW w:w="1648" w:type="pct"/>
                  <w:tcBorders>
                    <w:tl2br w:val="nil"/>
                    <w:tr2bl w:val="nil"/>
                  </w:tcBorders>
                  <w:noWrap w:val="0"/>
                  <w:vAlign w:val="center"/>
                </w:tcPr>
                <w:p w14:paraId="5D64FDFC">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w:t>
                  </w:r>
                </w:p>
              </w:tc>
              <w:tc>
                <w:tcPr>
                  <w:tcW w:w="292" w:type="pct"/>
                  <w:tcBorders>
                    <w:tl2br w:val="nil"/>
                    <w:tr2bl w:val="nil"/>
                  </w:tcBorders>
                  <w:noWrap w:val="0"/>
                  <w:vAlign w:val="center"/>
                </w:tcPr>
                <w:p w14:paraId="5F3C34DC">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符合性</w:t>
                  </w:r>
                </w:p>
              </w:tc>
            </w:tr>
            <w:tr w14:paraId="2425F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pct"/>
                  <w:tcBorders>
                    <w:tl2br w:val="nil"/>
                    <w:tr2bl w:val="nil"/>
                  </w:tcBorders>
                  <w:noWrap w:val="0"/>
                  <w:vAlign w:val="center"/>
                </w:tcPr>
                <w:p w14:paraId="64553B05">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4.1</w:t>
                  </w:r>
                </w:p>
              </w:tc>
              <w:tc>
                <w:tcPr>
                  <w:tcW w:w="2552" w:type="pct"/>
                  <w:tcBorders>
                    <w:tl2br w:val="nil"/>
                    <w:tr2bl w:val="nil"/>
                  </w:tcBorders>
                  <w:noWrap w:val="0"/>
                  <w:vAlign w:val="center"/>
                </w:tcPr>
                <w:p w14:paraId="3B478BAC">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固体废物处理处置应遵循减量化、资源化、无害化的原则，对固体废物的产生、运输、贮</w:t>
                  </w:r>
                </w:p>
                <w:p w14:paraId="3092EE25">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存、处理和处置应实施全过程控制</w:t>
                  </w:r>
                </w:p>
              </w:tc>
              <w:tc>
                <w:tcPr>
                  <w:tcW w:w="1648" w:type="pct"/>
                  <w:tcBorders>
                    <w:tl2br w:val="nil"/>
                    <w:tr2bl w:val="nil"/>
                  </w:tcBorders>
                  <w:noWrap w:val="0"/>
                  <w:vAlign w:val="center"/>
                </w:tcPr>
                <w:p w14:paraId="3E4B8A41">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本项目原料锂渣来源于上游锂电企业的浸出渣，如江西研硕科技研发有限公司鉴定为一般固废的浸出渣，本项目将浸出渣加工成</w:t>
                  </w:r>
                  <w:r>
                    <w:rPr>
                      <w:rFonts w:hint="default"/>
                      <w:color w:val="auto"/>
                      <w:lang w:val="en-US" w:eastAsia="zh-CN"/>
                    </w:rPr>
                    <w:t>免烧砖（环保砖）</w:t>
                  </w:r>
                  <w:r>
                    <w:rPr>
                      <w:rFonts w:hint="eastAsia"/>
                      <w:color w:val="auto"/>
                      <w:lang w:val="en-US" w:eastAsia="zh-CN"/>
                    </w:rPr>
                    <w:t>及</w:t>
                  </w:r>
                  <w:r>
                    <w:rPr>
                      <w:rFonts w:hint="default"/>
                      <w:color w:val="auto"/>
                      <w:lang w:val="en-US" w:eastAsia="zh-CN"/>
                    </w:rPr>
                    <w:t>再生道路复合稳定料</w:t>
                  </w:r>
                  <w:r>
                    <w:rPr>
                      <w:rFonts w:hint="eastAsia"/>
                      <w:color w:val="auto"/>
                      <w:lang w:val="en-US" w:eastAsia="zh-CN"/>
                    </w:rPr>
                    <w:t>，做到减量化、资源化、无害化处置。企业对浸出渣的产生（由江西研硕科技研发有限公司）、运输、贮存、处理和处置实施全过程控制</w:t>
                  </w:r>
                </w:p>
              </w:tc>
              <w:tc>
                <w:tcPr>
                  <w:tcW w:w="292" w:type="pct"/>
                  <w:tcBorders>
                    <w:tl2br w:val="nil"/>
                    <w:tr2bl w:val="nil"/>
                  </w:tcBorders>
                  <w:noWrap w:val="0"/>
                  <w:vAlign w:val="center"/>
                </w:tcPr>
                <w:p w14:paraId="361F353F">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符合</w:t>
                  </w:r>
                </w:p>
              </w:tc>
            </w:tr>
            <w:tr w14:paraId="4C045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pct"/>
                  <w:tcBorders>
                    <w:tl2br w:val="nil"/>
                    <w:tr2bl w:val="nil"/>
                  </w:tcBorders>
                  <w:noWrap w:val="0"/>
                  <w:vAlign w:val="center"/>
                </w:tcPr>
                <w:p w14:paraId="0E2AEE94">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4.2</w:t>
                  </w:r>
                </w:p>
              </w:tc>
              <w:tc>
                <w:tcPr>
                  <w:tcW w:w="2552" w:type="pct"/>
                  <w:tcBorders>
                    <w:tl2br w:val="nil"/>
                    <w:tr2bl w:val="nil"/>
                  </w:tcBorders>
                  <w:noWrap w:val="0"/>
                  <w:vAlign w:val="center"/>
                </w:tcPr>
                <w:p w14:paraId="63A79DB8">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有条件的地区应建设固体废物集中处置设施，以提高规模效益。</w:t>
                  </w:r>
                </w:p>
              </w:tc>
              <w:tc>
                <w:tcPr>
                  <w:tcW w:w="1648" w:type="pct"/>
                  <w:tcBorders>
                    <w:tl2br w:val="nil"/>
                    <w:tr2bl w:val="nil"/>
                  </w:tcBorders>
                  <w:noWrap w:val="0"/>
                  <w:vAlign w:val="center"/>
                </w:tcPr>
                <w:p w14:paraId="18B482D0">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企业生产规模仅对江西研硕科技研发有限公司浸出渣进行处理</w:t>
                  </w:r>
                </w:p>
              </w:tc>
              <w:tc>
                <w:tcPr>
                  <w:tcW w:w="292" w:type="pct"/>
                  <w:tcBorders>
                    <w:tl2br w:val="nil"/>
                    <w:tr2bl w:val="nil"/>
                  </w:tcBorders>
                  <w:noWrap w:val="0"/>
                  <w:vAlign w:val="center"/>
                </w:tcPr>
                <w:p w14:paraId="6109AFAB">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r w14:paraId="1E233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6" w:type="pct"/>
                  <w:tcBorders>
                    <w:tl2br w:val="nil"/>
                    <w:tr2bl w:val="nil"/>
                  </w:tcBorders>
                  <w:noWrap w:val="0"/>
                  <w:vAlign w:val="center"/>
                </w:tcPr>
                <w:p w14:paraId="1036212E">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4.3</w:t>
                  </w:r>
                </w:p>
              </w:tc>
              <w:tc>
                <w:tcPr>
                  <w:tcW w:w="2552" w:type="pct"/>
                  <w:tcBorders>
                    <w:tl2br w:val="nil"/>
                    <w:tr2bl w:val="nil"/>
                  </w:tcBorders>
                  <w:noWrap w:val="0"/>
                  <w:vAlign w:val="center"/>
                </w:tcPr>
                <w:p w14:paraId="1C90342E">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固体废物处理处置工程的建设和运行应由具有国家相应资质的单位承担，满足该项目环境影响评价报告书、审批文件及本标准的要求。</w:t>
                  </w:r>
                </w:p>
              </w:tc>
              <w:tc>
                <w:tcPr>
                  <w:tcW w:w="1648" w:type="pct"/>
                  <w:tcBorders>
                    <w:tl2br w:val="nil"/>
                    <w:tr2bl w:val="nil"/>
                  </w:tcBorders>
                  <w:noWrap w:val="0"/>
                  <w:vAlign w:val="center"/>
                </w:tcPr>
                <w:p w14:paraId="20AE7250">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企业具有处理浸出渣的能力，工程建设和运行满足项目环境影响评价报告书、审批文件及本标准的要求</w:t>
                  </w:r>
                </w:p>
              </w:tc>
              <w:tc>
                <w:tcPr>
                  <w:tcW w:w="292" w:type="pct"/>
                  <w:tcBorders>
                    <w:tl2br w:val="nil"/>
                    <w:tr2bl w:val="nil"/>
                  </w:tcBorders>
                  <w:noWrap w:val="0"/>
                  <w:vAlign w:val="center"/>
                </w:tcPr>
                <w:p w14:paraId="7C5C6DCC">
                  <w:pPr>
                    <w:pStyle w:val="56"/>
                    <w:keepNext w:val="0"/>
                    <w:keepLines w:val="0"/>
                    <w:suppressLineNumbers w:val="0"/>
                    <w:bidi w:val="0"/>
                    <w:spacing w:before="0" w:beforeAutospacing="0" w:after="0" w:afterAutospacing="0"/>
                    <w:ind w:left="0" w:right="0"/>
                    <w:rPr>
                      <w:rFonts w:hint="default"/>
                      <w:color w:val="auto"/>
                      <w:lang w:val="en-US" w:eastAsia="zh-CN"/>
                    </w:rPr>
                  </w:pPr>
                </w:p>
              </w:tc>
            </w:tr>
            <w:tr w14:paraId="7B205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pct"/>
                  <w:tcBorders>
                    <w:tl2br w:val="nil"/>
                    <w:tr2bl w:val="nil"/>
                  </w:tcBorders>
                  <w:noWrap w:val="0"/>
                  <w:vAlign w:val="center"/>
                </w:tcPr>
                <w:p w14:paraId="12D6A684">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4.4</w:t>
                  </w:r>
                </w:p>
              </w:tc>
              <w:tc>
                <w:tcPr>
                  <w:tcW w:w="2552" w:type="pct"/>
                  <w:tcBorders>
                    <w:tl2br w:val="nil"/>
                    <w:tr2bl w:val="nil"/>
                  </w:tcBorders>
                  <w:noWrap w:val="0"/>
                  <w:vAlign w:val="center"/>
                </w:tcPr>
                <w:p w14:paraId="63CCC5FE">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固体废物处理处置过程中应避免和减少二次污染。对产生的二次污染应执行国家和地方环境保护法规和标准的有关规定，治理后达标排放。二次污染的治理方案宜充分利用企业已有资源。</w:t>
                  </w:r>
                </w:p>
              </w:tc>
              <w:tc>
                <w:tcPr>
                  <w:tcW w:w="1648" w:type="pct"/>
                  <w:tcBorders>
                    <w:tl2br w:val="nil"/>
                    <w:tr2bl w:val="nil"/>
                  </w:tcBorders>
                  <w:noWrap w:val="0"/>
                  <w:vAlign w:val="center"/>
                </w:tcPr>
                <w:p w14:paraId="02867A31">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项目生产废水不外排，不会对地表水环境产生不利影响；废气经处理后达标排放</w:t>
                  </w:r>
                </w:p>
              </w:tc>
              <w:tc>
                <w:tcPr>
                  <w:tcW w:w="292" w:type="pct"/>
                  <w:tcBorders>
                    <w:tl2br w:val="nil"/>
                    <w:tr2bl w:val="nil"/>
                  </w:tcBorders>
                  <w:noWrap w:val="0"/>
                  <w:vAlign w:val="center"/>
                </w:tcPr>
                <w:p w14:paraId="46594A1B">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r w14:paraId="704E7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pct"/>
                  <w:tcBorders>
                    <w:tl2br w:val="nil"/>
                    <w:tr2bl w:val="nil"/>
                  </w:tcBorders>
                  <w:noWrap w:val="0"/>
                  <w:vAlign w:val="center"/>
                </w:tcPr>
                <w:p w14:paraId="738E2B03">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4.5</w:t>
                  </w:r>
                </w:p>
              </w:tc>
              <w:tc>
                <w:tcPr>
                  <w:tcW w:w="2552" w:type="pct"/>
                  <w:tcBorders>
                    <w:tl2br w:val="nil"/>
                    <w:tr2bl w:val="nil"/>
                  </w:tcBorders>
                  <w:noWrap w:val="0"/>
                  <w:vAlign w:val="center"/>
                </w:tcPr>
                <w:p w14:paraId="2A25CEFB">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固体废物处理处置工程应按照国家相关规定安装自动连续监测装置。</w:t>
                  </w:r>
                </w:p>
              </w:tc>
              <w:tc>
                <w:tcPr>
                  <w:tcW w:w="1648" w:type="pct"/>
                  <w:tcBorders>
                    <w:tl2br w:val="nil"/>
                    <w:tr2bl w:val="nil"/>
                  </w:tcBorders>
                  <w:noWrap w:val="0"/>
                  <w:vAlign w:val="center"/>
                </w:tcPr>
                <w:p w14:paraId="238A7D8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项目生产废水不排放</w:t>
                  </w:r>
                </w:p>
              </w:tc>
              <w:tc>
                <w:tcPr>
                  <w:tcW w:w="292" w:type="pct"/>
                  <w:tcBorders>
                    <w:tl2br w:val="nil"/>
                    <w:tr2bl w:val="nil"/>
                  </w:tcBorders>
                  <w:noWrap w:val="0"/>
                  <w:vAlign w:val="center"/>
                </w:tcPr>
                <w:p w14:paraId="4055A04B">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r w14:paraId="52BA8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pct"/>
                  <w:tcBorders>
                    <w:tl2br w:val="nil"/>
                    <w:tr2bl w:val="nil"/>
                  </w:tcBorders>
                  <w:noWrap w:val="0"/>
                  <w:vAlign w:val="center"/>
                </w:tcPr>
                <w:p w14:paraId="577D737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4.6</w:t>
                  </w:r>
                </w:p>
              </w:tc>
              <w:tc>
                <w:tcPr>
                  <w:tcW w:w="2552" w:type="pct"/>
                  <w:tcBorders>
                    <w:tl2br w:val="nil"/>
                    <w:tr2bl w:val="nil"/>
                  </w:tcBorders>
                  <w:noWrap w:val="0"/>
                  <w:vAlign w:val="center"/>
                </w:tcPr>
                <w:p w14:paraId="115483AB">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固体废物处理处置工程应满足《建设项目环境保护管理条例》和《建设项目竣工环境保护验收管理办法》的要求。</w:t>
                  </w:r>
                </w:p>
              </w:tc>
              <w:tc>
                <w:tcPr>
                  <w:tcW w:w="1648" w:type="pct"/>
                  <w:tcBorders>
                    <w:tl2br w:val="nil"/>
                    <w:tr2bl w:val="nil"/>
                  </w:tcBorders>
                  <w:noWrap w:val="0"/>
                  <w:vAlign w:val="center"/>
                </w:tcPr>
                <w:p w14:paraId="71A299B3">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项目建设满足《建设项目环境保护管理条例》和《建设项目竣工环境保护验收管理办法》的要求</w:t>
                  </w:r>
                </w:p>
              </w:tc>
              <w:tc>
                <w:tcPr>
                  <w:tcW w:w="292" w:type="pct"/>
                  <w:tcBorders>
                    <w:tl2br w:val="nil"/>
                    <w:tr2bl w:val="nil"/>
                  </w:tcBorders>
                  <w:noWrap w:val="0"/>
                  <w:vAlign w:val="center"/>
                </w:tcPr>
                <w:p w14:paraId="38E2853D">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符合</w:t>
                  </w:r>
                </w:p>
              </w:tc>
            </w:tr>
            <w:tr w14:paraId="79B3A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6" w:type="pct"/>
                  <w:tcBorders>
                    <w:tl2br w:val="nil"/>
                    <w:tr2bl w:val="nil"/>
                  </w:tcBorders>
                  <w:noWrap w:val="0"/>
                  <w:vAlign w:val="center"/>
                </w:tcPr>
                <w:p w14:paraId="5C1DAC53">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4.7</w:t>
                  </w:r>
                </w:p>
              </w:tc>
              <w:tc>
                <w:tcPr>
                  <w:tcW w:w="2552" w:type="pct"/>
                  <w:tcBorders>
                    <w:tl2br w:val="nil"/>
                    <w:tr2bl w:val="nil"/>
                  </w:tcBorders>
                  <w:noWrap w:val="0"/>
                  <w:vAlign w:val="center"/>
                </w:tcPr>
                <w:p w14:paraId="025E70A1">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固体废物处理处置工程的建（构）筑物、电气系统、给排水、暖通等主要辅助工程应符合国家相关标准的规定。</w:t>
                  </w:r>
                </w:p>
              </w:tc>
              <w:tc>
                <w:tcPr>
                  <w:tcW w:w="1648" w:type="pct"/>
                  <w:tcBorders>
                    <w:tl2br w:val="nil"/>
                    <w:tr2bl w:val="nil"/>
                  </w:tcBorders>
                  <w:noWrap w:val="0"/>
                  <w:vAlign w:val="center"/>
                </w:tcPr>
                <w:p w14:paraId="149D5E75">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项目浸出渣处理处置工程的建（构）筑物、电气系统、给排水、暖通等主要辅助工程符合国家相关标准的规定</w:t>
                  </w:r>
                </w:p>
              </w:tc>
              <w:tc>
                <w:tcPr>
                  <w:tcW w:w="292" w:type="pct"/>
                  <w:tcBorders>
                    <w:tl2br w:val="nil"/>
                    <w:tr2bl w:val="nil"/>
                  </w:tcBorders>
                  <w:noWrap w:val="0"/>
                  <w:vAlign w:val="center"/>
                </w:tcPr>
                <w:p w14:paraId="64162F1B">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符合</w:t>
                  </w:r>
                </w:p>
              </w:tc>
            </w:tr>
          </w:tbl>
          <w:p w14:paraId="388D4F83">
            <w:pPr>
              <w:keepNext w:val="0"/>
              <w:keepLines w:val="0"/>
              <w:numPr>
                <w:ilvl w:val="0"/>
                <w:numId w:val="7"/>
              </w:numPr>
              <w:suppressLineNumbers w:val="0"/>
              <w:bidi w:val="0"/>
              <w:spacing w:before="0" w:beforeAutospacing="0" w:after="0" w:afterAutospacing="0"/>
              <w:ind w:left="0" w:leftChars="0" w:right="0" w:firstLine="480" w:firstLineChars="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根据</w:t>
            </w:r>
            <w:r>
              <w:rPr>
                <w:rFonts w:hint="eastAsia" w:ascii="Times New Roman" w:hAnsi="Times New Roman" w:eastAsia="宋体" w:cs="Times New Roman"/>
                <w:color w:val="auto"/>
                <w:sz w:val="24"/>
                <w:lang w:val="en-US" w:eastAsia="zh-CN"/>
              </w:rPr>
              <w:t>《一般工业固体废物贮存和填埋污染控制标准》（GB1599-2020）</w:t>
            </w:r>
            <w:r>
              <w:rPr>
                <w:rFonts w:hint="default" w:ascii="Times New Roman" w:hAnsi="Times New Roman" w:eastAsia="宋体" w:cs="Times New Roman"/>
                <w:color w:val="auto"/>
                <w:sz w:val="24"/>
                <w:lang w:val="en-US" w:eastAsia="zh-CN"/>
              </w:rPr>
              <w:t>，与本项目相关的控制要求</w:t>
            </w:r>
            <w:r>
              <w:rPr>
                <w:rFonts w:hint="eastAsia" w:ascii="Times New Roman" w:hAnsi="Times New Roman" w:eastAsia="宋体" w:cs="Times New Roman"/>
                <w:color w:val="auto"/>
                <w:sz w:val="24"/>
                <w:lang w:val="en-US" w:eastAsia="zh-CN"/>
              </w:rPr>
              <w:t>相符性分析</w:t>
            </w:r>
            <w:r>
              <w:rPr>
                <w:rFonts w:hint="default" w:ascii="Times New Roman" w:hAnsi="Times New Roman" w:eastAsia="宋体" w:cs="Times New Roman"/>
                <w:color w:val="auto"/>
                <w:sz w:val="24"/>
                <w:lang w:val="en-US" w:eastAsia="zh-CN"/>
              </w:rPr>
              <w:t>如下：</w:t>
            </w:r>
          </w:p>
          <w:p w14:paraId="02DB8C9F">
            <w:pPr>
              <w:pStyle w:val="37"/>
              <w:keepNext w:val="0"/>
              <w:keepLines w:val="0"/>
              <w:numPr>
                <w:ilvl w:val="0"/>
                <w:numId w:val="6"/>
              </w:numPr>
              <w:suppressLineNumbers w:val="0"/>
              <w:tabs>
                <w:tab w:val="left" w:pos="0"/>
              </w:tabs>
              <w:snapToGrid/>
              <w:spacing w:before="156" w:beforeLines="50" w:beforeAutospacing="0" w:after="0" w:afterAutospacing="0" w:line="240" w:lineRule="auto"/>
              <w:ind w:right="0" w:firstLine="422" w:firstLineChars="0"/>
              <w:textAlignment w:val="baseline"/>
              <w:outlineLvl w:val="0"/>
              <w:rPr>
                <w:rFonts w:hint="default"/>
                <w:color w:val="auto"/>
                <w:lang w:eastAsia="zh-CN"/>
              </w:rPr>
            </w:pPr>
            <w:r>
              <w:rPr>
                <w:rFonts w:hint="default"/>
                <w:color w:val="auto"/>
                <w:lang w:val="en-US" w:eastAsia="zh-CN"/>
              </w:rPr>
              <w:t>与</w:t>
            </w:r>
            <w:r>
              <w:rPr>
                <w:rFonts w:hint="eastAsia" w:ascii="Times New Roman" w:hAnsi="Times New Roman" w:cs="Times New Roman"/>
                <w:color w:val="auto"/>
                <w:lang w:val="en-US" w:eastAsia="zh-CN"/>
              </w:rPr>
              <w:t>GB1599-2020</w:t>
            </w:r>
            <w:r>
              <w:rPr>
                <w:rFonts w:hint="default"/>
                <w:color w:val="auto"/>
                <w:lang w:eastAsia="zh-CN"/>
              </w:rPr>
              <w:t>符合性分析</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6"/>
              <w:gridCol w:w="4370"/>
              <w:gridCol w:w="2822"/>
              <w:gridCol w:w="501"/>
            </w:tblGrid>
            <w:tr w14:paraId="45C6D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pct"/>
                  <w:tcBorders>
                    <w:tl2br w:val="nil"/>
                    <w:tr2bl w:val="nil"/>
                  </w:tcBorders>
                  <w:noWrap w:val="0"/>
                  <w:vAlign w:val="center"/>
                </w:tcPr>
                <w:p w14:paraId="1FF8B1AA">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序号</w:t>
                  </w:r>
                </w:p>
              </w:tc>
              <w:tc>
                <w:tcPr>
                  <w:tcW w:w="2552" w:type="pct"/>
                  <w:tcBorders>
                    <w:tl2br w:val="nil"/>
                    <w:tr2bl w:val="nil"/>
                  </w:tcBorders>
                  <w:noWrap w:val="0"/>
                  <w:vAlign w:val="center"/>
                </w:tcPr>
                <w:p w14:paraId="12D6C76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总体要求</w:t>
                  </w:r>
                </w:p>
              </w:tc>
              <w:tc>
                <w:tcPr>
                  <w:tcW w:w="1648" w:type="pct"/>
                  <w:tcBorders>
                    <w:tl2br w:val="nil"/>
                    <w:tr2bl w:val="nil"/>
                  </w:tcBorders>
                  <w:noWrap w:val="0"/>
                  <w:vAlign w:val="center"/>
                </w:tcPr>
                <w:p w14:paraId="69AFF6E8">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本项目</w:t>
                  </w:r>
                </w:p>
              </w:tc>
              <w:tc>
                <w:tcPr>
                  <w:tcW w:w="292" w:type="pct"/>
                  <w:tcBorders>
                    <w:tl2br w:val="nil"/>
                    <w:tr2bl w:val="nil"/>
                  </w:tcBorders>
                  <w:noWrap w:val="0"/>
                  <w:vAlign w:val="center"/>
                </w:tcPr>
                <w:p w14:paraId="5E740685">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符合性</w:t>
                  </w:r>
                </w:p>
              </w:tc>
            </w:tr>
            <w:tr w14:paraId="18807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pct"/>
                  <w:tcBorders>
                    <w:tl2br w:val="nil"/>
                    <w:tr2bl w:val="nil"/>
                  </w:tcBorders>
                  <w:noWrap w:val="0"/>
                  <w:vAlign w:val="center"/>
                </w:tcPr>
                <w:p w14:paraId="3965E0F8">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w:t>
                  </w:r>
                </w:p>
              </w:tc>
              <w:tc>
                <w:tcPr>
                  <w:tcW w:w="2552" w:type="pct"/>
                  <w:tcBorders>
                    <w:tl2br w:val="nil"/>
                    <w:tr2bl w:val="nil"/>
                  </w:tcBorders>
                  <w:noWrap w:val="0"/>
                  <w:vAlign w:val="center"/>
                </w:tcPr>
                <w:p w14:paraId="2FD279A5">
                  <w:pPr>
                    <w:pStyle w:val="56"/>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贮存场和填埋场一般应包括以下单元：防渗系统、渗滤液收集和导排系统；雨污分流系统；分析化验与环境监测系统；公用工程和配套设施；地下水导排系统和废水处理系统（根据具体情况选择设置）。</w:t>
                  </w:r>
                </w:p>
                <w:p w14:paraId="573E6DE7">
                  <w:pPr>
                    <w:pStyle w:val="56"/>
                    <w:keepNext w:val="0"/>
                    <w:keepLines w:val="0"/>
                    <w:suppressLineNumbers w:val="0"/>
                    <w:bidi w:val="0"/>
                    <w:spacing w:before="0" w:beforeAutospacing="0" w:after="0" w:afterAutospacing="0"/>
                    <w:ind w:left="0" w:right="0"/>
                    <w:rPr>
                      <w:rFonts w:hint="default"/>
                      <w:color w:val="auto"/>
                      <w:lang w:val="en-US" w:eastAsia="zh-CN"/>
                    </w:rPr>
                  </w:pPr>
                </w:p>
              </w:tc>
              <w:tc>
                <w:tcPr>
                  <w:tcW w:w="1648" w:type="pct"/>
                  <w:tcBorders>
                    <w:tl2br w:val="nil"/>
                    <w:tr2bl w:val="nil"/>
                  </w:tcBorders>
                  <w:noWrap w:val="0"/>
                  <w:vAlign w:val="center"/>
                </w:tcPr>
                <w:p w14:paraId="4C265A96">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项目一般固废不涉及渗滤液的产生，项目一般固废暂存间设置防渗层，厂区设置雨污分流系统，企业设置分析化验室，和环境监测系统和相应的公用工程和配套设施，项目一般固废暂存间不涉及地下水导排系统和废水处理系统</w:t>
                  </w:r>
                </w:p>
              </w:tc>
              <w:tc>
                <w:tcPr>
                  <w:tcW w:w="292" w:type="pct"/>
                  <w:tcBorders>
                    <w:tl2br w:val="nil"/>
                    <w:tr2bl w:val="nil"/>
                  </w:tcBorders>
                  <w:noWrap w:val="0"/>
                  <w:vAlign w:val="center"/>
                </w:tcPr>
                <w:p w14:paraId="7DCD4681">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符合</w:t>
                  </w:r>
                </w:p>
              </w:tc>
            </w:tr>
            <w:tr w14:paraId="09114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pct"/>
                  <w:tcBorders>
                    <w:tl2br w:val="nil"/>
                    <w:tr2bl w:val="nil"/>
                  </w:tcBorders>
                  <w:noWrap w:val="0"/>
                  <w:vAlign w:val="center"/>
                </w:tcPr>
                <w:p w14:paraId="5C4F7228">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2</w:t>
                  </w:r>
                </w:p>
              </w:tc>
              <w:tc>
                <w:tcPr>
                  <w:tcW w:w="2552" w:type="pct"/>
                  <w:tcBorders>
                    <w:tl2br w:val="nil"/>
                    <w:tr2bl w:val="nil"/>
                  </w:tcBorders>
                  <w:noWrap w:val="0"/>
                  <w:vAlign w:val="center"/>
                </w:tcPr>
                <w:p w14:paraId="10A2A59E">
                  <w:pPr>
                    <w:pStyle w:val="56"/>
                    <w:keepNext w:val="0"/>
                    <w:keepLines w:val="0"/>
                    <w:suppressLineNumbers w:val="0"/>
                    <w:bidi w:val="0"/>
                    <w:spacing w:before="0" w:beforeAutospacing="0" w:after="0" w:afterAutospacing="0"/>
                    <w:ind w:left="0" w:right="0"/>
                    <w:rPr>
                      <w:rFonts w:hint="default"/>
                      <w:color w:val="auto"/>
                    </w:rPr>
                  </w:pPr>
                  <w:r>
                    <w:rPr>
                      <w:rFonts w:hint="eastAsia"/>
                      <w:color w:val="auto"/>
                      <w:lang w:val="en-US" w:eastAsia="zh-CN"/>
                    </w:rPr>
                    <w:t>贮存场、填埋场应制定运行计划，运行管理人员应定期参加企业的岗位培训。</w:t>
                  </w:r>
                </w:p>
                <w:p w14:paraId="52AA739B">
                  <w:pPr>
                    <w:pStyle w:val="56"/>
                    <w:keepNext w:val="0"/>
                    <w:keepLines w:val="0"/>
                    <w:suppressLineNumbers w:val="0"/>
                    <w:bidi w:val="0"/>
                    <w:spacing w:before="0" w:beforeAutospacing="0" w:after="0" w:afterAutospacing="0"/>
                    <w:ind w:left="0" w:right="0"/>
                    <w:rPr>
                      <w:rFonts w:hint="default"/>
                      <w:color w:val="auto"/>
                      <w:lang w:val="en-US" w:eastAsia="zh-CN"/>
                    </w:rPr>
                  </w:pPr>
                </w:p>
              </w:tc>
              <w:tc>
                <w:tcPr>
                  <w:tcW w:w="1648" w:type="pct"/>
                  <w:tcBorders>
                    <w:tl2br w:val="nil"/>
                    <w:tr2bl w:val="nil"/>
                  </w:tcBorders>
                  <w:noWrap w:val="0"/>
                  <w:vAlign w:val="center"/>
                </w:tcPr>
                <w:p w14:paraId="51B55472">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企业贮存场设置运行计划，安排专员进行管理，运行管理人员定期参加企业的岗位培训</w:t>
                  </w:r>
                </w:p>
              </w:tc>
              <w:tc>
                <w:tcPr>
                  <w:tcW w:w="292" w:type="pct"/>
                  <w:tcBorders>
                    <w:tl2br w:val="nil"/>
                    <w:tr2bl w:val="nil"/>
                  </w:tcBorders>
                  <w:noWrap w:val="0"/>
                  <w:vAlign w:val="center"/>
                </w:tcPr>
                <w:p w14:paraId="3ABB0660">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r w14:paraId="4008A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6" w:type="pct"/>
                  <w:tcBorders>
                    <w:tl2br w:val="nil"/>
                    <w:tr2bl w:val="nil"/>
                  </w:tcBorders>
                  <w:noWrap w:val="0"/>
                  <w:vAlign w:val="center"/>
                </w:tcPr>
                <w:p w14:paraId="520B398D">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3</w:t>
                  </w:r>
                </w:p>
                <w:p w14:paraId="23D9F902">
                  <w:pPr>
                    <w:pStyle w:val="56"/>
                    <w:keepNext w:val="0"/>
                    <w:keepLines w:val="0"/>
                    <w:suppressLineNumbers w:val="0"/>
                    <w:bidi w:val="0"/>
                    <w:spacing w:before="0" w:beforeAutospacing="0" w:after="0" w:afterAutospacing="0"/>
                    <w:ind w:left="0" w:right="0"/>
                    <w:rPr>
                      <w:rFonts w:hint="eastAsia"/>
                      <w:color w:val="auto"/>
                      <w:lang w:val="en-US" w:eastAsia="zh-CN"/>
                    </w:rPr>
                  </w:pPr>
                </w:p>
              </w:tc>
              <w:tc>
                <w:tcPr>
                  <w:tcW w:w="2552" w:type="pct"/>
                  <w:tcBorders>
                    <w:tl2br w:val="nil"/>
                    <w:tr2bl w:val="nil"/>
                  </w:tcBorders>
                  <w:noWrap w:val="0"/>
                  <w:vAlign w:val="center"/>
                </w:tcPr>
                <w:p w14:paraId="4ECAD3D7">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贮存场、填埋场的环境保护图形标志应符合</w:t>
                  </w:r>
                  <w:r>
                    <w:rPr>
                      <w:rFonts w:hint="default"/>
                      <w:color w:val="auto"/>
                      <w:lang w:val="en-US" w:eastAsia="zh-CN"/>
                    </w:rPr>
                    <w:t>GB 15562.2</w:t>
                  </w:r>
                  <w:r>
                    <w:rPr>
                      <w:rFonts w:hint="eastAsia"/>
                      <w:color w:val="auto"/>
                      <w:lang w:val="en-US" w:eastAsia="zh-CN"/>
                    </w:rPr>
                    <w:t>的规定，并应定期检查和维护。</w:t>
                  </w:r>
                </w:p>
                <w:p w14:paraId="1F736386">
                  <w:pPr>
                    <w:pStyle w:val="56"/>
                    <w:keepNext w:val="0"/>
                    <w:keepLines w:val="0"/>
                    <w:suppressLineNumbers w:val="0"/>
                    <w:bidi w:val="0"/>
                    <w:spacing w:before="0" w:beforeAutospacing="0" w:after="0" w:afterAutospacing="0"/>
                    <w:ind w:left="0" w:right="0"/>
                    <w:rPr>
                      <w:rFonts w:hint="default"/>
                      <w:color w:val="auto"/>
                      <w:lang w:val="en-US" w:eastAsia="zh-CN"/>
                    </w:rPr>
                  </w:pPr>
                </w:p>
              </w:tc>
              <w:tc>
                <w:tcPr>
                  <w:tcW w:w="1648" w:type="pct"/>
                  <w:tcBorders>
                    <w:tl2br w:val="nil"/>
                    <w:tr2bl w:val="nil"/>
                  </w:tcBorders>
                  <w:noWrap w:val="0"/>
                  <w:vAlign w:val="center"/>
                </w:tcPr>
                <w:p w14:paraId="7C9818CE">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企业贮存场环境保护图形标志应符合</w:t>
                  </w:r>
                  <w:r>
                    <w:rPr>
                      <w:rFonts w:hint="default"/>
                      <w:color w:val="auto"/>
                      <w:lang w:val="en-US" w:eastAsia="zh-CN"/>
                    </w:rPr>
                    <w:t>GB 15562.2</w:t>
                  </w:r>
                  <w:r>
                    <w:rPr>
                      <w:rFonts w:hint="eastAsia"/>
                      <w:color w:val="auto"/>
                      <w:lang w:val="en-US" w:eastAsia="zh-CN"/>
                    </w:rPr>
                    <w:t>的规定，并定期检查和维护</w:t>
                  </w:r>
                </w:p>
              </w:tc>
              <w:tc>
                <w:tcPr>
                  <w:tcW w:w="292" w:type="pct"/>
                  <w:tcBorders>
                    <w:tl2br w:val="nil"/>
                    <w:tr2bl w:val="nil"/>
                  </w:tcBorders>
                  <w:noWrap w:val="0"/>
                  <w:vAlign w:val="center"/>
                </w:tcPr>
                <w:p w14:paraId="57D76D79">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default"/>
                      <w:color w:val="auto"/>
                      <w:lang w:val="en-US" w:eastAsia="zh-CN"/>
                    </w:rPr>
                    <w:t>符合</w:t>
                  </w:r>
                </w:p>
              </w:tc>
            </w:tr>
          </w:tbl>
          <w:p w14:paraId="19D7A098">
            <w:pPr>
              <w:keepNext w:val="0"/>
              <w:keepLines w:val="0"/>
              <w:numPr>
                <w:ilvl w:val="0"/>
                <w:numId w:val="7"/>
              </w:numPr>
              <w:suppressLineNumbers w:val="0"/>
              <w:bidi w:val="0"/>
              <w:spacing w:before="0" w:beforeAutospacing="0" w:after="0" w:afterAutospacing="0"/>
              <w:ind w:left="0" w:leftChars="0" w:right="0" w:firstLine="480" w:firstLineChars="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与《宜春市重点行业企业生态环境问题大排查大整治行动方案》的通知（宜环执法</w:t>
            </w:r>
            <w:r>
              <w:rPr>
                <w:rFonts w:hint="eastAsia" w:ascii="Times New Roman" w:hAnsi="Times New Roman" w:eastAsia="宋体" w:cs="Times New Roman"/>
                <w:color w:val="auto"/>
                <w:sz w:val="24"/>
                <w:lang w:val="en-US" w:eastAsia="zh-CN"/>
              </w:rPr>
              <w:t>〔2023〕2号</w:t>
            </w:r>
            <w:r>
              <w:rPr>
                <w:rFonts w:hint="default" w:ascii="Times New Roman" w:hAnsi="Times New Roman" w:eastAsia="宋体" w:cs="Times New Roman"/>
                <w:color w:val="auto"/>
                <w:sz w:val="24"/>
                <w:lang w:val="en-US" w:eastAsia="zh-CN"/>
              </w:rPr>
              <w:t>）</w:t>
            </w:r>
            <w:r>
              <w:rPr>
                <w:rFonts w:hint="eastAsia" w:ascii="Times New Roman" w:hAnsi="Times New Roman" w:eastAsia="宋体" w:cs="Times New Roman"/>
                <w:color w:val="auto"/>
                <w:sz w:val="24"/>
                <w:lang w:val="en-US" w:eastAsia="zh-CN"/>
              </w:rPr>
              <w:t>相符性分析</w:t>
            </w:r>
          </w:p>
          <w:p w14:paraId="700AFE09">
            <w:pPr>
              <w:keepNext w:val="0"/>
              <w:keepLines w:val="0"/>
              <w:suppressLineNumbers w:val="0"/>
              <w:bidi w:val="0"/>
              <w:spacing w:before="0" w:beforeAutospacing="0" w:after="0" w:afterAutospacing="0"/>
              <w:ind w:left="0" w:right="0"/>
              <w:rPr>
                <w:rFonts w:hint="default"/>
                <w:color w:val="auto"/>
              </w:rPr>
            </w:pPr>
            <w:r>
              <w:rPr>
                <w:rFonts w:hint="default"/>
                <w:color w:val="auto"/>
              </w:rPr>
              <w:t>宜环执法</w:t>
            </w:r>
            <w:r>
              <w:rPr>
                <w:rFonts w:hint="eastAsia"/>
                <w:color w:val="auto"/>
                <w:lang w:eastAsia="zh-CN"/>
              </w:rPr>
              <w:t>〔2023〕2号</w:t>
            </w:r>
            <w:r>
              <w:rPr>
                <w:rFonts w:hint="default"/>
                <w:color w:val="auto"/>
              </w:rPr>
              <w:t>文要求：全市电新能源</w:t>
            </w:r>
            <w:r>
              <w:rPr>
                <w:rFonts w:hint="eastAsia"/>
                <w:color w:val="auto"/>
                <w:lang w:eastAsia="zh-CN"/>
              </w:rPr>
              <w:t>（</w:t>
            </w:r>
            <w:r>
              <w:rPr>
                <w:rFonts w:hint="default"/>
                <w:color w:val="auto"/>
              </w:rPr>
              <w:t>含锂瓷矿开采、锂云母等含锂矿石选矿、碳酸锂等含锂化合物生产、锂冶炼剩余物等二次提锂加工、含锂卤水制取、锂电池正负极材料生产、锂电池及相关配件制造、废旧锂电池回收</w:t>
            </w:r>
            <w:r>
              <w:rPr>
                <w:rFonts w:hint="eastAsia"/>
                <w:color w:val="auto"/>
                <w:lang w:eastAsia="zh-CN"/>
              </w:rPr>
              <w:t>）</w:t>
            </w:r>
            <w:r>
              <w:rPr>
                <w:rFonts w:hint="default"/>
                <w:color w:val="auto"/>
              </w:rPr>
              <w:t>、铅酸蓄电池</w:t>
            </w:r>
            <w:r>
              <w:rPr>
                <w:rFonts w:hint="eastAsia"/>
                <w:color w:val="auto"/>
                <w:lang w:eastAsia="zh-CN"/>
              </w:rPr>
              <w:t>（</w:t>
            </w:r>
            <w:r>
              <w:rPr>
                <w:rFonts w:hint="default"/>
                <w:color w:val="auto"/>
              </w:rPr>
              <w:t>含铅酸蓄电池制造、废旧铅酸蓄电池收储、铅酸蓄电池拆解</w:t>
            </w:r>
            <w:r>
              <w:rPr>
                <w:rFonts w:hint="eastAsia"/>
                <w:color w:val="auto"/>
                <w:lang w:eastAsia="zh-CN"/>
              </w:rPr>
              <w:t>）</w:t>
            </w:r>
            <w:r>
              <w:rPr>
                <w:rFonts w:hint="default"/>
                <w:color w:val="auto"/>
              </w:rPr>
              <w:t>、有色金属冶炼和化工等重点行业领域存在的生态环境问题，按照《宜春市涉锂电主要行业生态环境监管标准</w:t>
            </w:r>
            <w:r>
              <w:rPr>
                <w:rFonts w:hint="eastAsia"/>
                <w:color w:val="auto"/>
                <w:lang w:eastAsia="zh-CN"/>
              </w:rPr>
              <w:t>（</w:t>
            </w:r>
            <w:r>
              <w:rPr>
                <w:rFonts w:hint="default"/>
                <w:color w:val="auto"/>
              </w:rPr>
              <w:t>试行</w:t>
            </w:r>
            <w:r>
              <w:rPr>
                <w:rFonts w:hint="eastAsia"/>
                <w:color w:val="auto"/>
                <w:lang w:eastAsia="zh-CN"/>
              </w:rPr>
              <w:t>）</w:t>
            </w:r>
            <w:r>
              <w:rPr>
                <w:rFonts w:hint="default"/>
                <w:color w:val="auto"/>
              </w:rPr>
              <w:t>》要求开展全面整治。对未进行氟化物和铊等特征污染物分析评价的环评，依法开展后评价，并重新申领排污许可证。</w:t>
            </w:r>
          </w:p>
          <w:p w14:paraId="6A102C59">
            <w:pPr>
              <w:keepNext w:val="0"/>
              <w:keepLines w:val="0"/>
              <w:suppressLineNumbers w:val="0"/>
              <w:bidi w:val="0"/>
              <w:spacing w:before="0" w:beforeAutospacing="0" w:after="0" w:afterAutospacing="0"/>
              <w:ind w:left="0" w:right="0"/>
              <w:rPr>
                <w:rFonts w:hint="default"/>
                <w:color w:val="auto"/>
              </w:rPr>
            </w:pPr>
            <w:r>
              <w:rPr>
                <w:rFonts w:hint="default"/>
                <w:color w:val="auto"/>
              </w:rPr>
              <w:t>本项目已对氟化物和铊等特征污染物分析评价，并要求建设单位安装氟化物和铊等污染物的在线监测。</w:t>
            </w:r>
          </w:p>
          <w:p w14:paraId="1727A4C1">
            <w:pPr>
              <w:keepNext w:val="0"/>
              <w:keepLines w:val="0"/>
              <w:numPr>
                <w:ilvl w:val="0"/>
                <w:numId w:val="7"/>
              </w:numPr>
              <w:suppressLineNumbers w:val="0"/>
              <w:bidi w:val="0"/>
              <w:spacing w:before="0" w:beforeAutospacing="0" w:after="0" w:afterAutospacing="0"/>
              <w:ind w:left="0" w:leftChars="0" w:right="0" w:firstLine="480" w:firstLineChars="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与《国家工业固体废物资源综合利用产品目录》相符性分析。</w:t>
            </w:r>
          </w:p>
          <w:p w14:paraId="3C555560">
            <w:pPr>
              <w:pStyle w:val="74"/>
              <w:keepNext w:val="0"/>
              <w:keepLines w:val="0"/>
              <w:suppressLineNumbers w:val="0"/>
              <w:spacing w:before="0" w:beforeAutospacing="0" w:after="0" w:afterAutospacing="0"/>
              <w:ind w:left="0" w:right="0"/>
              <w:rPr>
                <w:rFonts w:hint="eastAsia"/>
                <w:color w:val="auto"/>
                <w:lang w:val="en-US" w:eastAsia="zh-CN"/>
              </w:rPr>
            </w:pPr>
            <w:r>
              <w:rPr>
                <w:rFonts w:hint="eastAsia"/>
                <w:color w:val="auto"/>
                <w:lang w:val="en-US" w:eastAsia="zh-CN"/>
              </w:rPr>
              <w:t>本项目根据《国家工业固体废物资源综合利用产品目录》属于工业固体废物种类二、尾矿-2.5中的砖瓦、砌块、陶粒制品、板材、管材（管桩）、混凝土、砂浆、井盖、防火材料、耐火材料（镁铬砖除外）、保温材料、微晶材料、泡沫陶瓷，其中综合利用技术条件和要求；1.产品符合有《烧结普通砖》（GB/T 5101）、《轻集料混凝土小型空心砌块》（GB 15229）、《烧结保温砖和砌块》（GB 26538）、〈烧结空心砖和空心砌块》（GB/T 13545）、《普通混凝土小型砌块》（GB/T 8239）、《复合保温砖和复合保温砌块》（GB/T 29060）等；2.产品符合《建筑材料放射性核素限量》（GB 6566）。本项目属于《轻集料混凝土小型空心砌块》（GB 15229）且不涉及放射性物质符合标准。</w:t>
            </w:r>
          </w:p>
          <w:p w14:paraId="75D21D5D">
            <w:pPr>
              <w:keepNext w:val="0"/>
              <w:keepLines w:val="0"/>
              <w:numPr>
                <w:ilvl w:val="0"/>
                <w:numId w:val="7"/>
              </w:numPr>
              <w:suppressLineNumbers w:val="0"/>
              <w:bidi w:val="0"/>
              <w:spacing w:before="0" w:beforeAutospacing="0" w:after="0" w:afterAutospacing="0"/>
              <w:ind w:left="0" w:leftChars="0" w:right="0" w:firstLine="480" w:firstLineChars="0"/>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总平面布置合理性分析：</w:t>
            </w:r>
          </w:p>
          <w:p w14:paraId="6558FA2B">
            <w:pPr>
              <w:pStyle w:val="74"/>
              <w:keepNext w:val="0"/>
              <w:keepLines w:val="0"/>
              <w:suppressLineNumbers w:val="0"/>
              <w:spacing w:before="0" w:beforeAutospacing="0" w:after="0" w:afterAutospacing="0"/>
              <w:ind w:left="0" w:right="0"/>
              <w:rPr>
                <w:rFonts w:hint="default"/>
                <w:color w:val="auto"/>
                <w:lang w:val="en-US" w:eastAsia="zh-CN"/>
              </w:rPr>
            </w:pPr>
            <w:r>
              <w:rPr>
                <w:rFonts w:hint="eastAsia"/>
                <w:color w:val="auto"/>
                <w:lang w:val="en-US" w:eastAsia="zh-CN"/>
              </w:rPr>
              <w:t>项目位于高安市高新产业园江西省建筑陶瓷产业基地，租赁江西富利高陶瓷有限公司的厂房进行生产，项目自南到北为成品仓库、配电房、办公区、生产车间、原料仓，项目洗车区在厂区西侧旁边设有沉淀池，所租厂房办公区与生产区等分隔，功能分区明确。生产区域各环节连接紧凑，物料输送距离短，便于节能降耗，提高生产效率，并减轻厂区内主要生产设备噪声对厂区附近声</w:t>
            </w:r>
            <w:r>
              <w:rPr>
                <w:rFonts w:hint="eastAsia" w:ascii="Times New Roman" w:hAnsi="Times New Roman" w:eastAsia="宋体" w:cs="Times New Roman"/>
                <w:color w:val="auto"/>
                <w:lang w:val="en-US" w:eastAsia="zh-CN"/>
              </w:rPr>
              <w:t>环境的影响，通道两侧建筑物、构筑物及露天设施满足防火、安全与卫生间距的要求，项目平面布置满足</w:t>
            </w:r>
            <w:r>
              <w:rPr>
                <w:rFonts w:hint="default" w:ascii="Times New Roman" w:hAnsi="Times New Roman" w:eastAsia="宋体" w:cs="Times New Roman"/>
                <w:color w:val="auto"/>
                <w:lang w:val="en-US" w:eastAsia="zh-CN"/>
              </w:rPr>
              <w:t>《工业企业总平面设计规范》（GB 50187-2012）</w:t>
            </w:r>
            <w:r>
              <w:rPr>
                <w:rFonts w:hint="eastAsia" w:ascii="Times New Roman" w:hAnsi="Times New Roman" w:eastAsia="宋体" w:cs="Times New Roman"/>
                <w:color w:val="auto"/>
                <w:lang w:val="en-US" w:eastAsia="zh-CN"/>
              </w:rPr>
              <w:t>。从总体上讲，所租厂房功能区划分明确，各功能区平面布置亦充分考虑安全间距，避免相互影响，项目平面布置较为合理。</w:t>
            </w:r>
          </w:p>
        </w:tc>
      </w:tr>
    </w:tbl>
    <w:p w14:paraId="391B236B">
      <w:pPr>
        <w:spacing w:line="360" w:lineRule="auto"/>
        <w:outlineLvl w:val="0"/>
        <w:rPr>
          <w:rFonts w:eastAsia="黑体"/>
          <w:color w:val="auto"/>
          <w:sz w:val="30"/>
        </w:rPr>
        <w:sectPr>
          <w:footerReference r:id="rId6" w:type="default"/>
          <w:pgSz w:w="11906" w:h="16838"/>
          <w:pgMar w:top="1440" w:right="1800" w:bottom="1440" w:left="1800" w:header="851" w:footer="1077" w:gutter="0"/>
          <w:pgBorders w:offsetFrom="page">
            <w:top w:val="none" w:sz="0" w:space="0"/>
            <w:left w:val="none" w:sz="0" w:space="0"/>
            <w:bottom w:val="none" w:sz="0" w:space="0"/>
            <w:right w:val="none" w:sz="0" w:space="0"/>
          </w:pgBorders>
          <w:pgNumType w:start="1"/>
          <w:cols w:space="720" w:num="1"/>
          <w:docGrid w:linePitch="312" w:charSpace="0"/>
        </w:sectPr>
      </w:pPr>
    </w:p>
    <w:p w14:paraId="08F05BF7">
      <w:pPr>
        <w:pStyle w:val="24"/>
        <w:numPr>
          <w:ilvl w:val="0"/>
          <w:numId w:val="0"/>
        </w:numPr>
        <w:ind w:firstLine="600" w:firstLineChars="200"/>
        <w:jc w:val="center"/>
        <w:outlineLvl w:val="0"/>
        <w:rPr>
          <w:rFonts w:hint="eastAsia" w:ascii="黑体" w:hAnsi="黑体" w:eastAsia="黑体" w:cs="Times New Roman"/>
          <w:snapToGrid w:val="0"/>
          <w:color w:val="auto"/>
          <w:sz w:val="30"/>
          <w:szCs w:val="30"/>
        </w:rPr>
      </w:pPr>
      <w:bookmarkStart w:id="3" w:name="_Toc16076"/>
      <w:r>
        <w:rPr>
          <w:rFonts w:hint="eastAsia" w:ascii="黑体" w:hAnsi="黑体" w:eastAsia="黑体" w:cs="Times New Roman"/>
          <w:snapToGrid w:val="0"/>
          <w:color w:val="auto"/>
          <w:kern w:val="0"/>
          <w:sz w:val="30"/>
          <w:szCs w:val="30"/>
          <w:lang w:val="en-US" w:eastAsia="zh-CN" w:bidi="ar-SA"/>
        </w:rPr>
        <w:t>二、</w:t>
      </w:r>
      <w:r>
        <w:rPr>
          <w:rFonts w:hint="eastAsia" w:ascii="黑体" w:hAnsi="黑体" w:eastAsia="黑体" w:cs="Times New Roman"/>
          <w:snapToGrid w:val="0"/>
          <w:color w:val="auto"/>
          <w:sz w:val="30"/>
          <w:szCs w:val="30"/>
        </w:rPr>
        <w:t>建设项目工程分析</w:t>
      </w:r>
      <w:bookmarkEnd w:id="3"/>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
        <w:gridCol w:w="8075"/>
      </w:tblGrid>
      <w:tr w14:paraId="4EF91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1" w:hRule="atLeast"/>
        </w:trPr>
        <w:tc>
          <w:tcPr>
            <w:tcW w:w="447" w:type="dxa"/>
            <w:vAlign w:val="center"/>
          </w:tcPr>
          <w:p w14:paraId="198C6616">
            <w:pPr>
              <w:pStyle w:val="24"/>
              <w:keepNext w:val="0"/>
              <w:keepLines w:val="0"/>
              <w:numPr>
                <w:ilvl w:val="0"/>
                <w:numId w:val="0"/>
              </w:numPr>
              <w:suppressLineNumbers w:val="0"/>
              <w:ind w:left="0" w:right="0"/>
              <w:jc w:val="center"/>
              <w:outlineLvl w:val="9"/>
              <w:rPr>
                <w:rFonts w:hint="eastAsia" w:ascii="宋体" w:hAnsi="宋体" w:eastAsia="宋体" w:cs="宋体"/>
                <w:snapToGrid w:val="0"/>
                <w:color w:val="auto"/>
                <w:sz w:val="24"/>
                <w:szCs w:val="24"/>
                <w:vertAlign w:val="baseline"/>
                <w:lang w:val="en-US" w:eastAsia="zh-CN"/>
              </w:rPr>
            </w:pPr>
            <w:r>
              <w:rPr>
                <w:rFonts w:hint="eastAsia" w:ascii="宋体" w:hAnsi="宋体" w:eastAsia="宋体" w:cs="宋体"/>
                <w:snapToGrid w:val="0"/>
                <w:color w:val="auto"/>
                <w:sz w:val="24"/>
                <w:szCs w:val="24"/>
                <w:vertAlign w:val="baseline"/>
                <w:lang w:val="en-US" w:eastAsia="zh-CN"/>
              </w:rPr>
              <w:t>建设内容</w:t>
            </w:r>
          </w:p>
          <w:p w14:paraId="390DED35">
            <w:pPr>
              <w:pStyle w:val="24"/>
              <w:keepNext w:val="0"/>
              <w:keepLines w:val="0"/>
              <w:numPr>
                <w:ilvl w:val="0"/>
                <w:numId w:val="0"/>
              </w:numPr>
              <w:suppressLineNumbers w:val="0"/>
              <w:ind w:left="0" w:right="0"/>
              <w:jc w:val="center"/>
              <w:outlineLvl w:val="0"/>
              <w:rPr>
                <w:rFonts w:hint="eastAsia" w:ascii="宋体" w:hAnsi="宋体" w:eastAsia="宋体" w:cs="宋体"/>
                <w:snapToGrid w:val="0"/>
                <w:color w:val="auto"/>
                <w:sz w:val="24"/>
                <w:szCs w:val="24"/>
                <w:vertAlign w:val="baseline"/>
              </w:rPr>
            </w:pPr>
          </w:p>
        </w:tc>
        <w:tc>
          <w:tcPr>
            <w:tcW w:w="8075" w:type="dxa"/>
            <w:vAlign w:val="top"/>
          </w:tcPr>
          <w:p w14:paraId="235E9AAC">
            <w:pPr>
              <w:keepNext w:val="0"/>
              <w:keepLines w:val="0"/>
              <w:pageBreakBefore/>
              <w:widowControl/>
              <w:numPr>
                <w:ilvl w:val="0"/>
                <w:numId w:val="0"/>
              </w:numPr>
              <w:suppressLineNumbers w:val="0"/>
              <w:spacing w:before="0" w:beforeLines="0" w:beforeAutospacing="0" w:after="0" w:afterLines="0" w:afterAutospacing="0"/>
              <w:ind w:left="0" w:right="0" w:firstLine="482"/>
              <w:rPr>
                <w:rFonts w:hint="eastAsia"/>
                <w:b/>
                <w:color w:val="auto"/>
                <w:sz w:val="24"/>
                <w:szCs w:val="24"/>
              </w:rPr>
            </w:pPr>
            <w:r>
              <w:rPr>
                <w:rFonts w:hint="eastAsia"/>
                <w:b/>
                <w:color w:val="auto"/>
                <w:sz w:val="24"/>
                <w:szCs w:val="24"/>
              </w:rPr>
              <w:t>1、项目由来</w:t>
            </w:r>
          </w:p>
          <w:p w14:paraId="6B316A92">
            <w:pPr>
              <w:keepNext w:val="0"/>
              <w:keepLines w:val="0"/>
              <w:pageBreakBefore/>
              <w:widowControl/>
              <w:suppressLineNumbers w:val="0"/>
              <w:spacing w:before="0" w:beforeLines="0" w:beforeAutospacing="0" w:after="0" w:afterLines="0" w:afterAutospacing="0"/>
              <w:ind w:left="0" w:right="0"/>
              <w:rPr>
                <w:rFonts w:hint="default" w:eastAsia="宋体"/>
                <w:color w:val="auto"/>
                <w:sz w:val="24"/>
                <w:szCs w:val="24"/>
                <w:lang w:val="en-US" w:eastAsia="zh-CN"/>
              </w:rPr>
            </w:pPr>
            <w:r>
              <w:rPr>
                <w:rFonts w:hint="eastAsia"/>
                <w:color w:val="auto"/>
                <w:sz w:val="24"/>
                <w:szCs w:val="24"/>
                <w:lang w:val="en-US" w:eastAsia="zh-CN"/>
              </w:rPr>
              <w:t>江西中源再生资源利用有限公司，于2024年12月委托编制了《江西中源再生资源利用有限公司一般工业固废再生利用建设项目环境影响报告表》，并于2025年3月10日通过了宜春市高安生态环境局审批（文号为高环评字〔2025〕10号）。</w:t>
            </w:r>
          </w:p>
          <w:p w14:paraId="50EEF1AD">
            <w:pPr>
              <w:keepNext w:val="0"/>
              <w:keepLines w:val="0"/>
              <w:pageBreakBefore/>
              <w:widowControl/>
              <w:suppressLineNumbers w:val="0"/>
              <w:spacing w:before="0" w:beforeLines="0" w:beforeAutospacing="0" w:after="0" w:afterLines="0" w:afterAutospacing="0"/>
              <w:ind w:left="0" w:right="0"/>
              <w:rPr>
                <w:rFonts w:hint="eastAsia"/>
                <w:color w:val="auto"/>
                <w:sz w:val="24"/>
                <w:szCs w:val="24"/>
                <w:lang w:val="en-US" w:eastAsia="zh-CN"/>
              </w:rPr>
            </w:pPr>
            <w:r>
              <w:rPr>
                <w:rFonts w:hint="eastAsia"/>
                <w:color w:val="auto"/>
                <w:sz w:val="24"/>
                <w:szCs w:val="24"/>
                <w:lang w:val="en-US" w:eastAsia="zh-CN"/>
              </w:rPr>
              <w:t>本项目的建设对于高安市解决紧迫的锂渣处理难题具有多方面的积极意义。首先，它直接响应了高安市作为工业重镇对于加强一般工业固体废弃物综合利用的重点工作方向。项目通过将锂渣资源化制砖，为本地大量堆积的锂冶炼剩余物提供了一个“变废为宝”的可行出口，有助于实现锂电产业绿色循环发展。其次，本项目符合高安现有的产业转型路径。高安已有多家陶瓷企业利用闲置生产线技术改造，转产锂渣综合回收利用项目，并有专门从事锂渣制水泥制品（如六角块、实心砖）的项目获得批准，这表明技术路线和商业模式在当地已得到验证与推行。本项目的加入能进一步扩大处理规模，形成产业协同效应。最后，项目的实施能带来显著的环境与经济效益。它直接促进固体废物的减量化和资源化，缓解环境压力；同时，扎根于本地主导产业的需求，项目能创造新的经济增长点，并有望享受到当地政府为扶持产业发展而出台的各项惠企政策。</w:t>
            </w:r>
          </w:p>
          <w:p w14:paraId="369C260F">
            <w:pPr>
              <w:keepNext w:val="0"/>
              <w:keepLines w:val="0"/>
              <w:pageBreakBefore/>
              <w:widowControl/>
              <w:suppressLineNumbers w:val="0"/>
              <w:spacing w:before="0" w:beforeLines="0" w:beforeAutospacing="0" w:after="0" w:afterLines="0" w:afterAutospacing="0"/>
              <w:ind w:left="0" w:right="0"/>
              <w:rPr>
                <w:rFonts w:hint="default" w:eastAsia="宋体"/>
                <w:color w:val="auto"/>
                <w:sz w:val="24"/>
                <w:szCs w:val="24"/>
                <w:lang w:val="en-US" w:eastAsia="zh-CN"/>
              </w:rPr>
            </w:pPr>
            <w:r>
              <w:rPr>
                <w:rFonts w:hint="eastAsia"/>
                <w:color w:val="auto"/>
                <w:sz w:val="24"/>
                <w:szCs w:val="24"/>
                <w:lang w:val="en-US" w:eastAsia="zh-CN"/>
              </w:rPr>
              <w:t>江西中源再生资源利用有限公司计划调整生产所需原料，产品产量及生产工艺不发生改变，主要调整如下：采用28万吨锂渣，替代原有的8万吨脱硫石膏、10万吨破陶瓷抛光泥及10万吨建筑废料（小计28万吨）。</w:t>
            </w:r>
          </w:p>
          <w:p w14:paraId="279440D6">
            <w:pPr>
              <w:keepNext w:val="0"/>
              <w:keepLines w:val="0"/>
              <w:pageBreakBefore/>
              <w:widowControl/>
              <w:suppressLineNumbers w:val="0"/>
              <w:spacing w:before="0" w:beforeLines="0" w:beforeAutospacing="0" w:after="0" w:afterLines="0" w:afterAutospacing="0"/>
              <w:ind w:left="0" w:right="0"/>
              <w:rPr>
                <w:rFonts w:hint="eastAsia"/>
                <w:color w:val="auto"/>
                <w:sz w:val="24"/>
                <w:szCs w:val="24"/>
                <w:lang w:val="en-US" w:eastAsia="zh-CN"/>
              </w:rPr>
            </w:pPr>
            <w:r>
              <w:rPr>
                <w:rFonts w:hint="eastAsia"/>
                <w:color w:val="auto"/>
                <w:sz w:val="24"/>
                <w:szCs w:val="24"/>
                <w:lang w:val="en-US" w:eastAsia="zh-CN"/>
              </w:rPr>
              <w:t>对照中华人民共和国生态环境部办公厅关于印发《污染影响类建设项目重大变动清单（试行）》的通知（环办环评函〔2020〕688号），判别本项目变更内容是否属于重大变动情况见下表：</w:t>
            </w:r>
          </w:p>
          <w:p w14:paraId="0ADCD58E">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default"/>
                <w:b/>
                <w:bCs/>
                <w:color w:val="auto"/>
                <w:sz w:val="24"/>
                <w:szCs w:val="24"/>
                <w:lang w:val="en-US" w:eastAsia="zh-CN"/>
              </w:rPr>
            </w:pPr>
            <w:r>
              <w:rPr>
                <w:rFonts w:hint="eastAsia"/>
                <w:b/>
                <w:bCs/>
                <w:color w:val="auto"/>
                <w:sz w:val="24"/>
                <w:szCs w:val="24"/>
                <w:lang w:val="en-US" w:eastAsia="zh-CN"/>
              </w:rPr>
              <w:t>项目重大变动判定</w:t>
            </w: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4151"/>
              <w:gridCol w:w="1971"/>
              <w:gridCol w:w="1009"/>
            </w:tblGrid>
            <w:tr w14:paraId="12B53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3" w:type="dxa"/>
                  <w:tcBorders>
                    <w:tl2br w:val="nil"/>
                    <w:tr2bl w:val="nil"/>
                  </w:tcBorders>
                  <w:noWrap w:val="0"/>
                  <w:vAlign w:val="center"/>
                </w:tcPr>
                <w:p w14:paraId="213236D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序号</w:t>
                  </w:r>
                </w:p>
              </w:tc>
              <w:tc>
                <w:tcPr>
                  <w:tcW w:w="4120" w:type="dxa"/>
                  <w:tcBorders>
                    <w:tl2br w:val="nil"/>
                    <w:tr2bl w:val="nil"/>
                  </w:tcBorders>
                  <w:noWrap w:val="0"/>
                  <w:vAlign w:val="center"/>
                </w:tcPr>
                <w:p w14:paraId="36041D7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重大变动情形</w:t>
                  </w:r>
                </w:p>
              </w:tc>
              <w:tc>
                <w:tcPr>
                  <w:tcW w:w="1956" w:type="dxa"/>
                  <w:tcBorders>
                    <w:tl2br w:val="nil"/>
                    <w:tr2bl w:val="nil"/>
                  </w:tcBorders>
                  <w:noWrap w:val="0"/>
                  <w:vAlign w:val="center"/>
                </w:tcPr>
                <w:p w14:paraId="4CB74A2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项目情况</w:t>
                  </w:r>
                </w:p>
              </w:tc>
              <w:tc>
                <w:tcPr>
                  <w:tcW w:w="1002" w:type="dxa"/>
                  <w:tcBorders>
                    <w:tl2br w:val="nil"/>
                    <w:tr2bl w:val="nil"/>
                  </w:tcBorders>
                  <w:noWrap w:val="0"/>
                  <w:vAlign w:val="center"/>
                </w:tcPr>
                <w:p w14:paraId="52126D5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是否重大变更</w:t>
                  </w:r>
                </w:p>
              </w:tc>
            </w:tr>
            <w:tr w14:paraId="5856B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3" w:type="dxa"/>
                  <w:tcBorders>
                    <w:tl2br w:val="nil"/>
                    <w:tr2bl w:val="nil"/>
                  </w:tcBorders>
                  <w:noWrap w:val="0"/>
                  <w:vAlign w:val="center"/>
                </w:tcPr>
                <w:p w14:paraId="2BA27D0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1</w:t>
                  </w:r>
                </w:p>
              </w:tc>
              <w:tc>
                <w:tcPr>
                  <w:tcW w:w="4120" w:type="dxa"/>
                  <w:tcBorders>
                    <w:tl2br w:val="nil"/>
                    <w:tr2bl w:val="nil"/>
                  </w:tcBorders>
                  <w:noWrap w:val="0"/>
                  <w:vAlign w:val="center"/>
                </w:tcPr>
                <w:p w14:paraId="06F4A1E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建设项目开发，使用功能发生变化的</w:t>
                  </w:r>
                </w:p>
              </w:tc>
              <w:tc>
                <w:tcPr>
                  <w:tcW w:w="1956" w:type="dxa"/>
                  <w:tcBorders>
                    <w:tl2br w:val="nil"/>
                    <w:tr2bl w:val="nil"/>
                  </w:tcBorders>
                  <w:noWrap w:val="0"/>
                  <w:vAlign w:val="center"/>
                </w:tcPr>
                <w:p w14:paraId="0D8A4E3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项目开发，使用功能未发生变化</w:t>
                  </w:r>
                  <w:r>
                    <w:rPr>
                      <w:rFonts w:hint="eastAsia" w:cs="Times New Roman"/>
                      <w:color w:val="auto"/>
                      <w:kern w:val="0"/>
                      <w:sz w:val="21"/>
                      <w:szCs w:val="21"/>
                      <w:lang w:val="en-US" w:eastAsia="zh-CN"/>
                    </w:rPr>
                    <w:t>。</w:t>
                  </w:r>
                </w:p>
              </w:tc>
              <w:tc>
                <w:tcPr>
                  <w:tcW w:w="1002" w:type="dxa"/>
                  <w:tcBorders>
                    <w:tl2br w:val="nil"/>
                    <w:tr2bl w:val="nil"/>
                  </w:tcBorders>
                  <w:noWrap w:val="0"/>
                  <w:vAlign w:val="center"/>
                </w:tcPr>
                <w:p w14:paraId="0795F4A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非重大变动</w:t>
                  </w:r>
                </w:p>
              </w:tc>
            </w:tr>
            <w:tr w14:paraId="1FF2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3" w:type="dxa"/>
                  <w:tcBorders>
                    <w:tl2br w:val="nil"/>
                    <w:tr2bl w:val="nil"/>
                  </w:tcBorders>
                  <w:noWrap w:val="0"/>
                  <w:vAlign w:val="center"/>
                </w:tcPr>
                <w:p w14:paraId="38A8CFF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2</w:t>
                  </w:r>
                </w:p>
              </w:tc>
              <w:tc>
                <w:tcPr>
                  <w:tcW w:w="4120" w:type="dxa"/>
                  <w:tcBorders>
                    <w:tl2br w:val="nil"/>
                    <w:tr2bl w:val="nil"/>
                  </w:tcBorders>
                  <w:noWrap w:val="0"/>
                  <w:vAlign w:val="center"/>
                </w:tcPr>
                <w:p w14:paraId="4456BBD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生产、处置或储存能力增大30%及以上的</w:t>
                  </w:r>
                </w:p>
              </w:tc>
              <w:tc>
                <w:tcPr>
                  <w:tcW w:w="1956" w:type="dxa"/>
                  <w:tcBorders>
                    <w:tl2br w:val="nil"/>
                    <w:tr2bl w:val="nil"/>
                  </w:tcBorders>
                  <w:noWrap w:val="0"/>
                  <w:vAlign w:val="center"/>
                </w:tcPr>
                <w:p w14:paraId="62E80B3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生产、处置、储存能力未发生变化</w:t>
                  </w:r>
                  <w:r>
                    <w:rPr>
                      <w:rFonts w:hint="eastAsia" w:cs="Times New Roman"/>
                      <w:color w:val="auto"/>
                      <w:kern w:val="0"/>
                      <w:sz w:val="21"/>
                      <w:szCs w:val="21"/>
                      <w:lang w:val="en-US" w:eastAsia="zh-CN"/>
                    </w:rPr>
                    <w:t>。</w:t>
                  </w:r>
                </w:p>
              </w:tc>
              <w:tc>
                <w:tcPr>
                  <w:tcW w:w="1002" w:type="dxa"/>
                  <w:tcBorders>
                    <w:tl2br w:val="nil"/>
                    <w:tr2bl w:val="nil"/>
                  </w:tcBorders>
                  <w:noWrap w:val="0"/>
                  <w:vAlign w:val="center"/>
                </w:tcPr>
                <w:p w14:paraId="0921633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非重大变动</w:t>
                  </w:r>
                </w:p>
              </w:tc>
            </w:tr>
            <w:tr w14:paraId="0E99B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3" w:type="dxa"/>
                  <w:tcBorders>
                    <w:tl2br w:val="nil"/>
                    <w:tr2bl w:val="nil"/>
                  </w:tcBorders>
                  <w:noWrap w:val="0"/>
                  <w:vAlign w:val="center"/>
                </w:tcPr>
                <w:p w14:paraId="2A43E8A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3</w:t>
                  </w:r>
                </w:p>
              </w:tc>
              <w:tc>
                <w:tcPr>
                  <w:tcW w:w="4120" w:type="dxa"/>
                  <w:tcBorders>
                    <w:tl2br w:val="nil"/>
                    <w:tr2bl w:val="nil"/>
                  </w:tcBorders>
                  <w:noWrap w:val="0"/>
                  <w:vAlign w:val="center"/>
                </w:tcPr>
                <w:p w14:paraId="64FD0E0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生产、处置或储存能力增大，导致废水第一类污染物排放量增加的</w:t>
                  </w:r>
                </w:p>
              </w:tc>
              <w:tc>
                <w:tcPr>
                  <w:tcW w:w="1956" w:type="dxa"/>
                  <w:tcBorders>
                    <w:tl2br w:val="nil"/>
                    <w:tr2bl w:val="nil"/>
                  </w:tcBorders>
                  <w:noWrap w:val="0"/>
                  <w:vAlign w:val="center"/>
                </w:tcPr>
                <w:p w14:paraId="3F2B18C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项目废水排放量不增加</w:t>
                  </w:r>
                  <w:r>
                    <w:rPr>
                      <w:rFonts w:hint="eastAsia" w:cs="Times New Roman"/>
                      <w:color w:val="auto"/>
                      <w:kern w:val="0"/>
                      <w:sz w:val="21"/>
                      <w:szCs w:val="21"/>
                      <w:lang w:val="en-US" w:eastAsia="zh-CN"/>
                    </w:rPr>
                    <w:t>。</w:t>
                  </w:r>
                </w:p>
              </w:tc>
              <w:tc>
                <w:tcPr>
                  <w:tcW w:w="1002" w:type="dxa"/>
                  <w:tcBorders>
                    <w:tl2br w:val="nil"/>
                    <w:tr2bl w:val="nil"/>
                  </w:tcBorders>
                  <w:noWrap w:val="0"/>
                  <w:vAlign w:val="center"/>
                </w:tcPr>
                <w:p w14:paraId="2591843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非重大变动</w:t>
                  </w:r>
                </w:p>
              </w:tc>
            </w:tr>
            <w:tr w14:paraId="673A5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3" w:type="dxa"/>
                  <w:tcBorders>
                    <w:tl2br w:val="nil"/>
                    <w:tr2bl w:val="nil"/>
                  </w:tcBorders>
                  <w:noWrap w:val="0"/>
                  <w:vAlign w:val="center"/>
                </w:tcPr>
                <w:p w14:paraId="05E1E2C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w:t>
                  </w:r>
                </w:p>
              </w:tc>
              <w:tc>
                <w:tcPr>
                  <w:tcW w:w="4120" w:type="dxa"/>
                  <w:tcBorders>
                    <w:tl2br w:val="nil"/>
                    <w:tr2bl w:val="nil"/>
                  </w:tcBorders>
                  <w:noWrap w:val="0"/>
                  <w:vAlign w:val="center"/>
                </w:tcPr>
                <w:p w14:paraId="39D735B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位于环境质量不达标区的建设项目生产、处置或储存能力增大，导致相应污染物排放量增加的（细颗粒物不达标区，相应污染物为二氧化硫、氮氧化物、可吸入颗粒物、颗粒物；臭氧不达标区，相应污染物为氮氧化物、颗粒物；其他大气、水污染物因子不达标区，相应污染物为超标污染因子）；位于达标区的建设项目生产、处置或储存能力增大，导致污染物排放量增加10%及以上的</w:t>
                  </w:r>
                </w:p>
              </w:tc>
              <w:tc>
                <w:tcPr>
                  <w:tcW w:w="1956" w:type="dxa"/>
                  <w:tcBorders>
                    <w:tl2br w:val="nil"/>
                    <w:tr2bl w:val="nil"/>
                  </w:tcBorders>
                  <w:noWrap w:val="0"/>
                  <w:vAlign w:val="center"/>
                </w:tcPr>
                <w:p w14:paraId="2A5D821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项目储存能力未增大；由于增加的锂渣需要破碎导致颗粒物排放量增加10%及以上。</w:t>
                  </w:r>
                </w:p>
              </w:tc>
              <w:tc>
                <w:tcPr>
                  <w:tcW w:w="1002" w:type="dxa"/>
                  <w:tcBorders>
                    <w:tl2br w:val="nil"/>
                    <w:tr2bl w:val="nil"/>
                  </w:tcBorders>
                  <w:noWrap w:val="0"/>
                  <w:vAlign w:val="center"/>
                </w:tcPr>
                <w:p w14:paraId="486ED52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重大变动</w:t>
                  </w:r>
                </w:p>
              </w:tc>
            </w:tr>
            <w:tr w14:paraId="0FC63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3" w:type="dxa"/>
                  <w:tcBorders>
                    <w:tl2br w:val="nil"/>
                    <w:tr2bl w:val="nil"/>
                  </w:tcBorders>
                  <w:noWrap w:val="0"/>
                  <w:vAlign w:val="center"/>
                </w:tcPr>
                <w:p w14:paraId="229292B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5</w:t>
                  </w:r>
                </w:p>
              </w:tc>
              <w:tc>
                <w:tcPr>
                  <w:tcW w:w="4120" w:type="dxa"/>
                  <w:tcBorders>
                    <w:tl2br w:val="nil"/>
                    <w:tr2bl w:val="nil"/>
                  </w:tcBorders>
                  <w:noWrap w:val="0"/>
                  <w:vAlign w:val="center"/>
                </w:tcPr>
                <w:p w14:paraId="62AEEC0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重新选址；在原厂址附近调整（包括总平面布置变化）导致环境防护距离范围变化且新增敏感点的</w:t>
                  </w:r>
                </w:p>
              </w:tc>
              <w:tc>
                <w:tcPr>
                  <w:tcW w:w="1956" w:type="dxa"/>
                  <w:tcBorders>
                    <w:tl2br w:val="nil"/>
                    <w:tr2bl w:val="nil"/>
                  </w:tcBorders>
                  <w:noWrap w:val="0"/>
                  <w:vAlign w:val="center"/>
                </w:tcPr>
                <w:p w14:paraId="5F72306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项目选址及总平面布置未发生变化，环境防护距离范围内无新增敏感点</w:t>
                  </w:r>
                  <w:r>
                    <w:rPr>
                      <w:rFonts w:hint="eastAsia" w:cs="Times New Roman"/>
                      <w:color w:val="auto"/>
                      <w:kern w:val="0"/>
                      <w:sz w:val="21"/>
                      <w:szCs w:val="21"/>
                      <w:lang w:val="en-US" w:eastAsia="zh-CN"/>
                    </w:rPr>
                    <w:t>。</w:t>
                  </w:r>
                </w:p>
              </w:tc>
              <w:tc>
                <w:tcPr>
                  <w:tcW w:w="1002" w:type="dxa"/>
                  <w:tcBorders>
                    <w:tl2br w:val="nil"/>
                    <w:tr2bl w:val="nil"/>
                  </w:tcBorders>
                  <w:noWrap w:val="0"/>
                  <w:vAlign w:val="center"/>
                </w:tcPr>
                <w:p w14:paraId="46DB627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非重大变动</w:t>
                  </w:r>
                </w:p>
              </w:tc>
            </w:tr>
            <w:tr w14:paraId="0E164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3" w:type="dxa"/>
                  <w:tcBorders>
                    <w:tl2br w:val="nil"/>
                    <w:tr2bl w:val="nil"/>
                  </w:tcBorders>
                  <w:noWrap w:val="0"/>
                  <w:vAlign w:val="center"/>
                </w:tcPr>
                <w:p w14:paraId="06929C1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6</w:t>
                  </w:r>
                </w:p>
              </w:tc>
              <w:tc>
                <w:tcPr>
                  <w:tcW w:w="4120" w:type="dxa"/>
                  <w:tcBorders>
                    <w:tl2br w:val="nil"/>
                    <w:tr2bl w:val="nil"/>
                  </w:tcBorders>
                  <w:noWrap w:val="0"/>
                  <w:vAlign w:val="center"/>
                </w:tcPr>
                <w:p w14:paraId="79CAA9F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新增产品品种或生产工艺（含主要生产装置、设备及配套设施）、主要原辅材料、燃料变化，导致以下情形之一：</w:t>
                  </w:r>
                </w:p>
                <w:p w14:paraId="2C63DE6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（1）新增排放污染物种类的（毒性、挥发性降低的除外）；</w:t>
                  </w:r>
                </w:p>
                <w:p w14:paraId="0F10BC6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（2）位于环境质量不达标区的建设项目相应污染物排放量增加的；</w:t>
                  </w:r>
                </w:p>
                <w:p w14:paraId="0F277A1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(3) 废水第一类污染物排放量增加的；</w:t>
                  </w:r>
                </w:p>
                <w:p w14:paraId="34EDB2E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 其他污染物排放量增加10%及以上的</w:t>
                  </w:r>
                </w:p>
              </w:tc>
              <w:tc>
                <w:tcPr>
                  <w:tcW w:w="1956" w:type="dxa"/>
                  <w:tcBorders>
                    <w:tl2br w:val="nil"/>
                    <w:tr2bl w:val="nil"/>
                  </w:tcBorders>
                  <w:noWrap w:val="0"/>
                  <w:vAlign w:val="center"/>
                </w:tcPr>
                <w:p w14:paraId="78C3C0E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项目产品与生产工艺均未发生变化，但原料产生了变化，新增了锂渣，导致新增排放污染物</w:t>
                  </w:r>
                  <w:r>
                    <w:rPr>
                      <w:rFonts w:hint="eastAsia" w:cs="Times New Roman"/>
                      <w:color w:val="auto"/>
                      <w:kern w:val="0"/>
                      <w:sz w:val="21"/>
                      <w:szCs w:val="21"/>
                      <w:lang w:val="en-US" w:eastAsia="zh-CN"/>
                    </w:rPr>
                    <w:t>氟化物。</w:t>
                  </w:r>
                </w:p>
              </w:tc>
              <w:tc>
                <w:tcPr>
                  <w:tcW w:w="1002" w:type="dxa"/>
                  <w:tcBorders>
                    <w:tl2br w:val="nil"/>
                    <w:tr2bl w:val="nil"/>
                  </w:tcBorders>
                  <w:noWrap w:val="0"/>
                  <w:vAlign w:val="center"/>
                </w:tcPr>
                <w:p w14:paraId="090821B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重大变动</w:t>
                  </w:r>
                </w:p>
              </w:tc>
            </w:tr>
            <w:tr w14:paraId="18192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3" w:type="dxa"/>
                  <w:tcBorders>
                    <w:tl2br w:val="nil"/>
                    <w:tr2bl w:val="nil"/>
                  </w:tcBorders>
                  <w:noWrap w:val="0"/>
                  <w:vAlign w:val="center"/>
                </w:tcPr>
                <w:p w14:paraId="681E199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7</w:t>
                  </w:r>
                </w:p>
              </w:tc>
              <w:tc>
                <w:tcPr>
                  <w:tcW w:w="4120" w:type="dxa"/>
                  <w:tcBorders>
                    <w:tl2br w:val="nil"/>
                    <w:tr2bl w:val="nil"/>
                  </w:tcBorders>
                  <w:noWrap w:val="0"/>
                  <w:vAlign w:val="center"/>
                </w:tcPr>
                <w:p w14:paraId="115674C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物料运输、装卸、贮存方式变化，导致大气污染物无组织排放量增加10%及以上的</w:t>
                  </w:r>
                </w:p>
              </w:tc>
              <w:tc>
                <w:tcPr>
                  <w:tcW w:w="1956" w:type="dxa"/>
                  <w:tcBorders>
                    <w:tl2br w:val="nil"/>
                    <w:tr2bl w:val="nil"/>
                  </w:tcBorders>
                  <w:noWrap w:val="0"/>
                  <w:vAlign w:val="center"/>
                </w:tcPr>
                <w:p w14:paraId="4A9FAE5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项目物料运输、装卸、贮存方式</w:t>
                  </w:r>
                  <w:r>
                    <w:rPr>
                      <w:rFonts w:hint="eastAsia" w:cs="Times New Roman"/>
                      <w:color w:val="auto"/>
                      <w:kern w:val="0"/>
                      <w:sz w:val="21"/>
                      <w:szCs w:val="21"/>
                      <w:lang w:val="en-US" w:eastAsia="zh-CN"/>
                    </w:rPr>
                    <w:t>不</w:t>
                  </w:r>
                  <w:r>
                    <w:rPr>
                      <w:rFonts w:hint="eastAsia" w:ascii="Times New Roman" w:hAnsi="Times New Roman" w:eastAsia="宋体" w:cs="Times New Roman"/>
                      <w:color w:val="auto"/>
                      <w:kern w:val="0"/>
                      <w:sz w:val="21"/>
                      <w:szCs w:val="21"/>
                      <w:lang w:val="en-US" w:eastAsia="zh-CN"/>
                    </w:rPr>
                    <w:t>发生变化</w:t>
                  </w:r>
                  <w:r>
                    <w:rPr>
                      <w:rFonts w:hint="eastAsia" w:cs="Times New Roman"/>
                      <w:color w:val="auto"/>
                      <w:kern w:val="0"/>
                      <w:sz w:val="21"/>
                      <w:szCs w:val="21"/>
                      <w:lang w:val="en-US" w:eastAsia="zh-CN"/>
                    </w:rPr>
                    <w:t>。</w:t>
                  </w:r>
                </w:p>
              </w:tc>
              <w:tc>
                <w:tcPr>
                  <w:tcW w:w="1002" w:type="dxa"/>
                  <w:tcBorders>
                    <w:tl2br w:val="nil"/>
                    <w:tr2bl w:val="nil"/>
                  </w:tcBorders>
                  <w:noWrap w:val="0"/>
                  <w:vAlign w:val="center"/>
                </w:tcPr>
                <w:p w14:paraId="54EF1A1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非重大变动</w:t>
                  </w:r>
                </w:p>
              </w:tc>
            </w:tr>
            <w:tr w14:paraId="65A68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3" w:type="dxa"/>
                  <w:tcBorders>
                    <w:tl2br w:val="nil"/>
                    <w:tr2bl w:val="nil"/>
                  </w:tcBorders>
                  <w:noWrap w:val="0"/>
                  <w:vAlign w:val="center"/>
                </w:tcPr>
                <w:p w14:paraId="714190D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8</w:t>
                  </w:r>
                </w:p>
              </w:tc>
              <w:tc>
                <w:tcPr>
                  <w:tcW w:w="4120" w:type="dxa"/>
                  <w:tcBorders>
                    <w:tl2br w:val="nil"/>
                    <w:tr2bl w:val="nil"/>
                  </w:tcBorders>
                  <w:noWrap w:val="0"/>
                  <w:vAlign w:val="center"/>
                </w:tcPr>
                <w:p w14:paraId="71C05A4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废气、废水污染防治措施变化，导致第6条中所列情形之一（废气无组织排放改为有组织排放、污染防治措施强化或改进的除外）或大气污染物无组织排放量增加10%及以上的</w:t>
                  </w:r>
                </w:p>
              </w:tc>
              <w:tc>
                <w:tcPr>
                  <w:tcW w:w="1956" w:type="dxa"/>
                  <w:tcBorders>
                    <w:tl2br w:val="nil"/>
                    <w:tr2bl w:val="nil"/>
                  </w:tcBorders>
                  <w:noWrap w:val="0"/>
                  <w:vAlign w:val="center"/>
                </w:tcPr>
                <w:p w14:paraId="3400F05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水泥筒粉尘由有组织排放改为经过自带除尘器处理后无组织排放。</w:t>
                  </w:r>
                </w:p>
              </w:tc>
              <w:tc>
                <w:tcPr>
                  <w:tcW w:w="1002" w:type="dxa"/>
                  <w:tcBorders>
                    <w:tl2br w:val="nil"/>
                    <w:tr2bl w:val="nil"/>
                  </w:tcBorders>
                  <w:noWrap w:val="0"/>
                  <w:vAlign w:val="center"/>
                </w:tcPr>
                <w:p w14:paraId="3A0FA73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重大变动</w:t>
                  </w:r>
                </w:p>
              </w:tc>
            </w:tr>
            <w:tr w14:paraId="19BDE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3" w:type="dxa"/>
                  <w:tcBorders>
                    <w:tl2br w:val="nil"/>
                    <w:tr2bl w:val="nil"/>
                  </w:tcBorders>
                  <w:noWrap w:val="0"/>
                  <w:vAlign w:val="center"/>
                </w:tcPr>
                <w:p w14:paraId="5EAFF5B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9</w:t>
                  </w:r>
                </w:p>
              </w:tc>
              <w:tc>
                <w:tcPr>
                  <w:tcW w:w="4120" w:type="dxa"/>
                  <w:tcBorders>
                    <w:tl2br w:val="nil"/>
                    <w:tr2bl w:val="nil"/>
                  </w:tcBorders>
                  <w:noWrap w:val="0"/>
                  <w:vAlign w:val="center"/>
                </w:tcPr>
                <w:p w14:paraId="0723923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新增废水直接排放口；废水由间接排放改为直接排放；废水直接排放口位置变化，导致不利环境影响加重的</w:t>
                  </w:r>
                </w:p>
              </w:tc>
              <w:tc>
                <w:tcPr>
                  <w:tcW w:w="1956" w:type="dxa"/>
                  <w:tcBorders>
                    <w:tl2br w:val="nil"/>
                    <w:tr2bl w:val="nil"/>
                  </w:tcBorders>
                  <w:noWrap w:val="0"/>
                  <w:vAlign w:val="center"/>
                </w:tcPr>
                <w:p w14:paraId="59FBE19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项目废水处理设施及排放口不变</w:t>
                  </w:r>
                  <w:r>
                    <w:rPr>
                      <w:rFonts w:hint="eastAsia" w:cs="Times New Roman"/>
                      <w:color w:val="auto"/>
                      <w:kern w:val="0"/>
                      <w:sz w:val="21"/>
                      <w:szCs w:val="21"/>
                      <w:lang w:val="en-US" w:eastAsia="zh-CN"/>
                    </w:rPr>
                    <w:t>。</w:t>
                  </w:r>
                </w:p>
              </w:tc>
              <w:tc>
                <w:tcPr>
                  <w:tcW w:w="1002" w:type="dxa"/>
                  <w:tcBorders>
                    <w:tl2br w:val="nil"/>
                    <w:tr2bl w:val="nil"/>
                  </w:tcBorders>
                  <w:noWrap w:val="0"/>
                  <w:vAlign w:val="center"/>
                </w:tcPr>
                <w:p w14:paraId="5D5EB75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非重大变动</w:t>
                  </w:r>
                </w:p>
              </w:tc>
            </w:tr>
            <w:tr w14:paraId="051F0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3" w:type="dxa"/>
                  <w:tcBorders>
                    <w:tl2br w:val="nil"/>
                    <w:tr2bl w:val="nil"/>
                  </w:tcBorders>
                  <w:noWrap w:val="0"/>
                  <w:vAlign w:val="center"/>
                </w:tcPr>
                <w:p w14:paraId="0E4D92B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10</w:t>
                  </w:r>
                </w:p>
              </w:tc>
              <w:tc>
                <w:tcPr>
                  <w:tcW w:w="4120" w:type="dxa"/>
                  <w:tcBorders>
                    <w:tl2br w:val="nil"/>
                    <w:tr2bl w:val="nil"/>
                  </w:tcBorders>
                  <w:noWrap w:val="0"/>
                  <w:vAlign w:val="center"/>
                </w:tcPr>
                <w:p w14:paraId="5AF7E55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新增废气主要排放口（废气无组织排放改为有组织排放的除外）；主要排放口排气筒高度降低10%及以上的</w:t>
                  </w:r>
                </w:p>
              </w:tc>
              <w:tc>
                <w:tcPr>
                  <w:tcW w:w="1956" w:type="dxa"/>
                  <w:tcBorders>
                    <w:tl2br w:val="nil"/>
                    <w:tr2bl w:val="nil"/>
                  </w:tcBorders>
                  <w:noWrap w:val="0"/>
                  <w:vAlign w:val="center"/>
                </w:tcPr>
                <w:p w14:paraId="1B92E04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项目无新增废气主要排放口</w:t>
                  </w:r>
                  <w:r>
                    <w:rPr>
                      <w:rFonts w:hint="eastAsia" w:cs="Times New Roman"/>
                      <w:color w:val="auto"/>
                      <w:kern w:val="0"/>
                      <w:sz w:val="21"/>
                      <w:szCs w:val="21"/>
                      <w:lang w:val="en-US" w:eastAsia="zh-CN"/>
                    </w:rPr>
                    <w:t>。</w:t>
                  </w:r>
                </w:p>
              </w:tc>
              <w:tc>
                <w:tcPr>
                  <w:tcW w:w="1002" w:type="dxa"/>
                  <w:tcBorders>
                    <w:tl2br w:val="nil"/>
                    <w:tr2bl w:val="nil"/>
                  </w:tcBorders>
                  <w:noWrap w:val="0"/>
                  <w:vAlign w:val="center"/>
                </w:tcPr>
                <w:p w14:paraId="496F839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非重大变动</w:t>
                  </w:r>
                </w:p>
              </w:tc>
            </w:tr>
            <w:tr w14:paraId="7EC81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3" w:type="dxa"/>
                  <w:tcBorders>
                    <w:tl2br w:val="nil"/>
                    <w:tr2bl w:val="nil"/>
                  </w:tcBorders>
                  <w:noWrap w:val="0"/>
                  <w:vAlign w:val="center"/>
                </w:tcPr>
                <w:p w14:paraId="052FC4E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11</w:t>
                  </w:r>
                </w:p>
              </w:tc>
              <w:tc>
                <w:tcPr>
                  <w:tcW w:w="4120" w:type="dxa"/>
                  <w:tcBorders>
                    <w:tl2br w:val="nil"/>
                    <w:tr2bl w:val="nil"/>
                  </w:tcBorders>
                  <w:noWrap w:val="0"/>
                  <w:vAlign w:val="center"/>
                </w:tcPr>
                <w:p w14:paraId="2D34E11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噪声、土壤或地下水污染防治措施变化，导致不利环境影响加重的</w:t>
                  </w:r>
                </w:p>
              </w:tc>
              <w:tc>
                <w:tcPr>
                  <w:tcW w:w="1956" w:type="dxa"/>
                  <w:tcBorders>
                    <w:tl2br w:val="nil"/>
                    <w:tr2bl w:val="nil"/>
                  </w:tcBorders>
                  <w:noWrap w:val="0"/>
                  <w:vAlign w:val="center"/>
                </w:tcPr>
                <w:p w14:paraId="2D99A62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噪声、土壤或地下水污染防治措施无变化</w:t>
                  </w:r>
                  <w:r>
                    <w:rPr>
                      <w:rFonts w:hint="eastAsia" w:cs="Times New Roman"/>
                      <w:color w:val="auto"/>
                      <w:kern w:val="0"/>
                      <w:sz w:val="21"/>
                      <w:szCs w:val="21"/>
                      <w:lang w:val="en-US" w:eastAsia="zh-CN"/>
                    </w:rPr>
                    <w:t>。</w:t>
                  </w:r>
                </w:p>
              </w:tc>
              <w:tc>
                <w:tcPr>
                  <w:tcW w:w="1002" w:type="dxa"/>
                  <w:tcBorders>
                    <w:tl2br w:val="nil"/>
                    <w:tr2bl w:val="nil"/>
                  </w:tcBorders>
                  <w:noWrap w:val="0"/>
                  <w:vAlign w:val="center"/>
                </w:tcPr>
                <w:p w14:paraId="14CD6F4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非重大变动</w:t>
                  </w:r>
                </w:p>
              </w:tc>
            </w:tr>
            <w:tr w14:paraId="14DB8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3" w:type="dxa"/>
                  <w:tcBorders>
                    <w:tl2br w:val="nil"/>
                    <w:tr2bl w:val="nil"/>
                  </w:tcBorders>
                  <w:noWrap w:val="0"/>
                  <w:vAlign w:val="center"/>
                </w:tcPr>
                <w:p w14:paraId="28985D4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12</w:t>
                  </w:r>
                </w:p>
              </w:tc>
              <w:tc>
                <w:tcPr>
                  <w:tcW w:w="4120" w:type="dxa"/>
                  <w:tcBorders>
                    <w:tl2br w:val="nil"/>
                    <w:tr2bl w:val="nil"/>
                  </w:tcBorders>
                  <w:noWrap w:val="0"/>
                  <w:vAlign w:val="center"/>
                </w:tcPr>
                <w:p w14:paraId="60039CB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固体废物利用处置方式由委托外单位利用处置改为自行利用处置的（自行利用处置设施单独开展环境影响评价的除外）；固体废物自行处置方式变化，导致不利环境影响加重的</w:t>
                  </w:r>
                </w:p>
              </w:tc>
              <w:tc>
                <w:tcPr>
                  <w:tcW w:w="1956" w:type="dxa"/>
                  <w:tcBorders>
                    <w:tl2br w:val="nil"/>
                    <w:tr2bl w:val="nil"/>
                  </w:tcBorders>
                  <w:noWrap w:val="0"/>
                  <w:vAlign w:val="center"/>
                </w:tcPr>
                <w:p w14:paraId="7A58FE7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固体废物利用处置方式未发生改变</w:t>
                  </w:r>
                  <w:r>
                    <w:rPr>
                      <w:rFonts w:hint="eastAsia" w:cs="Times New Roman"/>
                      <w:color w:val="auto"/>
                      <w:kern w:val="0"/>
                      <w:sz w:val="21"/>
                      <w:szCs w:val="21"/>
                      <w:lang w:val="en-US" w:eastAsia="zh-CN"/>
                    </w:rPr>
                    <w:t>。</w:t>
                  </w:r>
                </w:p>
              </w:tc>
              <w:tc>
                <w:tcPr>
                  <w:tcW w:w="1002" w:type="dxa"/>
                  <w:tcBorders>
                    <w:tl2br w:val="nil"/>
                    <w:tr2bl w:val="nil"/>
                  </w:tcBorders>
                  <w:noWrap w:val="0"/>
                  <w:vAlign w:val="center"/>
                </w:tcPr>
                <w:p w14:paraId="4907B5D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非重大变动</w:t>
                  </w:r>
                </w:p>
              </w:tc>
            </w:tr>
            <w:tr w14:paraId="0615C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3" w:type="dxa"/>
                  <w:tcBorders>
                    <w:tl2br w:val="nil"/>
                    <w:tr2bl w:val="nil"/>
                  </w:tcBorders>
                  <w:noWrap w:val="0"/>
                  <w:vAlign w:val="center"/>
                </w:tcPr>
                <w:p w14:paraId="28B6A9E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13</w:t>
                  </w:r>
                </w:p>
              </w:tc>
              <w:tc>
                <w:tcPr>
                  <w:tcW w:w="4120" w:type="dxa"/>
                  <w:tcBorders>
                    <w:tl2br w:val="nil"/>
                    <w:tr2bl w:val="nil"/>
                  </w:tcBorders>
                  <w:noWrap w:val="0"/>
                  <w:vAlign w:val="center"/>
                </w:tcPr>
                <w:p w14:paraId="08BB3E4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事故废水暂存能力或拦截设施变化，导致环境风险防范能力弱化或者降低的</w:t>
                  </w:r>
                </w:p>
              </w:tc>
              <w:tc>
                <w:tcPr>
                  <w:tcW w:w="1956" w:type="dxa"/>
                  <w:tcBorders>
                    <w:tl2br w:val="nil"/>
                    <w:tr2bl w:val="nil"/>
                  </w:tcBorders>
                  <w:noWrap w:val="0"/>
                  <w:vAlign w:val="center"/>
                </w:tcPr>
                <w:p w14:paraId="4A9CD6C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无相关情形</w:t>
                  </w:r>
                  <w:r>
                    <w:rPr>
                      <w:rFonts w:hint="eastAsia" w:cs="Times New Roman"/>
                      <w:color w:val="auto"/>
                      <w:kern w:val="0"/>
                      <w:sz w:val="21"/>
                      <w:szCs w:val="21"/>
                      <w:lang w:val="en-US" w:eastAsia="zh-CN"/>
                    </w:rPr>
                    <w:t>。</w:t>
                  </w:r>
                </w:p>
              </w:tc>
              <w:tc>
                <w:tcPr>
                  <w:tcW w:w="1002" w:type="dxa"/>
                  <w:tcBorders>
                    <w:tl2br w:val="nil"/>
                    <w:tr2bl w:val="nil"/>
                  </w:tcBorders>
                  <w:noWrap w:val="0"/>
                  <w:vAlign w:val="center"/>
                </w:tcPr>
                <w:p w14:paraId="05DE469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非重大变动</w:t>
                  </w:r>
                </w:p>
              </w:tc>
            </w:tr>
          </w:tbl>
          <w:p w14:paraId="24D5A0A9">
            <w:pPr>
              <w:keepNext w:val="0"/>
              <w:keepLines w:val="0"/>
              <w:pageBreakBefore/>
              <w:widowControl/>
              <w:suppressLineNumbers w:val="0"/>
              <w:spacing w:before="0" w:beforeLines="0" w:beforeAutospacing="0" w:after="0" w:afterLines="0" w:afterAutospacing="0"/>
              <w:ind w:left="0" w:right="0" w:firstLine="482"/>
              <w:rPr>
                <w:rFonts w:hint="eastAsia"/>
                <w:b w:val="0"/>
                <w:bCs/>
                <w:color w:val="auto"/>
                <w:sz w:val="24"/>
                <w:szCs w:val="24"/>
              </w:rPr>
            </w:pPr>
            <w:r>
              <w:rPr>
                <w:rFonts w:hint="eastAsia"/>
                <w:b w:val="0"/>
                <w:bCs/>
                <w:color w:val="auto"/>
                <w:sz w:val="24"/>
                <w:szCs w:val="24"/>
                <w:lang w:val="en-US" w:eastAsia="zh-CN"/>
              </w:rPr>
              <w:t>根据《中华人民共和国环境影响评价法》第二十四条“建设项目的环境影响评价文件经批准后，建设项目的性质、规模、地点、采用的生产工艺或者防治污染、防止生态破坏的措施发生重大变动的，建设单位应当重新报批建设项目的环境影响评价文件”以及《建设项目环境保护管理条例》（国务院令第682号）第十二条“建设项目环境影响报告书、环境影响报告表经批准后，建设项目的性质、规模、地点、采用的生产工艺或者防治污染、防止生态破坏的措施发生重大变动的，建设单位应当重新报批建设项目环境影响报告书、环境影响报告表”。故本项目应当重新报批环评。</w:t>
            </w:r>
          </w:p>
          <w:p w14:paraId="40DE5AAC">
            <w:pPr>
              <w:keepNext w:val="0"/>
              <w:keepLines w:val="0"/>
              <w:pageBreakBefore/>
              <w:widowControl/>
              <w:suppressLineNumbers w:val="0"/>
              <w:spacing w:before="0" w:beforeLines="0" w:beforeAutospacing="0" w:after="0" w:afterLines="0" w:afterAutospacing="0"/>
              <w:ind w:left="0" w:right="0" w:firstLine="482"/>
              <w:rPr>
                <w:rFonts w:hint="default"/>
                <w:color w:val="auto"/>
                <w:sz w:val="24"/>
                <w:szCs w:val="24"/>
              </w:rPr>
            </w:pPr>
            <w:r>
              <w:rPr>
                <w:rFonts w:hint="eastAsia"/>
                <w:b/>
                <w:color w:val="auto"/>
                <w:sz w:val="24"/>
                <w:szCs w:val="24"/>
              </w:rPr>
              <w:t>2、建设内容及规模</w:t>
            </w:r>
          </w:p>
          <w:p w14:paraId="5695F3BE">
            <w:pPr>
              <w:keepNext w:val="0"/>
              <w:keepLines w:val="0"/>
              <w:pageBreakBefore/>
              <w:widowControl/>
              <w:suppressLineNumbers w:val="0"/>
              <w:spacing w:before="0" w:beforeLines="0" w:beforeAutospacing="0" w:after="0" w:afterLines="0" w:afterAutospacing="0"/>
              <w:ind w:left="0" w:right="0"/>
              <w:rPr>
                <w:rFonts w:hint="eastAsia"/>
                <w:color w:val="auto"/>
                <w:sz w:val="24"/>
                <w:szCs w:val="24"/>
                <w:lang w:val="en-US" w:eastAsia="zh-CN"/>
              </w:rPr>
            </w:pPr>
            <w:r>
              <w:rPr>
                <w:rFonts w:hint="eastAsia"/>
                <w:color w:val="auto"/>
                <w:sz w:val="24"/>
                <w:szCs w:val="24"/>
              </w:rPr>
              <w:t>本项目租用江西富利高陶瓷有限公司的厂房进行生产，建筑面积12000㎡，其中包含一个生产车间，以及</w:t>
            </w:r>
            <w:r>
              <w:rPr>
                <w:rFonts w:hint="eastAsia"/>
                <w:color w:val="auto"/>
                <w:sz w:val="24"/>
                <w:szCs w:val="24"/>
                <w:lang w:val="en-US" w:eastAsia="zh-CN"/>
              </w:rPr>
              <w:t>6</w:t>
            </w:r>
            <w:r>
              <w:rPr>
                <w:rFonts w:hint="eastAsia"/>
                <w:color w:val="auto"/>
                <w:sz w:val="24"/>
                <w:szCs w:val="24"/>
              </w:rPr>
              <w:t>个原料仓库，1个成品仓库，计划年生产20万吨免烧</w:t>
            </w:r>
            <w:r>
              <w:rPr>
                <w:rFonts w:hint="eastAsia" w:ascii="Times New Roman" w:hAnsi="Times New Roman" w:eastAsia="宋体" w:cs="Times New Roman"/>
                <w:color w:val="auto"/>
                <w:sz w:val="24"/>
                <w:szCs w:val="24"/>
              </w:rPr>
              <w:t>砖，70万</w:t>
            </w:r>
            <w:r>
              <w:rPr>
                <w:rFonts w:hint="eastAsia" w:ascii="Times New Roman" w:hAnsi="Times New Roman" w:eastAsia="宋体" w:cs="Times New Roman"/>
                <w:color w:val="auto"/>
                <w:sz w:val="24"/>
                <w:szCs w:val="24"/>
                <w:lang w:val="en-US" w:eastAsia="zh-CN"/>
              </w:rPr>
              <w:t>吨</w:t>
            </w:r>
            <w:r>
              <w:rPr>
                <w:rFonts w:hint="eastAsia" w:ascii="Times New Roman" w:hAnsi="Times New Roman" w:eastAsia="宋体" w:cs="Times New Roman"/>
                <w:color w:val="auto"/>
                <w:sz w:val="24"/>
                <w:szCs w:val="24"/>
              </w:rPr>
              <w:t>再生道路复合</w:t>
            </w:r>
            <w:r>
              <w:rPr>
                <w:rFonts w:hint="eastAsia"/>
                <w:color w:val="auto"/>
                <w:sz w:val="24"/>
                <w:szCs w:val="24"/>
              </w:rPr>
              <w:t>稳定料。</w:t>
            </w:r>
            <w:r>
              <w:rPr>
                <w:rFonts w:hint="eastAsia"/>
                <w:color w:val="auto"/>
                <w:sz w:val="24"/>
                <w:szCs w:val="24"/>
                <w:lang w:val="en-US" w:eastAsia="zh-CN"/>
              </w:rPr>
              <w:t>此次变更仅替换掉部分原料（主要如下：采用28万吨锂渣，替代原有的8万吨脱硫石膏、10万吨破陶瓷抛光泥及10万吨建筑废料（小计28万吨）。</w:t>
            </w:r>
          </w:p>
          <w:p w14:paraId="25DF864A">
            <w:pPr>
              <w:keepNext w:val="0"/>
              <w:keepLines w:val="0"/>
              <w:pageBreakBefore/>
              <w:widowControl/>
              <w:suppressLineNumbers w:val="0"/>
              <w:spacing w:before="0" w:beforeLines="0" w:beforeAutospacing="0" w:after="0" w:afterLines="0" w:afterAutospacing="0"/>
              <w:ind w:left="0" w:right="0"/>
              <w:rPr>
                <w:rFonts w:hint="default"/>
                <w:color w:val="auto"/>
                <w:sz w:val="24"/>
                <w:szCs w:val="24"/>
              </w:rPr>
            </w:pPr>
            <w:r>
              <w:rPr>
                <w:rFonts w:hint="eastAsia"/>
                <w:color w:val="auto"/>
                <w:sz w:val="24"/>
                <w:szCs w:val="24"/>
              </w:rPr>
              <w:t>项目组成主要为主体工程、辅助工程、储运工程、公用工程及环保工程。项目组成及主要建设内容见表2-</w:t>
            </w:r>
            <w:r>
              <w:rPr>
                <w:rFonts w:hint="eastAsia"/>
                <w:color w:val="auto"/>
                <w:sz w:val="24"/>
                <w:szCs w:val="24"/>
                <w:lang w:val="en-US" w:eastAsia="zh-CN"/>
              </w:rPr>
              <w:t>2</w:t>
            </w:r>
            <w:r>
              <w:rPr>
                <w:rFonts w:hint="eastAsia"/>
                <w:color w:val="auto"/>
                <w:sz w:val="24"/>
                <w:szCs w:val="24"/>
              </w:rPr>
              <w:t>。</w:t>
            </w:r>
          </w:p>
          <w:p w14:paraId="4070375F">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项目主要建设内容一览表</w:t>
            </w:r>
          </w:p>
          <w:tbl>
            <w:tblPr>
              <w:tblStyle w:val="28"/>
              <w:tblW w:w="4986"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426"/>
              <w:gridCol w:w="785"/>
              <w:gridCol w:w="591"/>
              <w:gridCol w:w="1256"/>
              <w:gridCol w:w="1773"/>
              <w:gridCol w:w="1510"/>
              <w:gridCol w:w="1491"/>
            </w:tblGrid>
            <w:tr w14:paraId="6009BD9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blHeader/>
                <w:jc w:val="center"/>
              </w:trPr>
              <w:tc>
                <w:tcPr>
                  <w:tcW w:w="773"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25E19AA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项目名称</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4AD5064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lang w:val="en-US" w:eastAsia="zh-CN"/>
                    </w:rPr>
                    <w:t>变更前</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C5BDF1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rPr>
                  </w:pPr>
                  <w:r>
                    <w:rPr>
                      <w:rFonts w:hint="eastAsia"/>
                      <w:color w:val="auto"/>
                      <w:kern w:val="0"/>
                      <w:sz w:val="21"/>
                      <w:szCs w:val="21"/>
                      <w:lang w:val="en-US" w:eastAsia="zh-CN"/>
                    </w:rPr>
                    <w:t>变更后</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3457A4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变更情况</w:t>
                  </w:r>
                </w:p>
              </w:tc>
              <w:tc>
                <w:tcPr>
                  <w:tcW w:w="95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EC10B0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备注</w:t>
                  </w:r>
                </w:p>
              </w:tc>
            </w:tr>
            <w:tr w14:paraId="195C33F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blHeader/>
                <w:jc w:val="center"/>
              </w:trPr>
              <w:tc>
                <w:tcPr>
                  <w:tcW w:w="27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D19B96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主体</w:t>
                  </w:r>
                </w:p>
                <w:p w14:paraId="17567E7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工程</w:t>
                  </w:r>
                </w:p>
              </w:tc>
              <w:tc>
                <w:tcPr>
                  <w:tcW w:w="5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D518D0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生产车间</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6D44FA3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rPr>
                    <w:t>建筑面积7848㎡</w:t>
                  </w:r>
                  <w:r>
                    <w:rPr>
                      <w:rFonts w:hint="eastAsia"/>
                      <w:color w:val="auto"/>
                      <w:kern w:val="0"/>
                      <w:sz w:val="21"/>
                      <w:szCs w:val="21"/>
                      <w:lang w:eastAsia="zh-CN"/>
                    </w:rPr>
                    <w:t>，</w:t>
                  </w:r>
                  <w:r>
                    <w:rPr>
                      <w:rFonts w:hint="eastAsia"/>
                      <w:color w:val="auto"/>
                      <w:kern w:val="0"/>
                      <w:sz w:val="21"/>
                      <w:szCs w:val="21"/>
                      <w:lang w:val="en-US" w:eastAsia="zh-CN"/>
                    </w:rPr>
                    <w:t>设破碎搅拌生产线</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89AB45E">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color w:val="auto"/>
                      <w:kern w:val="0"/>
                      <w:sz w:val="21"/>
                      <w:szCs w:val="21"/>
                    </w:rPr>
                  </w:pPr>
                  <w:r>
                    <w:rPr>
                      <w:rFonts w:hint="eastAsia"/>
                      <w:color w:val="auto"/>
                      <w:kern w:val="0"/>
                      <w:sz w:val="21"/>
                      <w:szCs w:val="21"/>
                    </w:rPr>
                    <w:t>建筑面积7848㎡</w:t>
                  </w:r>
                  <w:r>
                    <w:rPr>
                      <w:rFonts w:hint="eastAsia"/>
                      <w:color w:val="auto"/>
                      <w:kern w:val="0"/>
                      <w:sz w:val="21"/>
                      <w:szCs w:val="21"/>
                      <w:lang w:eastAsia="zh-CN"/>
                    </w:rPr>
                    <w:t>，</w:t>
                  </w:r>
                  <w:r>
                    <w:rPr>
                      <w:rFonts w:hint="eastAsia"/>
                      <w:color w:val="auto"/>
                      <w:kern w:val="0"/>
                      <w:sz w:val="21"/>
                      <w:szCs w:val="21"/>
                      <w:lang w:val="en-US" w:eastAsia="zh-CN"/>
                    </w:rPr>
                    <w:t>设破碎搅拌生产线</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B3E93C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rPr>
                    <w:t>一致</w:t>
                  </w:r>
                </w:p>
              </w:tc>
              <w:tc>
                <w:tcPr>
                  <w:tcW w:w="950" w:type="pct"/>
                  <w:vMerge w:val="restart"/>
                  <w:tcBorders>
                    <w:top w:val="single" w:color="auto" w:sz="2" w:space="0"/>
                    <w:left w:val="single" w:color="auto" w:sz="2" w:space="0"/>
                    <w:right w:val="single" w:color="auto" w:sz="2" w:space="0"/>
                    <w:tl2br w:val="nil"/>
                    <w:tr2bl w:val="nil"/>
                  </w:tcBorders>
                  <w:noWrap w:val="0"/>
                  <w:vAlign w:val="center"/>
                </w:tcPr>
                <w:p w14:paraId="7DB2691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eastAsia="zh-CN"/>
                    </w:rPr>
                    <w:t>依托租赁</w:t>
                  </w:r>
                </w:p>
              </w:tc>
            </w:tr>
            <w:tr w14:paraId="2CDA72B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restart"/>
                  <w:tcBorders>
                    <w:top w:val="single" w:color="auto" w:sz="2" w:space="0"/>
                    <w:left w:val="single" w:color="auto" w:sz="2" w:space="0"/>
                    <w:right w:val="single" w:color="auto" w:sz="2" w:space="0"/>
                    <w:tl2br w:val="nil"/>
                    <w:tr2bl w:val="nil"/>
                  </w:tcBorders>
                  <w:noWrap w:val="0"/>
                  <w:vAlign w:val="center"/>
                </w:tcPr>
                <w:p w14:paraId="65A44C6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辅助</w:t>
                  </w:r>
                </w:p>
                <w:p w14:paraId="1B7645A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工程</w:t>
                  </w:r>
                </w:p>
              </w:tc>
              <w:tc>
                <w:tcPr>
                  <w:tcW w:w="5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15DBB8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办公室</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48DF8F9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位于项目东南侧建筑面积200㎡</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04B40AE">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color w:val="auto"/>
                      <w:kern w:val="0"/>
                      <w:sz w:val="21"/>
                      <w:szCs w:val="21"/>
                    </w:rPr>
                  </w:pPr>
                  <w:r>
                    <w:rPr>
                      <w:rFonts w:hint="eastAsia"/>
                      <w:color w:val="auto"/>
                      <w:kern w:val="0"/>
                      <w:sz w:val="21"/>
                      <w:szCs w:val="21"/>
                    </w:rPr>
                    <w:t>位于项目东南侧建筑面积200㎡</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2D65498">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rPr>
                    <w:t>一致</w:t>
                  </w:r>
                </w:p>
              </w:tc>
              <w:tc>
                <w:tcPr>
                  <w:tcW w:w="950" w:type="pct"/>
                  <w:vMerge w:val="continue"/>
                  <w:tcBorders>
                    <w:left w:val="single" w:color="auto" w:sz="2" w:space="0"/>
                    <w:right w:val="single" w:color="auto" w:sz="2" w:space="0"/>
                    <w:tl2br w:val="nil"/>
                    <w:tr2bl w:val="nil"/>
                  </w:tcBorders>
                  <w:noWrap w:val="0"/>
                  <w:vAlign w:val="center"/>
                </w:tcPr>
                <w:p w14:paraId="60A54882">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ascii="Times New Roman" w:hAnsi="Times New Roman" w:eastAsia="宋体" w:cs="Times New Roman"/>
                      <w:color w:val="auto"/>
                      <w:kern w:val="0"/>
                      <w:sz w:val="21"/>
                      <w:szCs w:val="21"/>
                    </w:rPr>
                  </w:pPr>
                </w:p>
              </w:tc>
            </w:tr>
            <w:tr w14:paraId="1718D4A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continue"/>
                  <w:tcBorders>
                    <w:left w:val="single" w:color="auto" w:sz="2" w:space="0"/>
                    <w:right w:val="single" w:color="auto" w:sz="2" w:space="0"/>
                    <w:tl2br w:val="nil"/>
                    <w:tr2bl w:val="nil"/>
                  </w:tcBorders>
                  <w:noWrap w:val="0"/>
                  <w:vAlign w:val="center"/>
                </w:tcPr>
                <w:p w14:paraId="332BD4C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8B701A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配电房</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36FA6B6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位于项目东南侧建筑面积150㎡</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26F1CB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color w:val="auto"/>
                      <w:kern w:val="0"/>
                      <w:sz w:val="21"/>
                      <w:szCs w:val="21"/>
                    </w:rPr>
                  </w:pPr>
                  <w:r>
                    <w:rPr>
                      <w:rFonts w:hint="eastAsia"/>
                      <w:color w:val="auto"/>
                      <w:kern w:val="0"/>
                      <w:sz w:val="21"/>
                      <w:szCs w:val="21"/>
                    </w:rPr>
                    <w:t>位于项目东南侧建筑面积150㎡</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708CFD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rPr>
                    <w:t>一致</w:t>
                  </w:r>
                </w:p>
              </w:tc>
              <w:tc>
                <w:tcPr>
                  <w:tcW w:w="950" w:type="pct"/>
                  <w:vMerge w:val="continue"/>
                  <w:tcBorders>
                    <w:left w:val="single" w:color="auto" w:sz="2" w:space="0"/>
                    <w:right w:val="single" w:color="auto" w:sz="2" w:space="0"/>
                    <w:tl2br w:val="nil"/>
                    <w:tr2bl w:val="nil"/>
                  </w:tcBorders>
                  <w:noWrap w:val="0"/>
                  <w:vAlign w:val="center"/>
                </w:tcPr>
                <w:p w14:paraId="40D05A04">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ascii="Times New Roman" w:hAnsi="Times New Roman" w:eastAsia="宋体" w:cs="Times New Roman"/>
                      <w:color w:val="auto"/>
                      <w:kern w:val="0"/>
                      <w:sz w:val="21"/>
                      <w:szCs w:val="21"/>
                    </w:rPr>
                  </w:pPr>
                </w:p>
              </w:tc>
            </w:tr>
            <w:tr w14:paraId="7240640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continue"/>
                  <w:tcBorders>
                    <w:left w:val="single" w:color="auto" w:sz="2" w:space="0"/>
                    <w:right w:val="single" w:color="auto" w:sz="2" w:space="0"/>
                    <w:tl2br w:val="nil"/>
                    <w:tr2bl w:val="nil"/>
                  </w:tcBorders>
                  <w:noWrap w:val="0"/>
                  <w:vAlign w:val="center"/>
                </w:tcPr>
                <w:p w14:paraId="06BD566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196FD5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洗车区</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547DFDF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位于项目西侧建筑面积200㎡</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DEC4F9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color w:val="auto"/>
                      <w:kern w:val="0"/>
                      <w:sz w:val="21"/>
                      <w:szCs w:val="21"/>
                    </w:rPr>
                  </w:pPr>
                  <w:r>
                    <w:rPr>
                      <w:rFonts w:hint="eastAsia"/>
                      <w:color w:val="auto"/>
                      <w:kern w:val="0"/>
                      <w:sz w:val="21"/>
                      <w:szCs w:val="21"/>
                    </w:rPr>
                    <w:t>位于项目西侧建筑面积200㎡</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4F6C5A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rPr>
                    <w:t>一致</w:t>
                  </w:r>
                </w:p>
              </w:tc>
              <w:tc>
                <w:tcPr>
                  <w:tcW w:w="950" w:type="pct"/>
                  <w:vMerge w:val="continue"/>
                  <w:tcBorders>
                    <w:left w:val="single" w:color="auto" w:sz="2" w:space="0"/>
                    <w:right w:val="single" w:color="auto" w:sz="2" w:space="0"/>
                    <w:tl2br w:val="nil"/>
                    <w:tr2bl w:val="nil"/>
                  </w:tcBorders>
                  <w:noWrap w:val="0"/>
                  <w:vAlign w:val="center"/>
                </w:tcPr>
                <w:p w14:paraId="479CD83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ascii="Times New Roman" w:hAnsi="Times New Roman" w:eastAsia="宋体" w:cs="Times New Roman"/>
                      <w:color w:val="auto"/>
                      <w:kern w:val="0"/>
                      <w:sz w:val="21"/>
                      <w:szCs w:val="21"/>
                    </w:rPr>
                  </w:pPr>
                </w:p>
              </w:tc>
            </w:tr>
            <w:tr w14:paraId="31CA0F3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272" w:type="pct"/>
                  <w:vMerge w:val="continue"/>
                  <w:tcBorders>
                    <w:left w:val="single" w:color="auto" w:sz="2" w:space="0"/>
                    <w:bottom w:val="single" w:color="auto" w:sz="2" w:space="0"/>
                    <w:right w:val="single" w:color="auto" w:sz="2" w:space="0"/>
                    <w:tl2br w:val="nil"/>
                    <w:tr2bl w:val="nil"/>
                  </w:tcBorders>
                  <w:noWrap w:val="0"/>
                  <w:vAlign w:val="center"/>
                </w:tcPr>
                <w:p w14:paraId="7FD8283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ABADE63">
                  <w:pPr>
                    <w:pStyle w:val="13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textAlignment w:val="auto"/>
                    <w:rPr>
                      <w:rFonts w:hint="eastAsia"/>
                      <w:color w:val="auto"/>
                      <w:kern w:val="0"/>
                      <w:sz w:val="21"/>
                      <w:szCs w:val="21"/>
                    </w:rPr>
                  </w:pPr>
                  <w:r>
                    <w:rPr>
                      <w:rFonts w:hint="eastAsia"/>
                      <w:color w:val="auto"/>
                      <w:highlight w:val="none"/>
                      <w:lang w:eastAsia="zh-CN"/>
                    </w:rPr>
                    <w:t>化验室</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10F06C09">
                  <w:pPr>
                    <w:pStyle w:val="13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eastAsia"/>
                      <w:color w:val="auto"/>
                      <w:kern w:val="0"/>
                      <w:sz w:val="21"/>
                      <w:szCs w:val="21"/>
                    </w:rPr>
                  </w:pPr>
                  <w:r>
                    <w:rPr>
                      <w:rFonts w:hint="eastAsia"/>
                      <w:color w:val="auto"/>
                      <w:highlight w:val="none"/>
                      <w:lang w:val="en-US" w:eastAsia="zh-CN"/>
                    </w:rPr>
                    <w:t>/</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9C359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olor w:val="auto"/>
                      <w:kern w:val="0"/>
                      <w:sz w:val="21"/>
                      <w:szCs w:val="21"/>
                    </w:rPr>
                  </w:pPr>
                  <w:r>
                    <w:rPr>
                      <w:rFonts w:hint="eastAsia" w:cs="Times New Roman"/>
                      <w:color w:val="auto"/>
                      <w:sz w:val="21"/>
                      <w:szCs w:val="21"/>
                      <w:highlight w:val="none"/>
                      <w:lang w:val="en-US" w:eastAsia="zh-CN"/>
                    </w:rPr>
                    <w:t>位于西北角</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454855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新建</w:t>
                  </w:r>
                </w:p>
              </w:tc>
              <w:tc>
                <w:tcPr>
                  <w:tcW w:w="950" w:type="pct"/>
                  <w:tcBorders>
                    <w:left w:val="single" w:color="auto" w:sz="2" w:space="0"/>
                    <w:right w:val="single" w:color="auto" w:sz="2" w:space="0"/>
                    <w:tl2br w:val="nil"/>
                    <w:tr2bl w:val="nil"/>
                  </w:tcBorders>
                  <w:noWrap w:val="0"/>
                  <w:vAlign w:val="center"/>
                </w:tcPr>
                <w:p w14:paraId="372F753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新建</w:t>
                  </w:r>
                </w:p>
              </w:tc>
            </w:tr>
            <w:tr w14:paraId="5AB535D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restart"/>
                  <w:tcBorders>
                    <w:top w:val="single" w:color="auto" w:sz="2" w:space="0"/>
                    <w:left w:val="single" w:color="auto" w:sz="2" w:space="0"/>
                    <w:right w:val="single" w:color="auto" w:sz="2" w:space="0"/>
                    <w:tl2br w:val="nil"/>
                    <w:tr2bl w:val="nil"/>
                  </w:tcBorders>
                  <w:noWrap w:val="0"/>
                  <w:vAlign w:val="center"/>
                </w:tcPr>
                <w:p w14:paraId="711B48E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储运</w:t>
                  </w:r>
                </w:p>
                <w:p w14:paraId="3C345AD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工程</w:t>
                  </w:r>
                </w:p>
              </w:tc>
              <w:tc>
                <w:tcPr>
                  <w:tcW w:w="5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7D6832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成品仓库</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17E6870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位于项目南侧建筑面积1836㎡</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FCA5C35">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color w:val="auto"/>
                      <w:kern w:val="0"/>
                      <w:sz w:val="21"/>
                      <w:szCs w:val="21"/>
                    </w:rPr>
                  </w:pPr>
                  <w:r>
                    <w:rPr>
                      <w:rFonts w:hint="eastAsia"/>
                      <w:color w:val="auto"/>
                      <w:kern w:val="0"/>
                      <w:sz w:val="21"/>
                      <w:szCs w:val="21"/>
                    </w:rPr>
                    <w:t>位于项目南侧建筑面积1836㎡</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0013A5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rPr>
                    <w:t>一致</w:t>
                  </w:r>
                </w:p>
              </w:tc>
              <w:tc>
                <w:tcPr>
                  <w:tcW w:w="950" w:type="pct"/>
                  <w:vMerge w:val="restart"/>
                  <w:tcBorders>
                    <w:left w:val="single" w:color="auto" w:sz="2" w:space="0"/>
                    <w:right w:val="single" w:color="auto" w:sz="2" w:space="0"/>
                    <w:tl2br w:val="nil"/>
                    <w:tr2bl w:val="nil"/>
                  </w:tcBorders>
                  <w:noWrap w:val="0"/>
                  <w:vAlign w:val="center"/>
                </w:tcPr>
                <w:p w14:paraId="7692DBC7">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eastAsia="zh-CN"/>
                    </w:rPr>
                    <w:t>依托租赁</w:t>
                  </w:r>
                </w:p>
              </w:tc>
            </w:tr>
            <w:tr w14:paraId="0FFFDA6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continue"/>
                  <w:tcBorders>
                    <w:left w:val="single" w:color="auto" w:sz="2" w:space="0"/>
                    <w:right w:val="single" w:color="auto" w:sz="2" w:space="0"/>
                    <w:tl2br w:val="nil"/>
                    <w:tr2bl w:val="nil"/>
                  </w:tcBorders>
                  <w:noWrap w:val="0"/>
                  <w:vAlign w:val="center"/>
                </w:tcPr>
                <w:p w14:paraId="73BC346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EC414F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r>
                    <w:rPr>
                      <w:rFonts w:hint="eastAsia"/>
                      <w:color w:val="auto"/>
                      <w:kern w:val="0"/>
                      <w:sz w:val="21"/>
                      <w:szCs w:val="21"/>
                      <w:lang w:val="en-US" w:eastAsia="zh-CN"/>
                    </w:rPr>
                    <w:t>原料</w:t>
                  </w:r>
                  <w:r>
                    <w:rPr>
                      <w:rFonts w:hint="eastAsia"/>
                      <w:color w:val="auto"/>
                      <w:kern w:val="0"/>
                      <w:sz w:val="21"/>
                      <w:szCs w:val="21"/>
                    </w:rPr>
                    <w:t>仓库</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42D4537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rPr>
                    <w:t>位于项目西北侧建筑面积306㎡</w:t>
                  </w:r>
                  <w:r>
                    <w:rPr>
                      <w:rFonts w:hint="eastAsia"/>
                      <w:color w:val="auto"/>
                      <w:kern w:val="0"/>
                      <w:sz w:val="21"/>
                      <w:szCs w:val="21"/>
                      <w:lang w:eastAsia="zh-CN"/>
                    </w:rPr>
                    <w:t>，</w:t>
                  </w:r>
                  <w:r>
                    <w:rPr>
                      <w:rFonts w:hint="eastAsia"/>
                      <w:color w:val="auto"/>
                      <w:kern w:val="0"/>
                      <w:sz w:val="21"/>
                      <w:szCs w:val="21"/>
                      <w:lang w:val="en-US" w:eastAsia="zh-CN"/>
                    </w:rPr>
                    <w:t>用于堆放建筑废料</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2CFFF24">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color w:val="auto"/>
                      <w:kern w:val="0"/>
                      <w:sz w:val="21"/>
                      <w:szCs w:val="21"/>
                      <w:lang w:val="en-US"/>
                    </w:rPr>
                  </w:pPr>
                  <w:r>
                    <w:rPr>
                      <w:rFonts w:hint="eastAsia"/>
                      <w:color w:val="auto"/>
                      <w:kern w:val="0"/>
                      <w:sz w:val="21"/>
                      <w:szCs w:val="21"/>
                    </w:rPr>
                    <w:t>位于项目西北侧建筑面积306㎡</w:t>
                  </w:r>
                  <w:r>
                    <w:rPr>
                      <w:rFonts w:hint="eastAsia"/>
                      <w:color w:val="auto"/>
                      <w:kern w:val="0"/>
                      <w:sz w:val="21"/>
                      <w:szCs w:val="21"/>
                      <w:lang w:eastAsia="zh-CN"/>
                    </w:rPr>
                    <w:t>，</w:t>
                  </w:r>
                  <w:r>
                    <w:rPr>
                      <w:rFonts w:hint="eastAsia"/>
                      <w:color w:val="auto"/>
                      <w:kern w:val="0"/>
                      <w:sz w:val="21"/>
                      <w:szCs w:val="21"/>
                      <w:lang w:val="en-US" w:eastAsia="zh-CN"/>
                    </w:rPr>
                    <w:t>用于堆放锂渣</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4F5BCE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原本用于堆放建筑废料变更为堆放锂渣，建筑面积306㎡</w:t>
                  </w:r>
                </w:p>
              </w:tc>
              <w:tc>
                <w:tcPr>
                  <w:tcW w:w="950" w:type="pct"/>
                  <w:vMerge w:val="continue"/>
                  <w:tcBorders>
                    <w:left w:val="single" w:color="auto" w:sz="2" w:space="0"/>
                    <w:right w:val="single" w:color="auto" w:sz="2" w:space="0"/>
                    <w:tl2br w:val="nil"/>
                    <w:tr2bl w:val="nil"/>
                  </w:tcBorders>
                  <w:noWrap w:val="0"/>
                  <w:vAlign w:val="center"/>
                </w:tcPr>
                <w:p w14:paraId="41CBF65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r>
            <w:tr w14:paraId="7B1D593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continue"/>
                  <w:tcBorders>
                    <w:left w:val="single" w:color="auto" w:sz="2" w:space="0"/>
                    <w:right w:val="single" w:color="auto" w:sz="2" w:space="0"/>
                    <w:tl2br w:val="nil"/>
                    <w:tr2bl w:val="nil"/>
                  </w:tcBorders>
                  <w:noWrap w:val="0"/>
                  <w:vAlign w:val="center"/>
                </w:tcPr>
                <w:p w14:paraId="6130D59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BEA85E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2#</w:t>
                  </w:r>
                  <w:r>
                    <w:rPr>
                      <w:rFonts w:hint="eastAsia"/>
                      <w:color w:val="auto"/>
                      <w:kern w:val="0"/>
                      <w:sz w:val="21"/>
                      <w:szCs w:val="21"/>
                      <w:lang w:val="en-US" w:eastAsia="zh-CN"/>
                    </w:rPr>
                    <w:t>原料</w:t>
                  </w:r>
                  <w:r>
                    <w:rPr>
                      <w:rFonts w:hint="eastAsia"/>
                      <w:color w:val="auto"/>
                      <w:kern w:val="0"/>
                      <w:sz w:val="21"/>
                      <w:szCs w:val="21"/>
                    </w:rPr>
                    <w:t>仓库</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5319C32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rPr>
                    <w:t>位于项目西北侧建筑面积306㎡</w:t>
                  </w:r>
                  <w:r>
                    <w:rPr>
                      <w:rFonts w:hint="eastAsia"/>
                      <w:color w:val="auto"/>
                      <w:kern w:val="0"/>
                      <w:sz w:val="21"/>
                      <w:szCs w:val="21"/>
                      <w:lang w:eastAsia="zh-CN"/>
                    </w:rPr>
                    <w:t>，</w:t>
                  </w:r>
                  <w:r>
                    <w:rPr>
                      <w:rFonts w:hint="eastAsia"/>
                      <w:color w:val="auto"/>
                      <w:kern w:val="0"/>
                      <w:sz w:val="21"/>
                      <w:szCs w:val="21"/>
                      <w:lang w:val="en-US" w:eastAsia="zh-CN"/>
                    </w:rPr>
                    <w:t>用于堆放建筑废料</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7D5D0E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color w:val="auto"/>
                      <w:kern w:val="0"/>
                      <w:sz w:val="21"/>
                      <w:szCs w:val="21"/>
                    </w:rPr>
                  </w:pPr>
                  <w:r>
                    <w:rPr>
                      <w:rFonts w:hint="eastAsia"/>
                      <w:color w:val="auto"/>
                      <w:kern w:val="0"/>
                      <w:sz w:val="21"/>
                      <w:szCs w:val="21"/>
                    </w:rPr>
                    <w:t>位于项目西北侧建筑面积306㎡</w:t>
                  </w:r>
                  <w:r>
                    <w:rPr>
                      <w:rFonts w:hint="eastAsia"/>
                      <w:color w:val="auto"/>
                      <w:kern w:val="0"/>
                      <w:sz w:val="21"/>
                      <w:szCs w:val="21"/>
                      <w:lang w:eastAsia="zh-CN"/>
                    </w:rPr>
                    <w:t>，</w:t>
                  </w:r>
                  <w:r>
                    <w:rPr>
                      <w:rFonts w:hint="eastAsia"/>
                      <w:color w:val="auto"/>
                      <w:kern w:val="0"/>
                      <w:sz w:val="21"/>
                      <w:szCs w:val="21"/>
                      <w:lang w:val="en-US" w:eastAsia="zh-CN"/>
                    </w:rPr>
                    <w:t>用于堆放建筑废料</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0BAC45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一致</w:t>
                  </w:r>
                </w:p>
              </w:tc>
              <w:tc>
                <w:tcPr>
                  <w:tcW w:w="950" w:type="pct"/>
                  <w:vMerge w:val="continue"/>
                  <w:tcBorders>
                    <w:left w:val="single" w:color="auto" w:sz="2" w:space="0"/>
                    <w:right w:val="single" w:color="auto" w:sz="2" w:space="0"/>
                    <w:tl2br w:val="nil"/>
                    <w:tr2bl w:val="nil"/>
                  </w:tcBorders>
                  <w:noWrap w:val="0"/>
                  <w:vAlign w:val="center"/>
                </w:tcPr>
                <w:p w14:paraId="6808CCE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p>
              </w:tc>
            </w:tr>
            <w:tr w14:paraId="550EC6E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continue"/>
                  <w:tcBorders>
                    <w:left w:val="single" w:color="auto" w:sz="2" w:space="0"/>
                    <w:right w:val="single" w:color="auto" w:sz="2" w:space="0"/>
                    <w:tl2br w:val="nil"/>
                    <w:tr2bl w:val="nil"/>
                  </w:tcBorders>
                  <w:noWrap w:val="0"/>
                  <w:vAlign w:val="center"/>
                </w:tcPr>
                <w:p w14:paraId="4650870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58B9AC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lang w:val="en-US" w:eastAsia="zh-CN"/>
                    </w:rPr>
                    <w:t>3</w:t>
                  </w:r>
                  <w:r>
                    <w:rPr>
                      <w:rFonts w:hint="eastAsia"/>
                      <w:color w:val="auto"/>
                      <w:kern w:val="0"/>
                      <w:sz w:val="21"/>
                      <w:szCs w:val="21"/>
                    </w:rPr>
                    <w:t>#原料仓库</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015FF6A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rPr>
                    <w:t>位于项目西北侧建筑面积306㎡</w:t>
                  </w:r>
                  <w:r>
                    <w:rPr>
                      <w:rFonts w:hint="eastAsia"/>
                      <w:color w:val="auto"/>
                      <w:kern w:val="0"/>
                      <w:sz w:val="21"/>
                      <w:szCs w:val="21"/>
                      <w:lang w:eastAsia="zh-CN"/>
                    </w:rPr>
                    <w:t>，</w:t>
                  </w:r>
                  <w:r>
                    <w:rPr>
                      <w:rFonts w:hint="eastAsia"/>
                      <w:color w:val="auto"/>
                      <w:kern w:val="0"/>
                      <w:sz w:val="21"/>
                      <w:szCs w:val="21"/>
                      <w:lang w:val="en-US" w:eastAsia="zh-CN"/>
                    </w:rPr>
                    <w:t>用于堆放建筑废料</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3988E5F">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color w:val="auto"/>
                      <w:kern w:val="0"/>
                      <w:sz w:val="21"/>
                      <w:szCs w:val="21"/>
                    </w:rPr>
                  </w:pPr>
                  <w:r>
                    <w:rPr>
                      <w:rFonts w:hint="eastAsia"/>
                      <w:color w:val="auto"/>
                      <w:kern w:val="0"/>
                      <w:sz w:val="21"/>
                      <w:szCs w:val="21"/>
                    </w:rPr>
                    <w:t>位于项目西北侧</w:t>
                  </w:r>
                  <w:r>
                    <w:rPr>
                      <w:rFonts w:hint="eastAsia"/>
                      <w:color w:val="auto"/>
                      <w:kern w:val="0"/>
                      <w:sz w:val="21"/>
                      <w:szCs w:val="21"/>
                      <w:lang w:val="en-US" w:eastAsia="zh-CN"/>
                    </w:rPr>
                    <w:t>建</w:t>
                  </w:r>
                  <w:r>
                    <w:rPr>
                      <w:rFonts w:hint="eastAsia"/>
                      <w:color w:val="auto"/>
                      <w:kern w:val="0"/>
                      <w:sz w:val="21"/>
                      <w:szCs w:val="21"/>
                    </w:rPr>
                    <w:t>筑面积306㎡</w:t>
                  </w:r>
                  <w:r>
                    <w:rPr>
                      <w:rFonts w:hint="eastAsia"/>
                      <w:color w:val="auto"/>
                      <w:kern w:val="0"/>
                      <w:sz w:val="21"/>
                      <w:szCs w:val="21"/>
                      <w:lang w:eastAsia="zh-CN"/>
                    </w:rPr>
                    <w:t>，</w:t>
                  </w:r>
                  <w:r>
                    <w:rPr>
                      <w:rFonts w:hint="eastAsia"/>
                      <w:color w:val="auto"/>
                      <w:kern w:val="0"/>
                      <w:sz w:val="21"/>
                      <w:szCs w:val="21"/>
                      <w:lang w:val="en-US" w:eastAsia="zh-CN"/>
                    </w:rPr>
                    <w:t>用于堆放建筑废料</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4506D0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一致</w:t>
                  </w:r>
                </w:p>
              </w:tc>
              <w:tc>
                <w:tcPr>
                  <w:tcW w:w="950" w:type="pct"/>
                  <w:vMerge w:val="continue"/>
                  <w:tcBorders>
                    <w:left w:val="single" w:color="auto" w:sz="2" w:space="0"/>
                    <w:right w:val="single" w:color="auto" w:sz="2" w:space="0"/>
                    <w:tl2br w:val="nil"/>
                    <w:tr2bl w:val="nil"/>
                  </w:tcBorders>
                  <w:noWrap w:val="0"/>
                  <w:vAlign w:val="center"/>
                </w:tcPr>
                <w:p w14:paraId="317A252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p>
              </w:tc>
            </w:tr>
            <w:tr w14:paraId="2544297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continue"/>
                  <w:tcBorders>
                    <w:left w:val="single" w:color="auto" w:sz="2" w:space="0"/>
                    <w:right w:val="single" w:color="auto" w:sz="2" w:space="0"/>
                    <w:tl2br w:val="nil"/>
                    <w:tr2bl w:val="nil"/>
                  </w:tcBorders>
                  <w:noWrap w:val="0"/>
                  <w:vAlign w:val="center"/>
                </w:tcPr>
                <w:p w14:paraId="5665680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18EFA4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lang w:val="en-US" w:eastAsia="zh-CN"/>
                    </w:rPr>
                    <w:t>4</w:t>
                  </w:r>
                  <w:r>
                    <w:rPr>
                      <w:rFonts w:hint="eastAsia"/>
                      <w:color w:val="auto"/>
                      <w:kern w:val="0"/>
                      <w:sz w:val="21"/>
                      <w:szCs w:val="21"/>
                    </w:rPr>
                    <w:t>#原料仓库</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3BD3A22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eastAsia="zh-CN"/>
                    </w:rPr>
                  </w:pPr>
                  <w:r>
                    <w:rPr>
                      <w:rFonts w:hint="eastAsia"/>
                      <w:color w:val="auto"/>
                      <w:kern w:val="0"/>
                      <w:sz w:val="21"/>
                      <w:szCs w:val="21"/>
                    </w:rPr>
                    <w:t>位于项目西侧建</w:t>
                  </w:r>
                  <w:r>
                    <w:rPr>
                      <w:rFonts w:hint="eastAsia"/>
                      <w:color w:val="auto"/>
                      <w:kern w:val="0"/>
                      <w:sz w:val="21"/>
                      <w:szCs w:val="21"/>
                      <w:lang w:eastAsia="zh-CN"/>
                    </w:rPr>
                    <w:t>筑面积</w:t>
                  </w:r>
                  <w:r>
                    <w:rPr>
                      <w:rFonts w:hint="eastAsia"/>
                      <w:color w:val="auto"/>
                      <w:kern w:val="0"/>
                      <w:sz w:val="21"/>
                      <w:szCs w:val="21"/>
                    </w:rPr>
                    <w:t>306㎡</w:t>
                  </w:r>
                  <w:r>
                    <w:rPr>
                      <w:rFonts w:hint="eastAsia"/>
                      <w:color w:val="auto"/>
                      <w:kern w:val="0"/>
                      <w:sz w:val="21"/>
                      <w:szCs w:val="21"/>
                      <w:lang w:eastAsia="zh-CN"/>
                    </w:rPr>
                    <w:t>，</w:t>
                  </w:r>
                  <w:r>
                    <w:rPr>
                      <w:rFonts w:hint="eastAsia"/>
                      <w:color w:val="auto"/>
                      <w:kern w:val="0"/>
                      <w:sz w:val="21"/>
                      <w:szCs w:val="21"/>
                      <w:lang w:val="en-US" w:eastAsia="zh-CN"/>
                    </w:rPr>
                    <w:t>用于堆放脱硫石膏</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290CBB7">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color w:val="auto"/>
                      <w:kern w:val="0"/>
                      <w:sz w:val="21"/>
                      <w:szCs w:val="21"/>
                    </w:rPr>
                  </w:pPr>
                  <w:r>
                    <w:rPr>
                      <w:rFonts w:hint="eastAsia"/>
                      <w:color w:val="auto"/>
                      <w:kern w:val="0"/>
                      <w:sz w:val="21"/>
                      <w:szCs w:val="21"/>
                    </w:rPr>
                    <w:t>位于项目西侧建</w:t>
                  </w:r>
                  <w:r>
                    <w:rPr>
                      <w:rFonts w:hint="eastAsia"/>
                      <w:color w:val="auto"/>
                      <w:kern w:val="0"/>
                      <w:sz w:val="21"/>
                      <w:szCs w:val="21"/>
                      <w:lang w:eastAsia="zh-CN"/>
                    </w:rPr>
                    <w:t>筑面积</w:t>
                  </w:r>
                  <w:r>
                    <w:rPr>
                      <w:rFonts w:hint="eastAsia"/>
                      <w:color w:val="auto"/>
                      <w:kern w:val="0"/>
                      <w:sz w:val="21"/>
                      <w:szCs w:val="21"/>
                    </w:rPr>
                    <w:t>306㎡</w:t>
                  </w:r>
                  <w:r>
                    <w:rPr>
                      <w:rFonts w:hint="eastAsia"/>
                      <w:color w:val="auto"/>
                      <w:kern w:val="0"/>
                      <w:sz w:val="21"/>
                      <w:szCs w:val="21"/>
                      <w:lang w:eastAsia="zh-CN"/>
                    </w:rPr>
                    <w:t>，</w:t>
                  </w:r>
                  <w:r>
                    <w:rPr>
                      <w:rFonts w:hint="eastAsia"/>
                      <w:color w:val="auto"/>
                      <w:kern w:val="0"/>
                      <w:sz w:val="21"/>
                      <w:szCs w:val="21"/>
                      <w:lang w:val="en-US" w:eastAsia="zh-CN"/>
                    </w:rPr>
                    <w:t>用于堆放脱硫石膏</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8BBD68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一致</w:t>
                  </w:r>
                </w:p>
              </w:tc>
              <w:tc>
                <w:tcPr>
                  <w:tcW w:w="950" w:type="pct"/>
                  <w:vMerge w:val="continue"/>
                  <w:tcBorders>
                    <w:left w:val="single" w:color="auto" w:sz="2" w:space="0"/>
                    <w:right w:val="single" w:color="auto" w:sz="2" w:space="0"/>
                    <w:tl2br w:val="nil"/>
                    <w:tr2bl w:val="nil"/>
                  </w:tcBorders>
                  <w:noWrap w:val="0"/>
                  <w:vAlign w:val="center"/>
                </w:tcPr>
                <w:p w14:paraId="5E77EFA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p>
              </w:tc>
            </w:tr>
            <w:tr w14:paraId="628C23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continue"/>
                  <w:tcBorders>
                    <w:left w:val="single" w:color="auto" w:sz="2" w:space="0"/>
                    <w:right w:val="single" w:color="auto" w:sz="2" w:space="0"/>
                    <w:tl2br w:val="nil"/>
                    <w:tr2bl w:val="nil"/>
                  </w:tcBorders>
                  <w:noWrap w:val="0"/>
                  <w:vAlign w:val="center"/>
                </w:tcPr>
                <w:p w14:paraId="2A5147D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7834A1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lang w:val="en-US" w:eastAsia="zh-CN"/>
                    </w:rPr>
                    <w:t>5</w:t>
                  </w:r>
                  <w:r>
                    <w:rPr>
                      <w:rFonts w:hint="eastAsia"/>
                      <w:color w:val="auto"/>
                      <w:kern w:val="0"/>
                      <w:sz w:val="21"/>
                      <w:szCs w:val="21"/>
                    </w:rPr>
                    <w:t>#原料仓库</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2C65DDF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eastAsia="zh-CN"/>
                    </w:rPr>
                  </w:pPr>
                  <w:r>
                    <w:rPr>
                      <w:rFonts w:hint="eastAsia"/>
                      <w:color w:val="auto"/>
                      <w:kern w:val="0"/>
                      <w:sz w:val="21"/>
                      <w:szCs w:val="21"/>
                    </w:rPr>
                    <w:t>位于项目西侧建</w:t>
                  </w:r>
                  <w:r>
                    <w:rPr>
                      <w:rFonts w:hint="eastAsia"/>
                      <w:color w:val="auto"/>
                      <w:kern w:val="0"/>
                      <w:sz w:val="21"/>
                      <w:szCs w:val="21"/>
                      <w:lang w:eastAsia="zh-CN"/>
                    </w:rPr>
                    <w:t>筑面积</w:t>
                  </w:r>
                  <w:r>
                    <w:rPr>
                      <w:rFonts w:hint="eastAsia"/>
                      <w:color w:val="auto"/>
                      <w:kern w:val="0"/>
                      <w:sz w:val="21"/>
                      <w:szCs w:val="21"/>
                    </w:rPr>
                    <w:t>306㎡</w:t>
                  </w:r>
                  <w:r>
                    <w:rPr>
                      <w:rFonts w:hint="eastAsia"/>
                      <w:color w:val="auto"/>
                      <w:kern w:val="0"/>
                      <w:sz w:val="21"/>
                      <w:szCs w:val="21"/>
                      <w:lang w:eastAsia="zh-CN"/>
                    </w:rPr>
                    <w:t>，</w:t>
                  </w:r>
                  <w:r>
                    <w:rPr>
                      <w:rFonts w:hint="eastAsia"/>
                      <w:color w:val="auto"/>
                      <w:kern w:val="0"/>
                      <w:sz w:val="21"/>
                      <w:szCs w:val="21"/>
                      <w:lang w:val="en-US" w:eastAsia="zh-CN"/>
                    </w:rPr>
                    <w:t>用于堆放破陶瓷砖拋光泥</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C83061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color w:val="auto"/>
                      <w:kern w:val="0"/>
                      <w:sz w:val="21"/>
                      <w:szCs w:val="21"/>
                    </w:rPr>
                  </w:pPr>
                  <w:r>
                    <w:rPr>
                      <w:rFonts w:hint="eastAsia"/>
                      <w:color w:val="auto"/>
                      <w:kern w:val="0"/>
                      <w:sz w:val="21"/>
                      <w:szCs w:val="21"/>
                    </w:rPr>
                    <w:t>位于项目西侧建</w:t>
                  </w:r>
                  <w:r>
                    <w:rPr>
                      <w:rFonts w:hint="eastAsia"/>
                      <w:color w:val="auto"/>
                      <w:kern w:val="0"/>
                      <w:sz w:val="21"/>
                      <w:szCs w:val="21"/>
                      <w:lang w:eastAsia="zh-CN"/>
                    </w:rPr>
                    <w:t>筑面积</w:t>
                  </w:r>
                  <w:r>
                    <w:rPr>
                      <w:rFonts w:hint="eastAsia"/>
                      <w:color w:val="auto"/>
                      <w:kern w:val="0"/>
                      <w:sz w:val="21"/>
                      <w:szCs w:val="21"/>
                    </w:rPr>
                    <w:t>306㎡</w:t>
                  </w:r>
                  <w:r>
                    <w:rPr>
                      <w:rFonts w:hint="eastAsia"/>
                      <w:color w:val="auto"/>
                      <w:kern w:val="0"/>
                      <w:sz w:val="21"/>
                      <w:szCs w:val="21"/>
                      <w:lang w:eastAsia="zh-CN"/>
                    </w:rPr>
                    <w:t>，</w:t>
                  </w:r>
                  <w:r>
                    <w:rPr>
                      <w:rFonts w:hint="eastAsia"/>
                      <w:color w:val="auto"/>
                      <w:kern w:val="0"/>
                      <w:sz w:val="21"/>
                      <w:szCs w:val="21"/>
                      <w:lang w:val="en-US" w:eastAsia="zh-CN"/>
                    </w:rPr>
                    <w:t>用于堆放破陶瓷砖拋光泥</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06BA25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一致</w:t>
                  </w:r>
                </w:p>
              </w:tc>
              <w:tc>
                <w:tcPr>
                  <w:tcW w:w="950" w:type="pct"/>
                  <w:vMerge w:val="continue"/>
                  <w:tcBorders>
                    <w:left w:val="single" w:color="auto" w:sz="2" w:space="0"/>
                    <w:right w:val="single" w:color="auto" w:sz="2" w:space="0"/>
                    <w:tl2br w:val="nil"/>
                    <w:tr2bl w:val="nil"/>
                  </w:tcBorders>
                  <w:noWrap w:val="0"/>
                  <w:vAlign w:val="center"/>
                </w:tcPr>
                <w:p w14:paraId="5134F44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p>
              </w:tc>
            </w:tr>
            <w:tr w14:paraId="116A6A9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continue"/>
                  <w:tcBorders>
                    <w:left w:val="single" w:color="auto" w:sz="2" w:space="0"/>
                    <w:bottom w:val="single" w:color="auto" w:sz="2" w:space="0"/>
                    <w:right w:val="single" w:color="auto" w:sz="2" w:space="0"/>
                    <w:tl2br w:val="nil"/>
                    <w:tr2bl w:val="nil"/>
                  </w:tcBorders>
                  <w:noWrap w:val="0"/>
                  <w:vAlign w:val="center"/>
                </w:tcPr>
                <w:p w14:paraId="1454B45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670BF5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lang w:val="en-US" w:eastAsia="zh-CN"/>
                    </w:rPr>
                    <w:t>6</w:t>
                  </w:r>
                  <w:r>
                    <w:rPr>
                      <w:rFonts w:hint="eastAsia"/>
                      <w:color w:val="auto"/>
                      <w:kern w:val="0"/>
                      <w:sz w:val="21"/>
                      <w:szCs w:val="21"/>
                    </w:rPr>
                    <w:t>#原料仓库</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03DEA3B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rPr>
                    <w:t>位于项目西侧</w:t>
                  </w:r>
                  <w:r>
                    <w:rPr>
                      <w:rFonts w:hint="eastAsia"/>
                      <w:color w:val="auto"/>
                      <w:kern w:val="0"/>
                      <w:sz w:val="21"/>
                      <w:szCs w:val="21"/>
                      <w:lang w:eastAsia="zh-CN"/>
                    </w:rPr>
                    <w:t>总建筑面积</w:t>
                  </w:r>
                  <w:r>
                    <w:rPr>
                      <w:rFonts w:hint="eastAsia"/>
                      <w:color w:val="auto"/>
                      <w:kern w:val="0"/>
                      <w:sz w:val="21"/>
                      <w:szCs w:val="21"/>
                    </w:rPr>
                    <w:t>306㎡</w:t>
                  </w:r>
                  <w:r>
                    <w:rPr>
                      <w:rFonts w:hint="eastAsia"/>
                      <w:color w:val="auto"/>
                      <w:kern w:val="0"/>
                      <w:sz w:val="21"/>
                      <w:szCs w:val="21"/>
                      <w:lang w:eastAsia="zh-CN"/>
                    </w:rPr>
                    <w:t>，</w:t>
                  </w:r>
                  <w:r>
                    <w:rPr>
                      <w:rFonts w:hint="eastAsia"/>
                      <w:color w:val="auto"/>
                      <w:kern w:val="0"/>
                      <w:sz w:val="21"/>
                      <w:szCs w:val="21"/>
                      <w:lang w:val="en-US" w:eastAsia="zh-CN"/>
                    </w:rPr>
                    <w:t>其他原料</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253D3F6">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color w:val="auto"/>
                      <w:kern w:val="0"/>
                      <w:sz w:val="21"/>
                      <w:szCs w:val="21"/>
                    </w:rPr>
                  </w:pPr>
                  <w:r>
                    <w:rPr>
                      <w:rFonts w:hint="eastAsia"/>
                      <w:color w:val="auto"/>
                      <w:kern w:val="0"/>
                      <w:sz w:val="21"/>
                      <w:szCs w:val="21"/>
                    </w:rPr>
                    <w:t>位于项目西侧</w:t>
                  </w:r>
                  <w:r>
                    <w:rPr>
                      <w:rFonts w:hint="eastAsia"/>
                      <w:color w:val="auto"/>
                      <w:kern w:val="0"/>
                      <w:sz w:val="21"/>
                      <w:szCs w:val="21"/>
                      <w:lang w:eastAsia="zh-CN"/>
                    </w:rPr>
                    <w:t>总建筑面积</w:t>
                  </w:r>
                  <w:r>
                    <w:rPr>
                      <w:rFonts w:hint="eastAsia"/>
                      <w:color w:val="auto"/>
                      <w:kern w:val="0"/>
                      <w:sz w:val="21"/>
                      <w:szCs w:val="21"/>
                    </w:rPr>
                    <w:t>306㎡</w:t>
                  </w:r>
                  <w:r>
                    <w:rPr>
                      <w:rFonts w:hint="eastAsia"/>
                      <w:color w:val="auto"/>
                      <w:kern w:val="0"/>
                      <w:sz w:val="21"/>
                      <w:szCs w:val="21"/>
                      <w:lang w:eastAsia="zh-CN"/>
                    </w:rPr>
                    <w:t>，</w:t>
                  </w:r>
                  <w:r>
                    <w:rPr>
                      <w:rFonts w:hint="eastAsia"/>
                      <w:color w:val="auto"/>
                      <w:kern w:val="0"/>
                      <w:sz w:val="21"/>
                      <w:szCs w:val="21"/>
                      <w:lang w:val="en-US" w:eastAsia="zh-CN"/>
                    </w:rPr>
                    <w:t>其他原料</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7D2A1A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一致</w:t>
                  </w:r>
                </w:p>
              </w:tc>
              <w:tc>
                <w:tcPr>
                  <w:tcW w:w="950" w:type="pct"/>
                  <w:vMerge w:val="continue"/>
                  <w:tcBorders>
                    <w:left w:val="single" w:color="auto" w:sz="2" w:space="0"/>
                    <w:right w:val="single" w:color="auto" w:sz="2" w:space="0"/>
                    <w:tl2br w:val="nil"/>
                    <w:tr2bl w:val="nil"/>
                  </w:tcBorders>
                  <w:noWrap w:val="0"/>
                  <w:vAlign w:val="center"/>
                </w:tcPr>
                <w:p w14:paraId="3F3750D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p>
              </w:tc>
            </w:tr>
            <w:tr w14:paraId="4F3B888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restart"/>
                  <w:tcBorders>
                    <w:top w:val="single" w:color="auto" w:sz="2" w:space="0"/>
                    <w:left w:val="single" w:color="auto" w:sz="2" w:space="0"/>
                    <w:right w:val="single" w:color="auto" w:sz="2" w:space="0"/>
                    <w:tl2br w:val="nil"/>
                    <w:tr2bl w:val="nil"/>
                  </w:tcBorders>
                  <w:noWrap w:val="0"/>
                  <w:vAlign w:val="center"/>
                </w:tcPr>
                <w:p w14:paraId="4900A15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公辅设施</w:t>
                  </w:r>
                </w:p>
              </w:tc>
              <w:tc>
                <w:tcPr>
                  <w:tcW w:w="5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F3D56E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排水</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57D7A63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lang w:val="zh-CN"/>
                    </w:rPr>
                    <w:t>生活污水经化粪池预处理后，达到建筑陶瓷产业园污水处理厂接管标准后，通过市政污水管网排入。</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EF5486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default"/>
                      <w:color w:val="auto"/>
                      <w:kern w:val="0"/>
                      <w:sz w:val="21"/>
                      <w:szCs w:val="21"/>
                      <w:lang w:val="zh-CN"/>
                    </w:rPr>
                    <w:t>生活污水经化粪池预处理后，</w:t>
                  </w:r>
                  <w:r>
                    <w:rPr>
                      <w:rFonts w:hint="eastAsia"/>
                      <w:color w:val="auto"/>
                      <w:kern w:val="0"/>
                      <w:sz w:val="21"/>
                      <w:szCs w:val="21"/>
                      <w:lang w:val="zh-CN"/>
                    </w:rPr>
                    <w:t>达到</w:t>
                  </w:r>
                  <w:r>
                    <w:rPr>
                      <w:rFonts w:hint="default"/>
                      <w:color w:val="auto"/>
                      <w:kern w:val="0"/>
                      <w:sz w:val="21"/>
                      <w:szCs w:val="21"/>
                      <w:lang w:val="zh-CN"/>
                    </w:rPr>
                    <w:t>建筑陶瓷产业园污水处理厂接管标准后，通过市政污水管网排入。</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66E39E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一致</w:t>
                  </w:r>
                </w:p>
              </w:tc>
              <w:tc>
                <w:tcPr>
                  <w:tcW w:w="950" w:type="pct"/>
                  <w:vMerge w:val="continue"/>
                  <w:tcBorders>
                    <w:left w:val="single" w:color="auto" w:sz="2" w:space="0"/>
                    <w:right w:val="single" w:color="auto" w:sz="2" w:space="0"/>
                    <w:tl2br w:val="nil"/>
                    <w:tr2bl w:val="nil"/>
                  </w:tcBorders>
                  <w:noWrap w:val="0"/>
                  <w:vAlign w:val="center"/>
                </w:tcPr>
                <w:p w14:paraId="5D15061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p>
              </w:tc>
            </w:tr>
            <w:tr w14:paraId="4381CD4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continue"/>
                  <w:tcBorders>
                    <w:left w:val="single" w:color="auto" w:sz="2" w:space="0"/>
                    <w:right w:val="single" w:color="auto" w:sz="2" w:space="0"/>
                    <w:tl2br w:val="nil"/>
                    <w:tr2bl w:val="nil"/>
                  </w:tcBorders>
                  <w:noWrap w:val="0"/>
                  <w:vAlign w:val="center"/>
                </w:tcPr>
                <w:p w14:paraId="38D95C1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ED0EEC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olor w:val="auto"/>
                      <w:kern w:val="0"/>
                      <w:sz w:val="21"/>
                      <w:szCs w:val="21"/>
                    </w:rPr>
                  </w:pPr>
                  <w:r>
                    <w:rPr>
                      <w:rFonts w:hint="eastAsia"/>
                      <w:color w:val="auto"/>
                      <w:kern w:val="0"/>
                      <w:sz w:val="21"/>
                      <w:szCs w:val="21"/>
                    </w:rPr>
                    <w:t>给水</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510DE03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olor w:val="auto"/>
                      <w:kern w:val="0"/>
                      <w:sz w:val="21"/>
                      <w:szCs w:val="21"/>
                      <w:lang w:val="zh-CN"/>
                    </w:rPr>
                  </w:pPr>
                  <w:r>
                    <w:rPr>
                      <w:rFonts w:hint="eastAsia"/>
                      <w:color w:val="auto"/>
                      <w:kern w:val="0"/>
                      <w:sz w:val="21"/>
                      <w:szCs w:val="21"/>
                    </w:rPr>
                    <w:t>工业园自来水管网供水。</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ED30DAD">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olor w:val="auto"/>
                      <w:kern w:val="0"/>
                      <w:sz w:val="21"/>
                      <w:szCs w:val="21"/>
                      <w:lang w:val="en-US" w:eastAsia="zh-CN"/>
                    </w:rPr>
                  </w:pPr>
                  <w:r>
                    <w:rPr>
                      <w:rFonts w:hint="eastAsia"/>
                      <w:color w:val="auto"/>
                      <w:kern w:val="0"/>
                      <w:sz w:val="21"/>
                      <w:szCs w:val="21"/>
                    </w:rPr>
                    <w:t>工业园自来水管网供水。</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9CBF54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一致</w:t>
                  </w:r>
                </w:p>
              </w:tc>
              <w:tc>
                <w:tcPr>
                  <w:tcW w:w="950" w:type="pct"/>
                  <w:vMerge w:val="continue"/>
                  <w:tcBorders>
                    <w:left w:val="single" w:color="auto" w:sz="2" w:space="0"/>
                    <w:right w:val="single" w:color="auto" w:sz="2" w:space="0"/>
                    <w:tl2br w:val="nil"/>
                    <w:tr2bl w:val="nil"/>
                  </w:tcBorders>
                  <w:noWrap w:val="0"/>
                  <w:vAlign w:val="center"/>
                </w:tcPr>
                <w:p w14:paraId="0B6B843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p>
              </w:tc>
            </w:tr>
            <w:tr w14:paraId="3A0FB8A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continue"/>
                  <w:tcBorders>
                    <w:left w:val="single" w:color="auto" w:sz="2" w:space="0"/>
                    <w:bottom w:val="single" w:color="auto" w:sz="2" w:space="0"/>
                    <w:right w:val="single" w:color="auto" w:sz="2" w:space="0"/>
                    <w:tl2br w:val="nil"/>
                    <w:tr2bl w:val="nil"/>
                  </w:tcBorders>
                  <w:noWrap w:val="0"/>
                  <w:vAlign w:val="center"/>
                </w:tcPr>
                <w:p w14:paraId="382BFE8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1014C1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供电</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6B11BE6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由工业园电网供电。</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DADF6C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color w:val="auto"/>
                      <w:kern w:val="0"/>
                      <w:sz w:val="21"/>
                      <w:szCs w:val="21"/>
                    </w:rPr>
                  </w:pPr>
                  <w:r>
                    <w:rPr>
                      <w:rFonts w:hint="eastAsia"/>
                      <w:color w:val="auto"/>
                      <w:kern w:val="0"/>
                      <w:sz w:val="21"/>
                      <w:szCs w:val="21"/>
                    </w:rPr>
                    <w:t>由工业园电网供电。</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D4CCE5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一致</w:t>
                  </w:r>
                </w:p>
              </w:tc>
              <w:tc>
                <w:tcPr>
                  <w:tcW w:w="950" w:type="pct"/>
                  <w:vMerge w:val="continue"/>
                  <w:tcBorders>
                    <w:left w:val="single" w:color="auto" w:sz="2" w:space="0"/>
                    <w:bottom w:val="single" w:color="auto" w:sz="2" w:space="0"/>
                    <w:right w:val="single" w:color="auto" w:sz="2" w:space="0"/>
                    <w:tl2br w:val="nil"/>
                    <w:tr2bl w:val="nil"/>
                  </w:tcBorders>
                  <w:noWrap w:val="0"/>
                  <w:vAlign w:val="center"/>
                </w:tcPr>
                <w:p w14:paraId="70D37D1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p>
              </w:tc>
            </w:tr>
            <w:tr w14:paraId="1C40649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restart"/>
                  <w:tcBorders>
                    <w:top w:val="single" w:color="auto" w:sz="2" w:space="0"/>
                    <w:left w:val="single" w:color="auto" w:sz="2" w:space="0"/>
                    <w:right w:val="single" w:color="auto" w:sz="2" w:space="0"/>
                    <w:tl2br w:val="nil"/>
                    <w:tr2bl w:val="nil"/>
                  </w:tcBorders>
                  <w:noWrap w:val="0"/>
                  <w:vAlign w:val="center"/>
                </w:tcPr>
                <w:p w14:paraId="697C428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环保</w:t>
                  </w:r>
                </w:p>
                <w:p w14:paraId="7FB2768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工程</w:t>
                  </w:r>
                </w:p>
              </w:tc>
              <w:tc>
                <w:tcPr>
                  <w:tcW w:w="501" w:type="pct"/>
                  <w:vMerge w:val="restart"/>
                  <w:tcBorders>
                    <w:top w:val="single" w:color="auto" w:sz="2" w:space="0"/>
                    <w:left w:val="single" w:color="auto" w:sz="2" w:space="0"/>
                    <w:bottom w:val="single" w:color="auto" w:sz="2" w:space="0"/>
                    <w:right w:val="single" w:color="auto" w:sz="2" w:space="0"/>
                    <w:tl2br w:val="nil"/>
                    <w:tr2bl w:val="nil"/>
                  </w:tcBorders>
                  <w:noWrap w:val="0"/>
                  <w:vAlign w:val="center"/>
                </w:tcPr>
                <w:p w14:paraId="324682F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废气收集处理设施</w:t>
                  </w:r>
                </w:p>
              </w:tc>
              <w:tc>
                <w:tcPr>
                  <w:tcW w:w="37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303C09D">
                  <w:pPr>
                    <w:pStyle w:val="56"/>
                    <w:keepNext w:val="0"/>
                    <w:keepLines w:val="0"/>
                    <w:suppressLineNumbers w:val="0"/>
                    <w:bidi w:val="0"/>
                    <w:spacing w:before="0" w:beforeAutospacing="0" w:after="0" w:afterAutospacing="0"/>
                    <w:ind w:left="0" w:leftChars="0" w:right="0" w:rightChars="0" w:firstLine="0" w:firstLineChars="0"/>
                    <w:jc w:val="center"/>
                    <w:rPr>
                      <w:rFonts w:hint="eastAsia"/>
                      <w:color w:val="auto"/>
                      <w:kern w:val="0"/>
                      <w:sz w:val="21"/>
                      <w:szCs w:val="21"/>
                    </w:rPr>
                  </w:pPr>
                  <w:r>
                    <w:rPr>
                      <w:rFonts w:hint="eastAsia" w:cs="Times New Roman"/>
                      <w:color w:val="auto"/>
                      <w:lang w:val="en-US" w:eastAsia="zh-CN"/>
                    </w:rPr>
                    <w:t>筛选破碎废气</w:t>
                  </w:r>
                </w:p>
              </w:tc>
              <w:tc>
                <w:tcPr>
                  <w:tcW w:w="801" w:type="pct"/>
                  <w:vMerge w:val="restart"/>
                  <w:tcBorders>
                    <w:top w:val="single" w:color="auto" w:sz="2" w:space="0"/>
                    <w:left w:val="single" w:color="auto" w:sz="2" w:space="0"/>
                    <w:right w:val="single" w:color="auto" w:sz="2" w:space="0"/>
                    <w:tl2br w:val="nil"/>
                    <w:tr2bl w:val="nil"/>
                  </w:tcBorders>
                  <w:noWrap w:val="0"/>
                  <w:vAlign w:val="center"/>
                </w:tcPr>
                <w:p w14:paraId="7465CE8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lang w:val="en-US" w:eastAsia="zh-CN"/>
                    </w:rPr>
                    <w:t>筛选破碎粉尘、投料粉尘经3个集气罩收集+1个布袋除尘处理后与水泥筒库顶呼吸孔粉尘经过自带高效袋式除尘设备处理后一并通过15m的排气筒排放（DA001）</w:t>
                  </w:r>
                </w:p>
              </w:tc>
              <w:tc>
                <w:tcPr>
                  <w:tcW w:w="1132" w:type="pct"/>
                  <w:vMerge w:val="restart"/>
                  <w:tcBorders>
                    <w:top w:val="single" w:color="auto" w:sz="2" w:space="0"/>
                    <w:left w:val="single" w:color="auto" w:sz="2" w:space="0"/>
                    <w:right w:val="single" w:color="auto" w:sz="2" w:space="0"/>
                    <w:tl2br w:val="nil"/>
                    <w:tr2bl w:val="nil"/>
                  </w:tcBorders>
                  <w:noWrap w:val="0"/>
                  <w:vAlign w:val="center"/>
                </w:tcPr>
                <w:p w14:paraId="48F52BAE">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筛选破碎废气、投料废气、搅拌废气，经3个集气罩收集+1个布袋除尘处理后通过15m的排 气筒排放（DA001）</w:t>
                  </w:r>
                </w:p>
              </w:tc>
              <w:tc>
                <w:tcPr>
                  <w:tcW w:w="964" w:type="pct"/>
                  <w:vMerge w:val="restart"/>
                  <w:tcBorders>
                    <w:top w:val="single" w:color="auto" w:sz="2" w:space="0"/>
                    <w:left w:val="single" w:color="auto" w:sz="2" w:space="0"/>
                    <w:right w:val="single" w:color="auto" w:sz="2" w:space="0"/>
                    <w:tl2br w:val="nil"/>
                    <w:tr2bl w:val="nil"/>
                  </w:tcBorders>
                  <w:noWrap w:val="0"/>
                  <w:vAlign w:val="center"/>
                </w:tcPr>
                <w:p w14:paraId="1A956A5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原本水泥筒库顶呼吸孔粉尘经过自带高效袋式除尘设备处理后通过15m的排气筒排放（DA001），变更为经过</w:t>
                  </w:r>
                  <w:r>
                    <w:rPr>
                      <w:rFonts w:hint="eastAsia" w:cs="Times New Roman"/>
                      <w:color w:val="auto"/>
                      <w:kern w:val="0"/>
                      <w:sz w:val="21"/>
                      <w:szCs w:val="21"/>
                      <w:lang w:val="en-US" w:eastAsia="zh-CN"/>
                    </w:rPr>
                    <w:t>自带高效袋式除尘设备处理后无组织排放（排口高度5米）</w:t>
                  </w:r>
                </w:p>
              </w:tc>
              <w:tc>
                <w:tcPr>
                  <w:tcW w:w="950" w:type="pct"/>
                  <w:vMerge w:val="restart"/>
                  <w:tcBorders>
                    <w:top w:val="single" w:color="auto" w:sz="2" w:space="0"/>
                    <w:left w:val="single" w:color="auto" w:sz="2" w:space="0"/>
                    <w:right w:val="single" w:color="auto" w:sz="2" w:space="0"/>
                    <w:tl2br w:val="nil"/>
                    <w:tr2bl w:val="nil"/>
                  </w:tcBorders>
                  <w:noWrap w:val="0"/>
                  <w:vAlign w:val="center"/>
                </w:tcPr>
                <w:p w14:paraId="539F732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依托现有</w:t>
                  </w:r>
                </w:p>
              </w:tc>
            </w:tr>
            <w:tr w14:paraId="0775B1E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continue"/>
                  <w:tcBorders>
                    <w:left w:val="single" w:color="auto" w:sz="2" w:space="0"/>
                    <w:right w:val="single" w:color="auto" w:sz="2" w:space="0"/>
                    <w:tl2br w:val="nil"/>
                    <w:tr2bl w:val="nil"/>
                  </w:tcBorders>
                  <w:noWrap w:val="0"/>
                  <w:vAlign w:val="center"/>
                </w:tcPr>
                <w:p w14:paraId="3FE6542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3039B16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37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ECE3B8A">
                  <w:pPr>
                    <w:pStyle w:val="56"/>
                    <w:keepNext w:val="0"/>
                    <w:keepLines w:val="0"/>
                    <w:suppressLineNumbers w:val="0"/>
                    <w:bidi w:val="0"/>
                    <w:spacing w:before="0" w:beforeAutospacing="0" w:after="0" w:afterAutospacing="0"/>
                    <w:ind w:left="0" w:leftChars="0" w:right="0" w:rightChars="0" w:firstLine="0" w:firstLineChars="0"/>
                    <w:jc w:val="center"/>
                    <w:rPr>
                      <w:rFonts w:hint="default"/>
                      <w:color w:val="auto"/>
                      <w:kern w:val="0"/>
                      <w:sz w:val="21"/>
                      <w:szCs w:val="21"/>
                    </w:rPr>
                  </w:pPr>
                  <w:r>
                    <w:rPr>
                      <w:rFonts w:hint="eastAsia" w:cs="Times New Roman"/>
                      <w:color w:val="auto"/>
                      <w:lang w:val="en-US" w:eastAsia="zh-CN"/>
                    </w:rPr>
                    <w:t>投料废气</w:t>
                  </w:r>
                </w:p>
              </w:tc>
              <w:tc>
                <w:tcPr>
                  <w:tcW w:w="801" w:type="pct"/>
                  <w:vMerge w:val="continue"/>
                  <w:tcBorders>
                    <w:left w:val="single" w:color="auto" w:sz="2" w:space="0"/>
                    <w:right w:val="single" w:color="auto" w:sz="2" w:space="0"/>
                    <w:tl2br w:val="nil"/>
                    <w:tr2bl w:val="nil"/>
                  </w:tcBorders>
                  <w:noWrap w:val="0"/>
                  <w:vAlign w:val="center"/>
                </w:tcPr>
                <w:p w14:paraId="44529E5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1132" w:type="pct"/>
                  <w:vMerge w:val="continue"/>
                  <w:tcBorders>
                    <w:left w:val="single" w:color="auto" w:sz="2" w:space="0"/>
                    <w:right w:val="single" w:color="auto" w:sz="2" w:space="0"/>
                    <w:tl2br w:val="nil"/>
                    <w:tr2bl w:val="nil"/>
                  </w:tcBorders>
                  <w:noWrap w:val="0"/>
                  <w:vAlign w:val="center"/>
                </w:tcPr>
                <w:p w14:paraId="5EE62D1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964" w:type="pct"/>
                  <w:vMerge w:val="continue"/>
                  <w:tcBorders>
                    <w:left w:val="single" w:color="auto" w:sz="2" w:space="0"/>
                    <w:right w:val="single" w:color="auto" w:sz="2" w:space="0"/>
                    <w:tl2br w:val="nil"/>
                    <w:tr2bl w:val="nil"/>
                  </w:tcBorders>
                  <w:noWrap w:val="0"/>
                  <w:vAlign w:val="center"/>
                </w:tcPr>
                <w:p w14:paraId="6A5763A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950" w:type="pct"/>
                  <w:vMerge w:val="continue"/>
                  <w:tcBorders>
                    <w:left w:val="single" w:color="auto" w:sz="2" w:space="0"/>
                    <w:right w:val="single" w:color="auto" w:sz="2" w:space="0"/>
                    <w:tl2br w:val="nil"/>
                    <w:tr2bl w:val="nil"/>
                  </w:tcBorders>
                  <w:noWrap w:val="0"/>
                  <w:vAlign w:val="center"/>
                </w:tcPr>
                <w:p w14:paraId="542841F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r>
            <w:tr w14:paraId="3A33D09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52" w:hRule="atLeast"/>
                <w:jc w:val="center"/>
              </w:trPr>
              <w:tc>
                <w:tcPr>
                  <w:tcW w:w="272" w:type="pct"/>
                  <w:vMerge w:val="continue"/>
                  <w:tcBorders>
                    <w:left w:val="single" w:color="auto" w:sz="2" w:space="0"/>
                    <w:right w:val="single" w:color="auto" w:sz="2" w:space="0"/>
                    <w:tl2br w:val="nil"/>
                    <w:tr2bl w:val="nil"/>
                  </w:tcBorders>
                  <w:noWrap w:val="0"/>
                  <w:vAlign w:val="center"/>
                </w:tcPr>
                <w:p w14:paraId="5CC0B94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vMerge w:val="continue"/>
                  <w:tcBorders>
                    <w:top w:val="single" w:color="auto" w:sz="2" w:space="0"/>
                    <w:left w:val="single" w:color="auto" w:sz="2" w:space="0"/>
                    <w:bottom w:val="single" w:color="auto" w:sz="2" w:space="0"/>
                    <w:right w:val="single" w:color="auto" w:sz="2" w:space="0"/>
                    <w:tl2br w:val="nil"/>
                    <w:tr2bl w:val="nil"/>
                  </w:tcBorders>
                  <w:noWrap w:val="0"/>
                  <w:vAlign w:val="center"/>
                </w:tcPr>
                <w:p w14:paraId="037130E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37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FCCBE9A">
                  <w:pPr>
                    <w:pStyle w:val="56"/>
                    <w:keepNext w:val="0"/>
                    <w:keepLines w:val="0"/>
                    <w:suppressLineNumbers w:val="0"/>
                    <w:bidi w:val="0"/>
                    <w:spacing w:before="0" w:beforeAutospacing="0" w:after="0" w:afterAutospacing="0"/>
                    <w:ind w:left="0" w:leftChars="0" w:right="0" w:rightChars="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搅拌废气</w:t>
                  </w:r>
                </w:p>
              </w:tc>
              <w:tc>
                <w:tcPr>
                  <w:tcW w:w="801" w:type="pct"/>
                  <w:vMerge w:val="continue"/>
                  <w:tcBorders>
                    <w:left w:val="single" w:color="auto" w:sz="2" w:space="0"/>
                    <w:right w:val="single" w:color="auto" w:sz="2" w:space="0"/>
                    <w:tl2br w:val="nil"/>
                    <w:tr2bl w:val="nil"/>
                  </w:tcBorders>
                  <w:noWrap w:val="0"/>
                  <w:vAlign w:val="center"/>
                </w:tcPr>
                <w:p w14:paraId="75687C1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1132" w:type="pct"/>
                  <w:vMerge w:val="continue"/>
                  <w:tcBorders>
                    <w:left w:val="single" w:color="auto" w:sz="2" w:space="0"/>
                    <w:right w:val="single" w:color="auto" w:sz="2" w:space="0"/>
                    <w:tl2br w:val="nil"/>
                    <w:tr2bl w:val="nil"/>
                  </w:tcBorders>
                  <w:noWrap w:val="0"/>
                  <w:vAlign w:val="center"/>
                </w:tcPr>
                <w:p w14:paraId="4367488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964" w:type="pct"/>
                  <w:vMerge w:val="continue"/>
                  <w:tcBorders>
                    <w:left w:val="single" w:color="auto" w:sz="2" w:space="0"/>
                    <w:right w:val="single" w:color="auto" w:sz="2" w:space="0"/>
                    <w:tl2br w:val="nil"/>
                    <w:tr2bl w:val="nil"/>
                  </w:tcBorders>
                  <w:noWrap w:val="0"/>
                  <w:vAlign w:val="center"/>
                </w:tcPr>
                <w:p w14:paraId="2A16CB9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950" w:type="pct"/>
                  <w:vMerge w:val="continue"/>
                  <w:tcBorders>
                    <w:left w:val="single" w:color="auto" w:sz="2" w:space="0"/>
                    <w:right w:val="single" w:color="auto" w:sz="2" w:space="0"/>
                    <w:tl2br w:val="nil"/>
                    <w:tr2bl w:val="nil"/>
                  </w:tcBorders>
                  <w:noWrap w:val="0"/>
                  <w:vAlign w:val="center"/>
                </w:tcPr>
                <w:p w14:paraId="63A71DD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r>
            <w:tr w14:paraId="39521B7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32" w:hRule="atLeast"/>
                <w:jc w:val="center"/>
              </w:trPr>
              <w:tc>
                <w:tcPr>
                  <w:tcW w:w="272" w:type="pct"/>
                  <w:vMerge w:val="continue"/>
                  <w:tcBorders>
                    <w:left w:val="single" w:color="auto" w:sz="2" w:space="0"/>
                    <w:right w:val="single" w:color="auto" w:sz="2" w:space="0"/>
                    <w:tl2br w:val="nil"/>
                    <w:tr2bl w:val="nil"/>
                  </w:tcBorders>
                  <w:noWrap w:val="0"/>
                  <w:vAlign w:val="center"/>
                </w:tcPr>
                <w:p w14:paraId="6B98380C">
                  <w:pPr>
                    <w:pStyle w:val="56"/>
                    <w:keepNext w:val="0"/>
                    <w:keepLines w:val="0"/>
                    <w:suppressLineNumbers w:val="0"/>
                    <w:bidi w:val="0"/>
                    <w:spacing w:before="0" w:beforeAutospacing="0" w:after="0" w:afterAutospacing="0"/>
                    <w:ind w:left="0" w:leftChars="0" w:right="0" w:rightChars="0" w:firstLine="0" w:firstLineChars="0"/>
                    <w:jc w:val="center"/>
                    <w:rPr>
                      <w:rFonts w:hint="default"/>
                      <w:color w:val="auto"/>
                    </w:rPr>
                  </w:pPr>
                </w:p>
              </w:tc>
              <w:tc>
                <w:tcPr>
                  <w:tcW w:w="501" w:type="pct"/>
                  <w:vMerge w:val="continue"/>
                  <w:tcBorders>
                    <w:left w:val="single" w:color="auto" w:sz="2" w:space="0"/>
                    <w:bottom w:val="single" w:color="auto" w:sz="2" w:space="0"/>
                    <w:right w:val="single" w:color="auto" w:sz="2" w:space="0"/>
                    <w:tl2br w:val="nil"/>
                    <w:tr2bl w:val="nil"/>
                  </w:tcBorders>
                  <w:noWrap w:val="0"/>
                  <w:vAlign w:val="center"/>
                </w:tcPr>
                <w:p w14:paraId="1186FC46">
                  <w:pPr>
                    <w:pStyle w:val="56"/>
                    <w:keepNext w:val="0"/>
                    <w:keepLines w:val="0"/>
                    <w:suppressLineNumbers w:val="0"/>
                    <w:bidi w:val="0"/>
                    <w:spacing w:before="0" w:beforeAutospacing="0" w:after="0" w:afterAutospacing="0"/>
                    <w:ind w:left="0" w:leftChars="0" w:right="0" w:rightChars="0" w:firstLine="0" w:firstLineChars="0"/>
                    <w:jc w:val="center"/>
                    <w:rPr>
                      <w:rFonts w:hint="default"/>
                      <w:color w:val="auto"/>
                    </w:rPr>
                  </w:pPr>
                </w:p>
              </w:tc>
              <w:tc>
                <w:tcPr>
                  <w:tcW w:w="37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C1AA50E">
                  <w:pPr>
                    <w:pStyle w:val="56"/>
                    <w:keepNext w:val="0"/>
                    <w:keepLines w:val="0"/>
                    <w:suppressLineNumbers w:val="0"/>
                    <w:bidi w:val="0"/>
                    <w:spacing w:before="0" w:beforeAutospacing="0" w:after="0" w:afterAutospacing="0"/>
                    <w:ind w:left="0" w:leftChars="0" w:right="0" w:rightChars="0" w:firstLine="0" w:firstLineChars="0"/>
                    <w:jc w:val="center"/>
                    <w:rPr>
                      <w:rFonts w:hint="default" w:cs="Times New Roman"/>
                      <w:color w:val="auto"/>
                      <w:lang w:val="en-US" w:eastAsia="zh-CN"/>
                    </w:rPr>
                  </w:pPr>
                  <w:r>
                    <w:rPr>
                      <w:rFonts w:hint="default" w:cs="Times New Roman"/>
                      <w:color w:val="auto"/>
                      <w:lang w:val="en-US" w:eastAsia="zh-CN"/>
                    </w:rPr>
                    <w:t>水泥筒库顶呼吸孔粉尘</w:t>
                  </w:r>
                </w:p>
              </w:tc>
              <w:tc>
                <w:tcPr>
                  <w:tcW w:w="801" w:type="pct"/>
                  <w:vMerge w:val="continue"/>
                  <w:tcBorders>
                    <w:left w:val="single" w:color="auto" w:sz="2" w:space="0"/>
                    <w:bottom w:val="single" w:color="auto" w:sz="2" w:space="0"/>
                    <w:right w:val="single" w:color="auto" w:sz="2" w:space="0"/>
                    <w:tl2br w:val="nil"/>
                    <w:tr2bl w:val="nil"/>
                  </w:tcBorders>
                  <w:noWrap w:val="0"/>
                  <w:vAlign w:val="center"/>
                </w:tcPr>
                <w:p w14:paraId="7FB50B1E">
                  <w:pPr>
                    <w:pStyle w:val="56"/>
                    <w:keepNext w:val="0"/>
                    <w:keepLines w:val="0"/>
                    <w:suppressLineNumbers w:val="0"/>
                    <w:bidi w:val="0"/>
                    <w:spacing w:before="0" w:beforeAutospacing="0" w:after="0" w:afterAutospacing="0"/>
                    <w:ind w:left="0" w:leftChars="0" w:right="0" w:rightChars="0" w:firstLine="0" w:firstLineChars="0"/>
                    <w:jc w:val="center"/>
                    <w:rPr>
                      <w:rFonts w:hint="default" w:cs="Times New Roman"/>
                      <w:color w:val="auto"/>
                      <w:lang w:val="en-US" w:eastAsia="zh-CN"/>
                    </w:rPr>
                  </w:pPr>
                </w:p>
              </w:tc>
              <w:tc>
                <w:tcPr>
                  <w:tcW w:w="1132" w:type="pct"/>
                  <w:tcBorders>
                    <w:left w:val="single" w:color="auto" w:sz="2" w:space="0"/>
                    <w:bottom w:val="single" w:color="auto" w:sz="2" w:space="0"/>
                    <w:right w:val="single" w:color="auto" w:sz="2" w:space="0"/>
                    <w:tl2br w:val="nil"/>
                    <w:tr2bl w:val="nil"/>
                  </w:tcBorders>
                  <w:noWrap w:val="0"/>
                  <w:vAlign w:val="center"/>
                </w:tcPr>
                <w:p w14:paraId="1A042FEB">
                  <w:pPr>
                    <w:pStyle w:val="56"/>
                    <w:keepNext w:val="0"/>
                    <w:keepLines w:val="0"/>
                    <w:suppressLineNumbers w:val="0"/>
                    <w:bidi w:val="0"/>
                    <w:spacing w:before="0" w:beforeAutospacing="0" w:after="0" w:afterAutospacing="0"/>
                    <w:ind w:left="0" w:leftChars="0" w:right="0" w:rightChars="0" w:firstLine="0" w:firstLineChars="0"/>
                    <w:jc w:val="center"/>
                    <w:rPr>
                      <w:rFonts w:hint="default" w:cs="Times New Roman"/>
                      <w:color w:val="auto"/>
                      <w:lang w:val="en-US" w:eastAsia="zh-CN"/>
                    </w:rPr>
                  </w:pPr>
                  <w:r>
                    <w:rPr>
                      <w:rFonts w:hint="eastAsia"/>
                      <w:color w:val="auto"/>
                      <w:kern w:val="0"/>
                      <w:sz w:val="21"/>
                      <w:szCs w:val="21"/>
                      <w:lang w:val="en-US" w:eastAsia="zh-CN"/>
                    </w:rPr>
                    <w:t>自带高效袋式除尘设备处理后无组织排放（排口高度5米）</w:t>
                  </w:r>
                </w:p>
              </w:tc>
              <w:tc>
                <w:tcPr>
                  <w:tcW w:w="964" w:type="pct"/>
                  <w:vMerge w:val="continue"/>
                  <w:tcBorders>
                    <w:left w:val="single" w:color="auto" w:sz="2" w:space="0"/>
                    <w:bottom w:val="single" w:color="auto" w:sz="2" w:space="0"/>
                    <w:right w:val="single" w:color="auto" w:sz="2" w:space="0"/>
                    <w:tl2br w:val="nil"/>
                    <w:tr2bl w:val="nil"/>
                  </w:tcBorders>
                  <w:noWrap w:val="0"/>
                  <w:vAlign w:val="center"/>
                </w:tcPr>
                <w:p w14:paraId="22925112">
                  <w:pPr>
                    <w:pStyle w:val="56"/>
                    <w:keepNext w:val="0"/>
                    <w:keepLines w:val="0"/>
                    <w:suppressLineNumbers w:val="0"/>
                    <w:bidi w:val="0"/>
                    <w:spacing w:before="0" w:beforeAutospacing="0" w:after="0" w:afterAutospacing="0"/>
                    <w:ind w:left="0" w:leftChars="0" w:right="0" w:rightChars="0" w:firstLine="0" w:firstLineChars="0"/>
                    <w:jc w:val="center"/>
                    <w:rPr>
                      <w:rFonts w:hint="eastAsia"/>
                      <w:color w:val="auto"/>
                      <w:kern w:val="0"/>
                      <w:sz w:val="21"/>
                      <w:szCs w:val="21"/>
                      <w:lang w:val="en-US" w:eastAsia="zh-CN"/>
                    </w:rPr>
                  </w:pPr>
                </w:p>
              </w:tc>
              <w:tc>
                <w:tcPr>
                  <w:tcW w:w="950" w:type="pct"/>
                  <w:vMerge w:val="continue"/>
                  <w:tcBorders>
                    <w:left w:val="single" w:color="auto" w:sz="2" w:space="0"/>
                    <w:bottom w:val="single" w:color="auto" w:sz="2" w:space="0"/>
                    <w:right w:val="single" w:color="auto" w:sz="2" w:space="0"/>
                    <w:tl2br w:val="nil"/>
                    <w:tr2bl w:val="nil"/>
                  </w:tcBorders>
                  <w:noWrap w:val="0"/>
                  <w:vAlign w:val="center"/>
                </w:tcPr>
                <w:p w14:paraId="68C63586">
                  <w:pPr>
                    <w:pStyle w:val="56"/>
                    <w:keepNext w:val="0"/>
                    <w:keepLines w:val="0"/>
                    <w:suppressLineNumbers w:val="0"/>
                    <w:bidi w:val="0"/>
                    <w:spacing w:before="0" w:beforeAutospacing="0" w:after="0" w:afterAutospacing="0"/>
                    <w:ind w:left="0" w:leftChars="0" w:right="0" w:rightChars="0" w:firstLine="0" w:firstLineChars="0"/>
                    <w:jc w:val="center"/>
                    <w:rPr>
                      <w:rFonts w:hint="eastAsia"/>
                      <w:color w:val="auto"/>
                      <w:kern w:val="0"/>
                      <w:sz w:val="21"/>
                      <w:szCs w:val="21"/>
                      <w:lang w:val="en-US" w:eastAsia="zh-CN"/>
                    </w:rPr>
                  </w:pPr>
                </w:p>
              </w:tc>
            </w:tr>
            <w:tr w14:paraId="6F2AFDF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continue"/>
                  <w:tcBorders>
                    <w:left w:val="single" w:color="auto" w:sz="2" w:space="0"/>
                    <w:right w:val="single" w:color="auto" w:sz="2" w:space="0"/>
                    <w:tl2br w:val="nil"/>
                    <w:tr2bl w:val="nil"/>
                  </w:tcBorders>
                  <w:noWrap w:val="0"/>
                  <w:vAlign w:val="center"/>
                </w:tcPr>
                <w:p w14:paraId="1A16A1A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CA1A4C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防噪、降噪措施</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7041538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采用低噪声设备，加强设备维护与保养。</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FBC465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default"/>
                      <w:color w:val="auto"/>
                      <w:kern w:val="0"/>
                      <w:sz w:val="21"/>
                      <w:szCs w:val="21"/>
                    </w:rPr>
                    <w:t>采用低噪声设备，加强设备维护与保养。</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364B6D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一致</w:t>
                  </w:r>
                </w:p>
              </w:tc>
              <w:tc>
                <w:tcPr>
                  <w:tcW w:w="95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7270A14">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依托现有</w:t>
                  </w:r>
                </w:p>
              </w:tc>
            </w:tr>
            <w:tr w14:paraId="06E1008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continue"/>
                  <w:tcBorders>
                    <w:left w:val="single" w:color="auto" w:sz="2" w:space="0"/>
                    <w:right w:val="single" w:color="auto" w:sz="2" w:space="0"/>
                    <w:tl2br w:val="nil"/>
                    <w:tr2bl w:val="nil"/>
                  </w:tcBorders>
                  <w:noWrap w:val="0"/>
                  <w:vAlign w:val="center"/>
                </w:tcPr>
                <w:p w14:paraId="66E10FA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vMerge w:val="restart"/>
                  <w:tcBorders>
                    <w:top w:val="single" w:color="auto" w:sz="2" w:space="0"/>
                    <w:left w:val="single" w:color="auto" w:sz="2" w:space="0"/>
                    <w:right w:val="single" w:color="auto" w:sz="2" w:space="0"/>
                    <w:tl2br w:val="nil"/>
                    <w:tr2bl w:val="nil"/>
                  </w:tcBorders>
                  <w:noWrap w:val="0"/>
                  <w:vAlign w:val="center"/>
                </w:tcPr>
                <w:p w14:paraId="4137883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污水处理设施</w:t>
                  </w:r>
                </w:p>
              </w:tc>
              <w:tc>
                <w:tcPr>
                  <w:tcW w:w="37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2DB961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生活污水</w:t>
                  </w:r>
                </w:p>
              </w:tc>
              <w:tc>
                <w:tcPr>
                  <w:tcW w:w="8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05C8D5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rPr>
                    <w:t>经化粪池处理</w:t>
                  </w:r>
                  <w:r>
                    <w:rPr>
                      <w:rFonts w:hint="eastAsia"/>
                      <w:color w:val="auto"/>
                      <w:kern w:val="0"/>
                      <w:sz w:val="21"/>
                      <w:szCs w:val="21"/>
                      <w:lang w:eastAsia="zh-CN"/>
                    </w:rPr>
                    <w:t>（</w:t>
                  </w:r>
                  <w:r>
                    <w:rPr>
                      <w:rFonts w:hint="eastAsia"/>
                      <w:color w:val="auto"/>
                      <w:kern w:val="0"/>
                      <w:sz w:val="21"/>
                      <w:szCs w:val="21"/>
                      <w:lang w:val="en-US" w:eastAsia="zh-CN"/>
                    </w:rPr>
                    <w:t>10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kern w:val="0"/>
                      <w:sz w:val="21"/>
                      <w:szCs w:val="21"/>
                      <w:lang w:val="en-US" w:eastAsia="zh-CN"/>
                    </w:rPr>
                    <w:t>/d）</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9996AF4">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olor w:val="auto"/>
                      <w:kern w:val="0"/>
                      <w:sz w:val="21"/>
                      <w:szCs w:val="21"/>
                    </w:rPr>
                  </w:pPr>
                  <w:r>
                    <w:rPr>
                      <w:rFonts w:hint="eastAsia"/>
                      <w:color w:val="auto"/>
                      <w:kern w:val="0"/>
                      <w:sz w:val="21"/>
                      <w:szCs w:val="21"/>
                    </w:rPr>
                    <w:t>经化粪池处理</w:t>
                  </w:r>
                  <w:r>
                    <w:rPr>
                      <w:rFonts w:hint="eastAsia"/>
                      <w:color w:val="auto"/>
                      <w:kern w:val="0"/>
                      <w:sz w:val="21"/>
                      <w:szCs w:val="21"/>
                      <w:lang w:eastAsia="zh-CN"/>
                    </w:rPr>
                    <w:t>（</w:t>
                  </w:r>
                  <w:r>
                    <w:rPr>
                      <w:rFonts w:hint="eastAsia"/>
                      <w:color w:val="auto"/>
                      <w:kern w:val="0"/>
                      <w:sz w:val="21"/>
                      <w:szCs w:val="21"/>
                      <w:lang w:val="en-US" w:eastAsia="zh-CN"/>
                    </w:rPr>
                    <w:t>10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kern w:val="0"/>
                      <w:sz w:val="21"/>
                      <w:szCs w:val="21"/>
                      <w:lang w:val="en-US" w:eastAsia="zh-CN"/>
                    </w:rPr>
                    <w:t>/d）</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A7050A4">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依托现有</w:t>
                  </w:r>
                </w:p>
              </w:tc>
              <w:tc>
                <w:tcPr>
                  <w:tcW w:w="95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6ED0E90">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依托现有</w:t>
                  </w:r>
                </w:p>
              </w:tc>
            </w:tr>
            <w:tr w14:paraId="67C3F16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continue"/>
                  <w:tcBorders>
                    <w:left w:val="single" w:color="auto" w:sz="2" w:space="0"/>
                    <w:right w:val="single" w:color="auto" w:sz="2" w:space="0"/>
                    <w:tl2br w:val="nil"/>
                    <w:tr2bl w:val="nil"/>
                  </w:tcBorders>
                  <w:noWrap w:val="0"/>
                  <w:vAlign w:val="center"/>
                </w:tcPr>
                <w:p w14:paraId="3DBDE3B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vMerge w:val="continue"/>
                  <w:tcBorders>
                    <w:left w:val="single" w:color="auto" w:sz="2" w:space="0"/>
                    <w:right w:val="single" w:color="auto" w:sz="2" w:space="0"/>
                    <w:tl2br w:val="nil"/>
                    <w:tr2bl w:val="nil"/>
                  </w:tcBorders>
                  <w:noWrap w:val="0"/>
                  <w:vAlign w:val="center"/>
                </w:tcPr>
                <w:p w14:paraId="78C434E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p>
              </w:tc>
              <w:tc>
                <w:tcPr>
                  <w:tcW w:w="37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6D05E9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运输车辆冲洗用水</w:t>
                  </w:r>
                </w:p>
              </w:tc>
              <w:tc>
                <w:tcPr>
                  <w:tcW w:w="801" w:type="pct"/>
                  <w:vMerge w:val="restart"/>
                  <w:tcBorders>
                    <w:top w:val="single" w:color="auto" w:sz="2" w:space="0"/>
                    <w:left w:val="single" w:color="auto" w:sz="2" w:space="0"/>
                    <w:right w:val="single" w:color="auto" w:sz="2" w:space="0"/>
                    <w:tl2br w:val="nil"/>
                    <w:tr2bl w:val="nil"/>
                  </w:tcBorders>
                  <w:noWrap w:val="0"/>
                  <w:vAlign w:val="center"/>
                </w:tcPr>
                <w:p w14:paraId="3A865E8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lang w:val="en-US" w:eastAsia="zh-CN"/>
                    </w:rPr>
                    <w:t>1个</w:t>
                  </w:r>
                  <w:r>
                    <w:rPr>
                      <w:rFonts w:hint="eastAsia"/>
                      <w:color w:val="auto"/>
                      <w:kern w:val="0"/>
                      <w:sz w:val="21"/>
                      <w:szCs w:val="21"/>
                    </w:rPr>
                    <w:t>50m³的沉淀池用于收集废水沉淀后回用</w:t>
                  </w:r>
                </w:p>
              </w:tc>
              <w:tc>
                <w:tcPr>
                  <w:tcW w:w="1132" w:type="pct"/>
                  <w:vMerge w:val="restart"/>
                  <w:tcBorders>
                    <w:top w:val="single" w:color="auto" w:sz="2" w:space="0"/>
                    <w:left w:val="single" w:color="auto" w:sz="2" w:space="0"/>
                    <w:right w:val="single" w:color="auto" w:sz="2" w:space="0"/>
                    <w:tl2br w:val="nil"/>
                    <w:tr2bl w:val="nil"/>
                  </w:tcBorders>
                  <w:noWrap w:val="0"/>
                  <w:vAlign w:val="center"/>
                </w:tcPr>
                <w:p w14:paraId="417C33A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1个</w:t>
                  </w:r>
                  <w:r>
                    <w:rPr>
                      <w:rFonts w:hint="eastAsia"/>
                      <w:color w:val="auto"/>
                      <w:kern w:val="0"/>
                      <w:sz w:val="21"/>
                      <w:szCs w:val="21"/>
                    </w:rPr>
                    <w:t>50m³的沉淀池用于收集废水沉淀后回用</w:t>
                  </w:r>
                </w:p>
              </w:tc>
              <w:tc>
                <w:tcPr>
                  <w:tcW w:w="964" w:type="pct"/>
                  <w:tcBorders>
                    <w:top w:val="single" w:color="auto" w:sz="2" w:space="0"/>
                    <w:left w:val="single" w:color="auto" w:sz="2" w:space="0"/>
                    <w:right w:val="single" w:color="auto" w:sz="2" w:space="0"/>
                    <w:tl2br w:val="nil"/>
                    <w:tr2bl w:val="nil"/>
                  </w:tcBorders>
                  <w:noWrap w:val="0"/>
                  <w:vAlign w:val="center"/>
                </w:tcPr>
                <w:p w14:paraId="666DF8D0">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依托现有</w:t>
                  </w:r>
                </w:p>
              </w:tc>
              <w:tc>
                <w:tcPr>
                  <w:tcW w:w="950" w:type="pct"/>
                  <w:tcBorders>
                    <w:top w:val="single" w:color="auto" w:sz="2" w:space="0"/>
                    <w:left w:val="single" w:color="auto" w:sz="2" w:space="0"/>
                    <w:right w:val="single" w:color="auto" w:sz="2" w:space="0"/>
                    <w:tl2br w:val="nil"/>
                    <w:tr2bl w:val="nil"/>
                  </w:tcBorders>
                  <w:noWrap w:val="0"/>
                  <w:vAlign w:val="center"/>
                </w:tcPr>
                <w:p w14:paraId="0141FEFD">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依托现有</w:t>
                  </w:r>
                </w:p>
              </w:tc>
            </w:tr>
            <w:tr w14:paraId="076077A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continue"/>
                  <w:tcBorders>
                    <w:left w:val="single" w:color="auto" w:sz="2" w:space="0"/>
                    <w:right w:val="single" w:color="auto" w:sz="2" w:space="0"/>
                    <w:tl2br w:val="nil"/>
                    <w:tr2bl w:val="nil"/>
                  </w:tcBorders>
                  <w:noWrap w:val="0"/>
                  <w:vAlign w:val="center"/>
                </w:tcPr>
                <w:p w14:paraId="4356ED1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vMerge w:val="continue"/>
                  <w:tcBorders>
                    <w:left w:val="single" w:color="auto" w:sz="2" w:space="0"/>
                    <w:right w:val="single" w:color="auto" w:sz="2" w:space="0"/>
                    <w:tl2br w:val="nil"/>
                    <w:tr2bl w:val="nil"/>
                  </w:tcBorders>
                  <w:noWrap w:val="0"/>
                  <w:vAlign w:val="center"/>
                </w:tcPr>
                <w:p w14:paraId="3DCF084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p>
              </w:tc>
              <w:tc>
                <w:tcPr>
                  <w:tcW w:w="37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DB1802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设备清洗与地面清洗用水</w:t>
                  </w:r>
                </w:p>
              </w:tc>
              <w:tc>
                <w:tcPr>
                  <w:tcW w:w="801" w:type="pct"/>
                  <w:vMerge w:val="continue"/>
                  <w:tcBorders>
                    <w:left w:val="single" w:color="auto" w:sz="2" w:space="0"/>
                    <w:bottom w:val="single" w:color="auto" w:sz="2" w:space="0"/>
                    <w:right w:val="single" w:color="auto" w:sz="2" w:space="0"/>
                    <w:tl2br w:val="nil"/>
                    <w:tr2bl w:val="nil"/>
                  </w:tcBorders>
                  <w:noWrap w:val="0"/>
                  <w:vAlign w:val="center"/>
                </w:tcPr>
                <w:p w14:paraId="5C0E678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c>
                <w:tcPr>
                  <w:tcW w:w="1132" w:type="pct"/>
                  <w:vMerge w:val="continue"/>
                  <w:tcBorders>
                    <w:left w:val="single" w:color="auto" w:sz="2" w:space="0"/>
                    <w:bottom w:val="single" w:color="auto" w:sz="2" w:space="0"/>
                    <w:right w:val="single" w:color="auto" w:sz="2" w:space="0"/>
                    <w:tl2br w:val="nil"/>
                    <w:tr2bl w:val="nil"/>
                  </w:tcBorders>
                  <w:noWrap w:val="0"/>
                  <w:vAlign w:val="center"/>
                </w:tcPr>
                <w:p w14:paraId="3E7F522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c>
                <w:tcPr>
                  <w:tcW w:w="964" w:type="pct"/>
                  <w:tcBorders>
                    <w:left w:val="single" w:color="auto" w:sz="2" w:space="0"/>
                    <w:bottom w:val="single" w:color="auto" w:sz="2" w:space="0"/>
                    <w:right w:val="single" w:color="auto" w:sz="2" w:space="0"/>
                    <w:tl2br w:val="nil"/>
                    <w:tr2bl w:val="nil"/>
                  </w:tcBorders>
                  <w:noWrap w:val="0"/>
                  <w:vAlign w:val="center"/>
                </w:tcPr>
                <w:p w14:paraId="5F9270D4">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依托现有</w:t>
                  </w:r>
                </w:p>
              </w:tc>
              <w:tc>
                <w:tcPr>
                  <w:tcW w:w="950" w:type="pct"/>
                  <w:tcBorders>
                    <w:left w:val="single" w:color="auto" w:sz="2" w:space="0"/>
                    <w:bottom w:val="single" w:color="auto" w:sz="2" w:space="0"/>
                    <w:right w:val="single" w:color="auto" w:sz="2" w:space="0"/>
                    <w:tl2br w:val="nil"/>
                    <w:tr2bl w:val="nil"/>
                  </w:tcBorders>
                  <w:noWrap w:val="0"/>
                  <w:vAlign w:val="center"/>
                </w:tcPr>
                <w:p w14:paraId="2A0D5205">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依托现有</w:t>
                  </w:r>
                </w:p>
              </w:tc>
            </w:tr>
            <w:tr w14:paraId="6BC0A9F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continue"/>
                  <w:tcBorders>
                    <w:left w:val="single" w:color="auto" w:sz="2" w:space="0"/>
                    <w:right w:val="single" w:color="auto" w:sz="2" w:space="0"/>
                    <w:tl2br w:val="nil"/>
                    <w:tr2bl w:val="nil"/>
                  </w:tcBorders>
                  <w:noWrap w:val="0"/>
                  <w:vAlign w:val="center"/>
                </w:tcPr>
                <w:p w14:paraId="1457AE8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vMerge w:val="continue"/>
                  <w:tcBorders>
                    <w:left w:val="single" w:color="auto" w:sz="2" w:space="0"/>
                    <w:bottom w:val="single" w:color="auto" w:sz="2" w:space="0"/>
                    <w:right w:val="single" w:color="auto" w:sz="2" w:space="0"/>
                    <w:tl2br w:val="nil"/>
                    <w:tr2bl w:val="nil"/>
                  </w:tcBorders>
                  <w:noWrap w:val="0"/>
                  <w:vAlign w:val="center"/>
                </w:tcPr>
                <w:p w14:paraId="02B7606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p>
              </w:tc>
              <w:tc>
                <w:tcPr>
                  <w:tcW w:w="37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8DC41C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初期雨水</w:t>
                  </w:r>
                </w:p>
              </w:tc>
              <w:tc>
                <w:tcPr>
                  <w:tcW w:w="8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92ED63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容积为</w:t>
                  </w:r>
                  <w:r>
                    <w:rPr>
                      <w:rFonts w:hint="eastAsia" w:cs="Times New Roman"/>
                      <w:color w:val="auto"/>
                      <w:kern w:val="0"/>
                      <w:sz w:val="21"/>
                      <w:szCs w:val="21"/>
                      <w:lang w:val="en-US" w:eastAsia="zh-CN"/>
                    </w:rPr>
                    <w:t>960m</w:t>
                  </w:r>
                  <w:r>
                    <w:rPr>
                      <w:rFonts w:hint="eastAsia" w:ascii="Times New Roman" w:hAnsi="Times New Roman" w:eastAsia="宋体" w:cs="Times New Roman"/>
                      <w:color w:val="auto"/>
                      <w:kern w:val="0"/>
                      <w:sz w:val="21"/>
                      <w:szCs w:val="21"/>
                      <w:lang w:val="en-US" w:eastAsia="zh-CN"/>
                    </w:rPr>
                    <w:t>³的初期雨水池</w:t>
                  </w:r>
                  <w:r>
                    <w:rPr>
                      <w:rFonts w:hint="eastAsia" w:cs="Times New Roman"/>
                      <w:color w:val="auto"/>
                      <w:kern w:val="0"/>
                      <w:sz w:val="21"/>
                      <w:szCs w:val="21"/>
                      <w:lang w:val="en-US" w:eastAsia="zh-CN"/>
                    </w:rPr>
                    <w:t>（</w:t>
                  </w:r>
                  <w:r>
                    <w:rPr>
                      <w:rFonts w:hint="eastAsia" w:ascii="Times New Roman" w:hAnsi="Times New Roman" w:eastAsia="宋体" w:cs="Times New Roman"/>
                      <w:color w:val="auto"/>
                      <w:kern w:val="0"/>
                      <w:sz w:val="21"/>
                      <w:szCs w:val="21"/>
                      <w:lang w:val="en-US" w:eastAsia="zh-CN"/>
                    </w:rPr>
                    <w:t>沉淀处理</w:t>
                  </w:r>
                  <w:r>
                    <w:rPr>
                      <w:rFonts w:hint="eastAsia" w:cs="Times New Roman"/>
                      <w:color w:val="auto"/>
                      <w:kern w:val="0"/>
                      <w:sz w:val="21"/>
                      <w:szCs w:val="21"/>
                      <w:lang w:val="en-US" w:eastAsia="zh-CN"/>
                    </w:rPr>
                    <w:t>）</w:t>
                  </w:r>
                  <w:r>
                    <w:rPr>
                      <w:rFonts w:hint="eastAsia" w:ascii="Times New Roman" w:hAnsi="Times New Roman" w:eastAsia="宋体" w:cs="Times New Roman"/>
                      <w:color w:val="auto"/>
                      <w:kern w:val="0"/>
                      <w:sz w:val="21"/>
                      <w:szCs w:val="21"/>
                      <w:lang w:val="en-US" w:eastAsia="zh-CN"/>
                    </w:rPr>
                    <w:t>。</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EA6E58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容积为</w:t>
                  </w:r>
                  <w:r>
                    <w:rPr>
                      <w:rFonts w:hint="eastAsia"/>
                      <w:color w:val="auto"/>
                      <w:kern w:val="0"/>
                      <w:sz w:val="21"/>
                      <w:szCs w:val="21"/>
                      <w:lang w:val="en-US" w:eastAsia="zh-CN"/>
                    </w:rPr>
                    <w:t>960m</w:t>
                  </w:r>
                  <w:r>
                    <w:rPr>
                      <w:rFonts w:hint="default"/>
                      <w:color w:val="auto"/>
                      <w:kern w:val="0"/>
                      <w:sz w:val="21"/>
                      <w:szCs w:val="21"/>
                      <w:lang w:val="en-US" w:eastAsia="zh-CN"/>
                    </w:rPr>
                    <w:t>³的初期雨水池（沉淀处理）。</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CE2EA6E">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依托现有</w:t>
                  </w:r>
                </w:p>
              </w:tc>
              <w:tc>
                <w:tcPr>
                  <w:tcW w:w="95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A05F378">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依托现有</w:t>
                  </w:r>
                </w:p>
              </w:tc>
            </w:tr>
            <w:tr w14:paraId="099E6DC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continue"/>
                  <w:tcBorders>
                    <w:left w:val="single" w:color="auto" w:sz="2" w:space="0"/>
                    <w:right w:val="single" w:color="auto" w:sz="2" w:space="0"/>
                    <w:tl2br w:val="nil"/>
                    <w:tr2bl w:val="nil"/>
                  </w:tcBorders>
                  <w:noWrap w:val="0"/>
                  <w:vAlign w:val="center"/>
                </w:tcPr>
                <w:p w14:paraId="047104E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CBB18F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危废暂存库</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2364268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位于</w:t>
                  </w:r>
                  <w:r>
                    <w:rPr>
                      <w:rFonts w:hint="eastAsia"/>
                      <w:color w:val="auto"/>
                      <w:kern w:val="0"/>
                      <w:sz w:val="21"/>
                      <w:szCs w:val="21"/>
                      <w:lang w:val="en-US" w:eastAsia="zh-CN"/>
                    </w:rPr>
                    <w:t>厂区南侧</w:t>
                  </w:r>
                  <w:r>
                    <w:rPr>
                      <w:rFonts w:hint="eastAsia"/>
                      <w:color w:val="auto"/>
                      <w:kern w:val="0"/>
                      <w:sz w:val="21"/>
                      <w:szCs w:val="21"/>
                    </w:rPr>
                    <w:t>，用于危险废物</w:t>
                  </w:r>
                  <w:r>
                    <w:rPr>
                      <w:rFonts w:hint="eastAsia"/>
                      <w:color w:val="auto"/>
                      <w:kern w:val="0"/>
                      <w:sz w:val="21"/>
                      <w:szCs w:val="21"/>
                      <w:lang w:val="en-US" w:eastAsia="zh-CN"/>
                    </w:rPr>
                    <w:t>暂存</w:t>
                  </w:r>
                  <w:r>
                    <w:rPr>
                      <w:rFonts w:hint="eastAsia"/>
                      <w:color w:val="auto"/>
                      <w:kern w:val="0"/>
                      <w:sz w:val="21"/>
                      <w:szCs w:val="21"/>
                    </w:rPr>
                    <w:t>，面积10㎡。</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D78652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color w:val="auto"/>
                      <w:kern w:val="0"/>
                      <w:sz w:val="21"/>
                      <w:szCs w:val="21"/>
                    </w:rPr>
                    <w:t>位于</w:t>
                  </w:r>
                  <w:r>
                    <w:rPr>
                      <w:rFonts w:hint="eastAsia"/>
                      <w:color w:val="auto"/>
                      <w:kern w:val="0"/>
                      <w:sz w:val="21"/>
                      <w:szCs w:val="21"/>
                      <w:lang w:val="en-US" w:eastAsia="zh-CN"/>
                    </w:rPr>
                    <w:t>厂区南侧</w:t>
                  </w:r>
                  <w:r>
                    <w:rPr>
                      <w:rFonts w:hint="eastAsia"/>
                      <w:color w:val="auto"/>
                      <w:kern w:val="0"/>
                      <w:sz w:val="21"/>
                      <w:szCs w:val="21"/>
                    </w:rPr>
                    <w:t>，用于危险废物</w:t>
                  </w:r>
                  <w:r>
                    <w:rPr>
                      <w:rFonts w:hint="eastAsia"/>
                      <w:color w:val="auto"/>
                      <w:kern w:val="0"/>
                      <w:sz w:val="21"/>
                      <w:szCs w:val="21"/>
                      <w:lang w:val="en-US" w:eastAsia="zh-CN"/>
                    </w:rPr>
                    <w:t>暂存</w:t>
                  </w:r>
                  <w:r>
                    <w:rPr>
                      <w:rFonts w:hint="eastAsia"/>
                      <w:color w:val="auto"/>
                      <w:kern w:val="0"/>
                      <w:sz w:val="21"/>
                      <w:szCs w:val="21"/>
                    </w:rPr>
                    <w:t>，面积10㎡。</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C74596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一致</w:t>
                  </w:r>
                </w:p>
              </w:tc>
              <w:tc>
                <w:tcPr>
                  <w:tcW w:w="95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498DEC6">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依托现有</w:t>
                  </w:r>
                </w:p>
              </w:tc>
            </w:tr>
            <w:tr w14:paraId="121E74E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continue"/>
                  <w:tcBorders>
                    <w:left w:val="single" w:color="auto" w:sz="2" w:space="0"/>
                    <w:right w:val="single" w:color="auto" w:sz="2" w:space="0"/>
                    <w:tl2br w:val="nil"/>
                    <w:tr2bl w:val="nil"/>
                  </w:tcBorders>
                  <w:noWrap w:val="0"/>
                  <w:vAlign w:val="center"/>
                </w:tcPr>
                <w:p w14:paraId="28A2F65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1797D0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一般固废暂存库</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772A8A9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位于</w:t>
                  </w:r>
                  <w:r>
                    <w:rPr>
                      <w:rFonts w:hint="eastAsia"/>
                      <w:color w:val="auto"/>
                      <w:kern w:val="0"/>
                      <w:sz w:val="21"/>
                      <w:szCs w:val="21"/>
                      <w:lang w:val="en-US" w:eastAsia="zh-CN"/>
                    </w:rPr>
                    <w:t>厂区南侧</w:t>
                  </w:r>
                  <w:r>
                    <w:rPr>
                      <w:rFonts w:hint="eastAsia"/>
                      <w:color w:val="auto"/>
                      <w:kern w:val="0"/>
                      <w:sz w:val="21"/>
                      <w:szCs w:val="21"/>
                    </w:rPr>
                    <w:t>，用于不可利用的一般固废暂存，面积5</w:t>
                  </w:r>
                  <w:r>
                    <w:rPr>
                      <w:rFonts w:hint="default"/>
                      <w:color w:val="auto"/>
                      <w:kern w:val="0"/>
                      <w:sz w:val="21"/>
                      <w:szCs w:val="21"/>
                    </w:rPr>
                    <w:t>0</w:t>
                  </w:r>
                  <w:r>
                    <w:rPr>
                      <w:rFonts w:hint="eastAsia"/>
                      <w:color w:val="auto"/>
                      <w:kern w:val="0"/>
                      <w:sz w:val="21"/>
                      <w:szCs w:val="21"/>
                    </w:rPr>
                    <w:t>㎡。</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D19F092">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ascii="Times New Roman" w:hAnsi="Times New Roman" w:eastAsia="宋体" w:cs="Times New Roman"/>
                      <w:color w:val="auto"/>
                      <w:kern w:val="0"/>
                      <w:sz w:val="21"/>
                      <w:szCs w:val="21"/>
                      <w:lang w:val="en-US" w:eastAsia="zh-CN"/>
                    </w:rPr>
                  </w:pPr>
                  <w:r>
                    <w:rPr>
                      <w:rFonts w:hint="eastAsia"/>
                      <w:color w:val="auto"/>
                      <w:kern w:val="0"/>
                      <w:sz w:val="21"/>
                      <w:szCs w:val="21"/>
                    </w:rPr>
                    <w:t>位于</w:t>
                  </w:r>
                  <w:r>
                    <w:rPr>
                      <w:rFonts w:hint="eastAsia"/>
                      <w:color w:val="auto"/>
                      <w:kern w:val="0"/>
                      <w:sz w:val="21"/>
                      <w:szCs w:val="21"/>
                      <w:lang w:val="en-US" w:eastAsia="zh-CN"/>
                    </w:rPr>
                    <w:t>厂区南侧</w:t>
                  </w:r>
                  <w:r>
                    <w:rPr>
                      <w:rFonts w:hint="eastAsia"/>
                      <w:color w:val="auto"/>
                      <w:kern w:val="0"/>
                      <w:sz w:val="21"/>
                      <w:szCs w:val="21"/>
                    </w:rPr>
                    <w:t>，用于不可利用的一般固废暂存，面积5</w:t>
                  </w:r>
                  <w:r>
                    <w:rPr>
                      <w:rFonts w:hint="default"/>
                      <w:color w:val="auto"/>
                      <w:kern w:val="0"/>
                      <w:sz w:val="21"/>
                      <w:szCs w:val="21"/>
                    </w:rPr>
                    <w:t>0</w:t>
                  </w:r>
                  <w:r>
                    <w:rPr>
                      <w:rFonts w:hint="eastAsia"/>
                      <w:color w:val="auto"/>
                      <w:kern w:val="0"/>
                      <w:sz w:val="21"/>
                      <w:szCs w:val="21"/>
                    </w:rPr>
                    <w:t>㎡。</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596AEA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一致</w:t>
                  </w:r>
                </w:p>
              </w:tc>
              <w:tc>
                <w:tcPr>
                  <w:tcW w:w="95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87C7D33">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依托现有</w:t>
                  </w:r>
                </w:p>
              </w:tc>
            </w:tr>
            <w:tr w14:paraId="3E87FB7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272" w:type="pct"/>
                  <w:vMerge w:val="continue"/>
                  <w:tcBorders>
                    <w:left w:val="single" w:color="auto" w:sz="2" w:space="0"/>
                    <w:right w:val="single" w:color="auto" w:sz="2" w:space="0"/>
                    <w:tl2br w:val="nil"/>
                    <w:tr2bl w:val="nil"/>
                  </w:tcBorders>
                  <w:noWrap w:val="0"/>
                  <w:vAlign w:val="center"/>
                </w:tcPr>
                <w:p w14:paraId="456FF4E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50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B1D7BC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事故池</w:t>
                  </w:r>
                </w:p>
              </w:tc>
              <w:tc>
                <w:tcPr>
                  <w:tcW w:w="1179" w:type="pct"/>
                  <w:gridSpan w:val="2"/>
                  <w:tcBorders>
                    <w:top w:val="single" w:color="auto" w:sz="2" w:space="0"/>
                    <w:left w:val="single" w:color="auto" w:sz="2" w:space="0"/>
                    <w:bottom w:val="single" w:color="auto" w:sz="2" w:space="0"/>
                    <w:right w:val="single" w:color="auto" w:sz="2" w:space="0"/>
                    <w:tl2br w:val="nil"/>
                    <w:tr2bl w:val="nil"/>
                  </w:tcBorders>
                  <w:noWrap w:val="0"/>
                  <w:vAlign w:val="center"/>
                </w:tcPr>
                <w:p w14:paraId="5C28B15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位于厂区南侧，事故池1200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p>
              </w:tc>
              <w:tc>
                <w:tcPr>
                  <w:tcW w:w="113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70C7B3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ascii="Times New Roman" w:hAnsi="Times New Roman" w:eastAsia="宋体" w:cs="Times New Roman"/>
                      <w:color w:val="auto"/>
                      <w:kern w:val="0"/>
                      <w:sz w:val="21"/>
                      <w:szCs w:val="21"/>
                      <w:lang w:val="en-US" w:eastAsia="zh-CN"/>
                    </w:rPr>
                  </w:pPr>
                  <w:r>
                    <w:rPr>
                      <w:rFonts w:hint="eastAsia"/>
                      <w:color w:val="auto"/>
                      <w:kern w:val="0"/>
                      <w:sz w:val="21"/>
                      <w:szCs w:val="21"/>
                      <w:lang w:val="en-US" w:eastAsia="zh-CN"/>
                    </w:rPr>
                    <w:t>位于厂区南侧，事故池1200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p>
              </w:tc>
              <w:tc>
                <w:tcPr>
                  <w:tcW w:w="9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8EB9C3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一致</w:t>
                  </w:r>
                </w:p>
              </w:tc>
              <w:tc>
                <w:tcPr>
                  <w:tcW w:w="95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932A272">
                  <w:pPr>
                    <w:keepNext w:val="0"/>
                    <w:keepLines w:val="0"/>
                    <w:pageBreakBefore/>
                    <w:widowControl/>
                    <w:suppressLineNumbers w:val="0"/>
                    <w:spacing w:before="0" w:beforeLines="0" w:beforeAutospacing="0" w:after="0" w:afterLines="0" w:afterAutospacing="0" w:line="360" w:lineRule="exact"/>
                    <w:ind w:left="0" w:right="0" w:firstLine="420" w:firstLineChars="20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依托现有</w:t>
                  </w:r>
                </w:p>
              </w:tc>
            </w:tr>
            <w:tr w14:paraId="5569400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5000" w:type="pct"/>
                  <w:gridSpan w:val="7"/>
                  <w:tcBorders>
                    <w:left w:val="single" w:color="auto" w:sz="2" w:space="0"/>
                    <w:bottom w:val="single" w:color="auto" w:sz="2" w:space="0"/>
                    <w:right w:val="single" w:color="auto" w:sz="2" w:space="0"/>
                    <w:tl2br w:val="nil"/>
                    <w:tr2bl w:val="nil"/>
                  </w:tcBorders>
                  <w:noWrap w:val="0"/>
                  <w:vAlign w:val="center"/>
                </w:tcPr>
                <w:p w14:paraId="7360C94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注：本项目仅对产品抗性进行物理检测，不使用试剂，不产生废水、废液；产品中污染物检测全部委外。</w:t>
                  </w:r>
                </w:p>
              </w:tc>
            </w:tr>
          </w:tbl>
          <w:p w14:paraId="4D1E5AF9">
            <w:pPr>
              <w:keepNext w:val="0"/>
              <w:keepLines w:val="0"/>
              <w:pageBreakBefore/>
              <w:widowControl/>
              <w:suppressLineNumbers w:val="0"/>
              <w:spacing w:before="0" w:beforeLines="0" w:beforeAutospacing="0" w:after="0" w:afterLines="0" w:afterAutospacing="0"/>
              <w:ind w:left="0" w:right="0" w:firstLine="482"/>
              <w:rPr>
                <w:rFonts w:hint="eastAsia"/>
                <w:b/>
                <w:color w:val="auto"/>
                <w:sz w:val="24"/>
                <w:szCs w:val="24"/>
              </w:rPr>
            </w:pPr>
            <w:r>
              <w:rPr>
                <w:rFonts w:hint="eastAsia"/>
                <w:b/>
                <w:color w:val="auto"/>
                <w:sz w:val="24"/>
                <w:szCs w:val="24"/>
              </w:rPr>
              <w:t>3、产品方案</w:t>
            </w:r>
          </w:p>
          <w:p w14:paraId="43FFC39D">
            <w:pPr>
              <w:keepNext w:val="0"/>
              <w:keepLines w:val="0"/>
              <w:pageBreakBefore/>
              <w:widowControl/>
              <w:suppressLineNumbers w:val="0"/>
              <w:spacing w:before="0" w:beforeLines="0" w:beforeAutospacing="0" w:after="0" w:afterLines="0" w:afterAutospacing="0"/>
              <w:ind w:left="0" w:right="0"/>
              <w:rPr>
                <w:rFonts w:hint="eastAsia" w:eastAsia="宋体"/>
                <w:color w:val="auto"/>
                <w:sz w:val="24"/>
                <w:szCs w:val="24"/>
                <w:lang w:eastAsia="zh-CN"/>
              </w:rPr>
            </w:pPr>
            <w:r>
              <w:rPr>
                <w:rFonts w:hint="eastAsia"/>
                <w:color w:val="auto"/>
                <w:sz w:val="24"/>
                <w:szCs w:val="24"/>
                <w:lang w:val="en-US" w:eastAsia="zh-CN"/>
              </w:rPr>
              <w:t>此次变更后，产品及产能不变。</w:t>
            </w:r>
            <w:r>
              <w:rPr>
                <w:rFonts w:hint="eastAsia"/>
                <w:color w:val="auto"/>
                <w:sz w:val="24"/>
                <w:szCs w:val="24"/>
              </w:rPr>
              <w:t>本项目产品方案</w:t>
            </w:r>
            <w:r>
              <w:rPr>
                <w:rFonts w:hint="eastAsia"/>
                <w:color w:val="auto"/>
                <w:sz w:val="24"/>
                <w:szCs w:val="24"/>
                <w:lang w:eastAsia="zh-CN"/>
              </w:rPr>
              <w:t>见下</w:t>
            </w:r>
            <w:r>
              <w:rPr>
                <w:rFonts w:hint="eastAsia"/>
                <w:color w:val="auto"/>
                <w:sz w:val="24"/>
                <w:szCs w:val="24"/>
              </w:rPr>
              <w:t>表</w:t>
            </w:r>
            <w:r>
              <w:rPr>
                <w:rFonts w:hint="eastAsia"/>
                <w:color w:val="auto"/>
                <w:sz w:val="24"/>
                <w:szCs w:val="24"/>
                <w:lang w:eastAsia="zh-CN"/>
              </w:rPr>
              <w:t>：</w:t>
            </w:r>
          </w:p>
          <w:p w14:paraId="2B9AA161">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产品方案</w:t>
            </w:r>
          </w:p>
          <w:tbl>
            <w:tblPr>
              <w:tblStyle w:val="28"/>
              <w:tblW w:w="4994"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07"/>
              <w:gridCol w:w="989"/>
              <w:gridCol w:w="1694"/>
              <w:gridCol w:w="2298"/>
              <w:gridCol w:w="1957"/>
            </w:tblGrid>
            <w:tr w14:paraId="6935267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57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8488597">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产品</w:t>
                  </w:r>
                </w:p>
              </w:tc>
              <w:tc>
                <w:tcPr>
                  <w:tcW w:w="63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B6FDE71">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产能（万t/年）</w:t>
                  </w:r>
                </w:p>
              </w:tc>
              <w:tc>
                <w:tcPr>
                  <w:tcW w:w="107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42CB64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规格</w:t>
                  </w:r>
                </w:p>
              </w:tc>
              <w:tc>
                <w:tcPr>
                  <w:tcW w:w="14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41DBF0D">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规格</w:t>
                  </w:r>
                </w:p>
              </w:tc>
              <w:tc>
                <w:tcPr>
                  <w:tcW w:w="12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258CB9C">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布置情况</w:t>
                  </w:r>
                </w:p>
              </w:tc>
            </w:tr>
            <w:tr w14:paraId="2A24987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57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E9912B3">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免烧砖（环保砖）</w:t>
                  </w:r>
                </w:p>
              </w:tc>
              <w:tc>
                <w:tcPr>
                  <w:tcW w:w="63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B128D8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20</w:t>
                  </w:r>
                </w:p>
              </w:tc>
              <w:tc>
                <w:tcPr>
                  <w:tcW w:w="107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8017CDE">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lang w:bidi="ar"/>
                    </w:rPr>
                    <w:t>（10×20×5cm</w:t>
                  </w:r>
                  <w:r>
                    <w:rPr>
                      <w:rFonts w:hint="eastAsia" w:ascii="Times New Roman" w:hAnsi="Times New Roman" w:cs="Times New Roman"/>
                      <w:color w:val="auto"/>
                      <w:sz w:val="21"/>
                      <w:szCs w:val="21"/>
                      <w:lang w:eastAsia="zh-CN" w:bidi="ar"/>
                    </w:rPr>
                    <w:t>）每块2.5kg</w:t>
                  </w:r>
                  <w:r>
                    <w:rPr>
                      <w:rFonts w:hint="eastAsia" w:ascii="Times New Roman" w:hAnsi="Times New Roman" w:cs="Times New Roman"/>
                      <w:color w:val="auto"/>
                      <w:sz w:val="21"/>
                      <w:szCs w:val="21"/>
                      <w:lang w:val="en-US" w:eastAsia="zh-CN" w:bidi="ar"/>
                    </w:rPr>
                    <w:t>年产约8000万块砖</w:t>
                  </w:r>
                </w:p>
              </w:tc>
              <w:tc>
                <w:tcPr>
                  <w:tcW w:w="14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85812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kern w:val="0"/>
                      <w:sz w:val="21"/>
                      <w:szCs w:val="21"/>
                    </w:rPr>
                  </w:pPr>
                  <w:r>
                    <w:rPr>
                      <w:rFonts w:hint="default"/>
                      <w:color w:val="auto"/>
                      <w:sz w:val="21"/>
                      <w:szCs w:val="21"/>
                      <w:highlight w:val="none"/>
                      <w:lang w:val="en-US" w:eastAsia="zh-CN"/>
                    </w:rPr>
                    <w:t>《混凝土路面砖》（GB/T 28635-2012）</w:t>
                  </w:r>
                </w:p>
              </w:tc>
              <w:tc>
                <w:tcPr>
                  <w:tcW w:w="12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CB13D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露天养护后存放在南侧仓库</w:t>
                  </w:r>
                </w:p>
              </w:tc>
            </w:tr>
            <w:tr w14:paraId="57C2490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7" w:hRule="atLeast"/>
              </w:trPr>
              <w:tc>
                <w:tcPr>
                  <w:tcW w:w="57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E805FAD">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4"/>
                      <w:szCs w:val="24"/>
                    </w:rPr>
                  </w:pPr>
                  <w:r>
                    <w:rPr>
                      <w:rFonts w:hint="default" w:ascii="Times New Roman" w:hAnsi="Times New Roman" w:cs="Times New Roman"/>
                      <w:color w:val="auto"/>
                      <w:sz w:val="21"/>
                      <w:szCs w:val="21"/>
                      <w:lang w:bidi="ar"/>
                    </w:rPr>
                    <w:t>再生道路复合稳定料</w:t>
                  </w:r>
                </w:p>
              </w:tc>
              <w:tc>
                <w:tcPr>
                  <w:tcW w:w="63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D7BAA4C">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70</w:t>
                  </w:r>
                </w:p>
              </w:tc>
              <w:tc>
                <w:tcPr>
                  <w:tcW w:w="107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A093BB1">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w:t>
                  </w:r>
                </w:p>
              </w:tc>
              <w:tc>
                <w:tcPr>
                  <w:tcW w:w="146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654DA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kern w:val="0"/>
                      <w:sz w:val="21"/>
                      <w:szCs w:val="21"/>
                    </w:rPr>
                  </w:pPr>
                  <w:r>
                    <w:rPr>
                      <w:rFonts w:hint="default"/>
                      <w:color w:val="auto"/>
                      <w:sz w:val="21"/>
                      <w:szCs w:val="21"/>
                      <w:highlight w:val="none"/>
                      <w:lang w:eastAsia="zh-CN"/>
                    </w:rPr>
                    <w:t>《</w:t>
                  </w:r>
                  <w:r>
                    <w:rPr>
                      <w:rFonts w:hint="default"/>
                      <w:color w:val="auto"/>
                      <w:sz w:val="21"/>
                      <w:szCs w:val="21"/>
                      <w:highlight w:val="none"/>
                    </w:rPr>
                    <w:t>混凝土用复合掺合料</w:t>
                  </w:r>
                  <w:r>
                    <w:rPr>
                      <w:rFonts w:hint="default"/>
                      <w:color w:val="auto"/>
                      <w:sz w:val="21"/>
                      <w:szCs w:val="21"/>
                      <w:highlight w:val="none"/>
                      <w:lang w:eastAsia="zh-CN"/>
                    </w:rPr>
                    <w:t>》（JG</w:t>
                  </w:r>
                  <w:r>
                    <w:rPr>
                      <w:rFonts w:hint="default"/>
                      <w:color w:val="auto"/>
                      <w:sz w:val="21"/>
                      <w:szCs w:val="21"/>
                      <w:highlight w:val="none"/>
                      <w:lang w:val="en-US" w:eastAsia="zh-CN"/>
                    </w:rPr>
                    <w:t>/</w:t>
                  </w:r>
                  <w:r>
                    <w:rPr>
                      <w:rFonts w:hint="default"/>
                      <w:color w:val="auto"/>
                      <w:sz w:val="21"/>
                      <w:szCs w:val="21"/>
                      <w:highlight w:val="none"/>
                      <w:lang w:eastAsia="zh-CN"/>
                    </w:rPr>
                    <w:t>T486-2015）</w:t>
                  </w:r>
                  <w:r>
                    <w:rPr>
                      <w:rFonts w:hint="default"/>
                      <w:color w:val="auto"/>
                      <w:sz w:val="21"/>
                      <w:szCs w:val="21"/>
                      <w:highlight w:val="none"/>
                      <w:lang w:val="en-US" w:eastAsia="zh-CN"/>
                    </w:rPr>
                    <w:t>中普通型Ⅱ级</w:t>
                  </w:r>
                </w:p>
              </w:tc>
              <w:tc>
                <w:tcPr>
                  <w:tcW w:w="12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5EA22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highlight w:val="none"/>
                      <w:lang w:eastAsia="zh-CN"/>
                    </w:rPr>
                  </w:pPr>
                  <w:r>
                    <w:rPr>
                      <w:rFonts w:hint="default"/>
                      <w:color w:val="auto"/>
                      <w:sz w:val="21"/>
                      <w:szCs w:val="21"/>
                      <w:highlight w:val="none"/>
                      <w:lang w:val="en-US" w:eastAsia="zh-CN"/>
                    </w:rPr>
                    <w:t>将搅拌好的物料</w:t>
                  </w:r>
                  <w:r>
                    <w:rPr>
                      <w:rFonts w:hint="default"/>
                      <w:color w:val="auto"/>
                      <w:sz w:val="21"/>
                      <w:szCs w:val="21"/>
                      <w:highlight w:val="none"/>
                      <w:lang w:eastAsia="zh-CN"/>
                    </w:rPr>
                    <w:t>经</w:t>
                  </w:r>
                  <w:r>
                    <w:rPr>
                      <w:rFonts w:hint="default"/>
                      <w:color w:val="auto"/>
                      <w:sz w:val="21"/>
                      <w:szCs w:val="21"/>
                      <w:highlight w:val="none"/>
                      <w:lang w:val="en-US" w:eastAsia="zh-CN"/>
                    </w:rPr>
                    <w:t>密闭皮带输送机</w:t>
                  </w:r>
                  <w:r>
                    <w:rPr>
                      <w:rFonts w:hint="default"/>
                      <w:color w:val="auto"/>
                      <w:sz w:val="21"/>
                      <w:szCs w:val="21"/>
                      <w:highlight w:val="none"/>
                      <w:lang w:eastAsia="zh-CN"/>
                    </w:rPr>
                    <w:t>输送至</w:t>
                  </w:r>
                  <w:r>
                    <w:rPr>
                      <w:rFonts w:hint="default"/>
                      <w:color w:val="auto"/>
                      <w:sz w:val="21"/>
                      <w:szCs w:val="21"/>
                      <w:highlight w:val="none"/>
                      <w:lang w:val="en-US" w:eastAsia="zh-CN"/>
                    </w:rPr>
                    <w:t>货车，运送至施工现场</w:t>
                  </w:r>
                </w:p>
              </w:tc>
            </w:tr>
          </w:tbl>
          <w:p w14:paraId="06230BC7">
            <w:pPr>
              <w:keepNext w:val="0"/>
              <w:keepLines w:val="0"/>
              <w:pageBreakBefore/>
              <w:widowControl/>
              <w:suppressLineNumbers w:val="0"/>
              <w:spacing w:before="0" w:beforeLines="0" w:beforeAutospacing="0" w:after="0" w:afterLines="0" w:afterAutospacing="0"/>
              <w:ind w:left="0" w:right="0" w:firstLine="482"/>
              <w:rPr>
                <w:rFonts w:hint="eastAsia"/>
                <w:b w:val="0"/>
                <w:bCs/>
                <w:color w:val="auto"/>
                <w:sz w:val="24"/>
                <w:szCs w:val="24"/>
                <w:lang w:val="en-US" w:eastAsia="zh-CN"/>
              </w:rPr>
            </w:pPr>
            <w:r>
              <w:rPr>
                <w:rFonts w:hint="eastAsia"/>
                <w:b w:val="0"/>
                <w:bCs/>
                <w:color w:val="auto"/>
                <w:sz w:val="24"/>
                <w:szCs w:val="24"/>
                <w:lang w:val="en-US" w:eastAsia="zh-CN"/>
              </w:rPr>
              <w:t>（1）再生道路复合稳定料：指以硅铝酸盐类工业固体废弃物为主体组分，通过搅拌混合所形成的材料，主要用于建材产品中使用。</w:t>
            </w:r>
          </w:p>
          <w:p w14:paraId="62170911">
            <w:pPr>
              <w:keepNext w:val="0"/>
              <w:keepLines w:val="0"/>
              <w:pageBreakBefore/>
              <w:widowControl/>
              <w:suppressLineNumbers w:val="0"/>
              <w:spacing w:before="0" w:beforeLines="0" w:beforeAutospacing="0" w:after="0" w:afterLines="0" w:afterAutospacing="0"/>
              <w:ind w:left="0" w:right="0" w:firstLine="482"/>
              <w:rPr>
                <w:rFonts w:hint="eastAsia"/>
                <w:b w:val="0"/>
                <w:bCs/>
                <w:color w:val="auto"/>
                <w:sz w:val="24"/>
                <w:szCs w:val="24"/>
                <w:lang w:val="en-US" w:eastAsia="zh-CN"/>
              </w:rPr>
            </w:pPr>
            <w:r>
              <w:rPr>
                <w:rFonts w:hint="eastAsia"/>
                <w:b w:val="0"/>
                <w:bCs/>
                <w:color w:val="auto"/>
                <w:sz w:val="24"/>
                <w:szCs w:val="24"/>
                <w:lang w:val="en-US" w:eastAsia="zh-CN"/>
              </w:rPr>
              <w:t>（2）环保免烧砖：规格为10×20×5cm，以工业固体废弃物、水泥为主要原料，经原料制备、静压、养护而制成，用于工业与民用建筑基础和墙体的实心砖。</w:t>
            </w:r>
          </w:p>
          <w:p w14:paraId="5F2EA972">
            <w:pPr>
              <w:keepNext w:val="0"/>
              <w:keepLines w:val="0"/>
              <w:pageBreakBefore/>
              <w:widowControl/>
              <w:suppressLineNumbers w:val="0"/>
              <w:spacing w:before="0" w:beforeLines="0" w:beforeAutospacing="0" w:after="0" w:afterLines="0" w:afterAutospacing="0"/>
              <w:ind w:left="0" w:right="0" w:firstLine="482"/>
              <w:rPr>
                <w:rFonts w:hint="eastAsia"/>
                <w:b w:val="0"/>
                <w:bCs/>
                <w:color w:val="auto"/>
                <w:sz w:val="24"/>
                <w:szCs w:val="24"/>
                <w:lang w:val="en-US" w:eastAsia="zh-CN"/>
              </w:rPr>
            </w:pPr>
            <w:r>
              <w:rPr>
                <w:rFonts w:hint="eastAsia"/>
                <w:b w:val="0"/>
                <w:bCs/>
                <w:color w:val="auto"/>
                <w:sz w:val="24"/>
                <w:szCs w:val="24"/>
                <w:lang w:val="en-US" w:eastAsia="zh-CN"/>
              </w:rPr>
              <w:t>本项目产品环保免烧砖质量标准执行《混凝土路面砖》（GB/T 28635-2012）标准，掺合料执行《混凝土用复合掺合料》（JG/T 486-2015）中普通型Ⅱ级，以上标准均为产品的物理性能要求，不详细列出。</w:t>
            </w:r>
          </w:p>
          <w:p w14:paraId="30584A44">
            <w:pPr>
              <w:keepNext w:val="0"/>
              <w:keepLines w:val="0"/>
              <w:pageBreakBefore/>
              <w:widowControl/>
              <w:suppressLineNumbers w:val="0"/>
              <w:spacing w:before="0" w:beforeLines="0" w:beforeAutospacing="0" w:after="0" w:afterLines="0" w:afterAutospacing="0"/>
              <w:ind w:left="0" w:right="0" w:firstLine="482"/>
              <w:rPr>
                <w:rFonts w:hint="eastAsia"/>
                <w:b w:val="0"/>
                <w:bCs/>
                <w:color w:val="auto"/>
                <w:sz w:val="24"/>
                <w:szCs w:val="24"/>
                <w:lang w:val="en-US" w:eastAsia="zh-CN"/>
              </w:rPr>
            </w:pPr>
            <w:r>
              <w:rPr>
                <w:rFonts w:hint="eastAsia"/>
                <w:b/>
                <w:bCs w:val="0"/>
                <w:color w:val="auto"/>
                <w:sz w:val="24"/>
                <w:szCs w:val="24"/>
                <w:lang w:val="en-US" w:eastAsia="zh-CN"/>
              </w:rPr>
              <w:t>产品的消纳可行性：</w:t>
            </w:r>
            <w:r>
              <w:rPr>
                <w:rFonts w:hint="eastAsia"/>
                <w:b w:val="0"/>
                <w:bCs/>
                <w:color w:val="auto"/>
                <w:sz w:val="24"/>
                <w:szCs w:val="24"/>
                <w:lang w:val="en-US" w:eastAsia="zh-CN"/>
              </w:rPr>
              <w:t>本项目产品目前主要外售于宜春市奥微杰科技有限公司，根据签订的采购协议消纳具有可行性，后续根据经营和销售情况，销售给更多周边企业。</w:t>
            </w:r>
          </w:p>
          <w:p w14:paraId="2A433520">
            <w:pPr>
              <w:keepNext w:val="0"/>
              <w:keepLines w:val="0"/>
              <w:pageBreakBefore/>
              <w:widowControl/>
              <w:suppressLineNumbers w:val="0"/>
              <w:spacing w:before="0" w:beforeLines="0" w:beforeAutospacing="0" w:after="0" w:afterLines="0" w:afterAutospacing="0"/>
              <w:ind w:left="0" w:right="0" w:firstLine="482"/>
              <w:rPr>
                <w:rFonts w:hint="eastAsia"/>
                <w:b/>
                <w:bCs w:val="0"/>
                <w:color w:val="auto"/>
                <w:sz w:val="24"/>
                <w:szCs w:val="24"/>
                <w:lang w:val="en-US" w:eastAsia="zh-CN"/>
              </w:rPr>
            </w:pPr>
            <w:r>
              <w:rPr>
                <w:rFonts w:hint="eastAsia"/>
                <w:b/>
                <w:bCs w:val="0"/>
                <w:color w:val="auto"/>
                <w:sz w:val="24"/>
                <w:szCs w:val="24"/>
                <w:lang w:val="en-US" w:eastAsia="zh-CN"/>
              </w:rPr>
              <w:t>3、项目一般固废应用于制砖达标可行性</w:t>
            </w:r>
          </w:p>
          <w:p w14:paraId="3258150D">
            <w:pPr>
              <w:keepNext w:val="0"/>
              <w:keepLines w:val="0"/>
              <w:pageBreakBefore/>
              <w:widowControl/>
              <w:suppressLineNumbers w:val="0"/>
              <w:spacing w:before="0" w:beforeLines="0" w:beforeAutospacing="0" w:after="0" w:afterLines="0" w:afterAutospacing="0"/>
              <w:ind w:left="0" w:right="0" w:firstLine="482"/>
              <w:rPr>
                <w:rFonts w:hint="eastAsia"/>
                <w:b w:val="0"/>
                <w:bCs/>
                <w:color w:val="auto"/>
                <w:sz w:val="24"/>
                <w:szCs w:val="24"/>
                <w:lang w:val="en-US" w:eastAsia="zh-CN"/>
              </w:rPr>
            </w:pPr>
            <w:r>
              <w:rPr>
                <w:rFonts w:hint="eastAsia"/>
                <w:b w:val="0"/>
                <w:bCs/>
                <w:color w:val="auto"/>
                <w:sz w:val="24"/>
                <w:szCs w:val="24"/>
                <w:lang w:val="en-US" w:eastAsia="zh-CN"/>
              </w:rPr>
              <w:t>为控制产品质量，特别是产品中污染物指标可达性，本项目从以下几个方面进行严格控制：</w:t>
            </w:r>
          </w:p>
          <w:p w14:paraId="1A0E3BAD">
            <w:pPr>
              <w:keepNext w:val="0"/>
              <w:keepLines w:val="0"/>
              <w:pageBreakBefore/>
              <w:widowControl/>
              <w:suppressLineNumbers w:val="0"/>
              <w:spacing w:before="0" w:beforeLines="0" w:beforeAutospacing="0" w:after="0" w:afterLines="0" w:afterAutospacing="0"/>
              <w:ind w:left="0" w:right="0" w:firstLine="482"/>
              <w:rPr>
                <w:rFonts w:hint="eastAsia"/>
                <w:b w:val="0"/>
                <w:bCs/>
                <w:color w:val="auto"/>
                <w:sz w:val="24"/>
                <w:szCs w:val="24"/>
                <w:lang w:val="en-US" w:eastAsia="zh-CN"/>
              </w:rPr>
            </w:pPr>
            <w:r>
              <w:rPr>
                <w:rFonts w:hint="eastAsia"/>
                <w:b w:val="0"/>
                <w:bCs/>
                <w:color w:val="auto"/>
                <w:sz w:val="24"/>
                <w:szCs w:val="24"/>
                <w:lang w:val="en-US" w:eastAsia="zh-CN"/>
              </w:rPr>
              <w:t>①从源头控制。项目要求锂渣鉴定为一般固废，且锂渣中浸出液污染物浓度需满足《公路路基工程利用锂渣技术规范（试行）》（DB36/T1968-2024）表1改性锂渣浸出液污染物浓度限值要求，否则不得使用于该项目。</w:t>
            </w:r>
          </w:p>
          <w:p w14:paraId="1B2EA526">
            <w:pPr>
              <w:keepNext w:val="0"/>
              <w:keepLines w:val="0"/>
              <w:pageBreakBefore/>
              <w:widowControl/>
              <w:suppressLineNumbers w:val="0"/>
              <w:spacing w:before="0" w:beforeLines="0" w:beforeAutospacing="0" w:after="0" w:afterLines="0" w:afterAutospacing="0"/>
              <w:ind w:left="0" w:right="0" w:firstLine="482"/>
              <w:rPr>
                <w:rFonts w:hint="eastAsia"/>
                <w:b w:val="0"/>
                <w:bCs/>
                <w:color w:val="auto"/>
                <w:sz w:val="24"/>
                <w:szCs w:val="24"/>
                <w:lang w:val="en-US" w:eastAsia="zh-CN"/>
              </w:rPr>
            </w:pPr>
            <w:r>
              <w:rPr>
                <w:rFonts w:hint="eastAsia"/>
                <w:b w:val="0"/>
                <w:bCs/>
                <w:color w:val="auto"/>
                <w:sz w:val="24"/>
                <w:szCs w:val="24"/>
                <w:lang w:val="en-US" w:eastAsia="zh-CN"/>
              </w:rPr>
              <w:t>②过程控制。锂渣充当砂子添加至产品中，产品在生产过程中，一方面通过螯合剂与原料中的重金属形成稳定的螯合物，另一方面使用水泥通过水化反应形成凝胶包裹重金属，通过以上方式可大大降低污染物的浸出率，同时使用抑碱剂通过酸性组分（如磷酸根、硅酸根）或活性阴离子与碱性物质（如Na⁺、K⁺、OH⁻）发生中和反应、离子交换或形成稳定络合物，从而降低体系pH值或抑制碱-硅酸反应（ASR），并在材料中形成致密保护层，阻断碱性离子迁移。</w:t>
            </w:r>
          </w:p>
          <w:p w14:paraId="168FAAA4">
            <w:pPr>
              <w:keepNext w:val="0"/>
              <w:keepLines w:val="0"/>
              <w:pageBreakBefore/>
              <w:widowControl/>
              <w:suppressLineNumbers w:val="0"/>
              <w:spacing w:before="0" w:beforeLines="0" w:beforeAutospacing="0" w:after="0" w:afterLines="0" w:afterAutospacing="0"/>
              <w:ind w:left="0" w:right="0" w:firstLine="482"/>
              <w:rPr>
                <w:rFonts w:hint="eastAsia"/>
                <w:b w:val="0"/>
                <w:bCs/>
                <w:color w:val="auto"/>
                <w:sz w:val="24"/>
                <w:szCs w:val="24"/>
                <w:lang w:val="en-US" w:eastAsia="zh-CN"/>
              </w:rPr>
            </w:pPr>
            <w:r>
              <w:rPr>
                <w:rFonts w:hint="eastAsia"/>
                <w:b w:val="0"/>
                <w:bCs/>
                <w:color w:val="auto"/>
                <w:sz w:val="24"/>
                <w:szCs w:val="24"/>
                <w:lang w:val="en-US" w:eastAsia="zh-CN"/>
              </w:rPr>
              <w:t>③产品出厂检测。产品在出厂时需对物理性能和污染物指标进行检测，物理性能必须满足《混凝土用复合掺合料》（JG/T486-2015）中普通型Ⅱ级、《建设用砂》（GB/T14684）、《混凝土路面砖》（GB/T 28635-2012）、《混凝土普通砖和装饰砖》（NY/T671-2003），产品中各污染物必须满足《水泥窑协同处置固体废物技术规范》（GB/T30760-2024）限值要求。</w:t>
            </w:r>
          </w:p>
          <w:p w14:paraId="1C34D274">
            <w:pPr>
              <w:keepNext w:val="0"/>
              <w:keepLines w:val="0"/>
              <w:pageBreakBefore/>
              <w:widowControl/>
              <w:suppressLineNumbers w:val="0"/>
              <w:spacing w:before="0" w:beforeLines="0" w:beforeAutospacing="0" w:after="0" w:afterLines="0" w:afterAutospacing="0"/>
              <w:ind w:left="0" w:right="0" w:firstLine="482"/>
              <w:rPr>
                <w:rFonts w:hint="default"/>
                <w:b/>
                <w:color w:val="auto"/>
                <w:sz w:val="24"/>
                <w:szCs w:val="24"/>
              </w:rPr>
            </w:pPr>
            <w:r>
              <w:rPr>
                <w:rFonts w:hint="eastAsia"/>
                <w:b/>
                <w:color w:val="auto"/>
                <w:sz w:val="24"/>
                <w:szCs w:val="24"/>
                <w:lang w:val="en-US" w:eastAsia="zh-CN"/>
              </w:rPr>
              <w:t>5</w:t>
            </w:r>
            <w:r>
              <w:rPr>
                <w:rFonts w:hint="eastAsia"/>
                <w:b/>
                <w:color w:val="auto"/>
                <w:sz w:val="24"/>
                <w:szCs w:val="24"/>
              </w:rPr>
              <w:t>、主要原辅材料</w:t>
            </w:r>
          </w:p>
          <w:p w14:paraId="2E2D6B32">
            <w:pPr>
              <w:keepNext w:val="0"/>
              <w:keepLines w:val="0"/>
              <w:pageBreakBefore/>
              <w:widowControl/>
              <w:suppressLineNumbers w:val="0"/>
              <w:spacing w:before="0" w:beforeAutospacing="0" w:after="0" w:afterAutospacing="0"/>
              <w:ind w:left="0" w:right="0"/>
              <w:rPr>
                <w:rFonts w:hint="default"/>
                <w:color w:val="auto"/>
                <w:sz w:val="24"/>
                <w:szCs w:val="24"/>
              </w:rPr>
            </w:pPr>
            <w:r>
              <w:rPr>
                <w:rFonts w:hint="eastAsia" w:ascii="宋体"/>
                <w:color w:val="auto"/>
                <w:sz w:val="24"/>
                <w:szCs w:val="24"/>
                <w:lang w:eastAsia="zh-CN"/>
              </w:rPr>
              <w:t>采用28万吨锂渣，替代原有的</w:t>
            </w:r>
            <w:r>
              <w:rPr>
                <w:rFonts w:hint="eastAsia" w:ascii="宋体"/>
                <w:color w:val="auto"/>
                <w:sz w:val="24"/>
                <w:szCs w:val="24"/>
                <w:lang w:val="en-US" w:eastAsia="zh-CN"/>
              </w:rPr>
              <w:t>8</w:t>
            </w:r>
            <w:r>
              <w:rPr>
                <w:rFonts w:hint="eastAsia" w:ascii="宋体"/>
                <w:color w:val="auto"/>
                <w:sz w:val="24"/>
                <w:szCs w:val="24"/>
                <w:lang w:eastAsia="zh-CN"/>
              </w:rPr>
              <w:t>万吨脱硫石膏、10万吨破陶瓷抛光泥及10万吨建筑废料（小计2</w:t>
            </w:r>
            <w:r>
              <w:rPr>
                <w:rFonts w:hint="eastAsia" w:ascii="宋体"/>
                <w:color w:val="auto"/>
                <w:sz w:val="24"/>
                <w:szCs w:val="24"/>
                <w:lang w:val="en-US" w:eastAsia="zh-CN"/>
              </w:rPr>
              <w:t>8</w:t>
            </w:r>
            <w:r>
              <w:rPr>
                <w:rFonts w:hint="eastAsia" w:ascii="宋体"/>
                <w:color w:val="auto"/>
                <w:sz w:val="24"/>
                <w:szCs w:val="24"/>
                <w:lang w:eastAsia="zh-CN"/>
              </w:rPr>
              <w:t>万吨），</w:t>
            </w:r>
            <w:r>
              <w:rPr>
                <w:rFonts w:hint="eastAsia" w:ascii="宋体"/>
                <w:color w:val="auto"/>
                <w:sz w:val="24"/>
                <w:szCs w:val="24"/>
              </w:rPr>
              <w:t>本项目主要原辅材</w:t>
            </w:r>
            <w:r>
              <w:rPr>
                <w:rFonts w:hint="eastAsia"/>
                <w:color w:val="auto"/>
                <w:sz w:val="24"/>
                <w:szCs w:val="24"/>
              </w:rPr>
              <w:t>料见表2-</w:t>
            </w:r>
            <w:r>
              <w:rPr>
                <w:rFonts w:hint="eastAsia"/>
                <w:color w:val="auto"/>
                <w:sz w:val="24"/>
                <w:szCs w:val="24"/>
                <w:lang w:val="en-US" w:eastAsia="zh-CN"/>
              </w:rPr>
              <w:t>4：</w:t>
            </w:r>
          </w:p>
          <w:p w14:paraId="01A6C0CE">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本项目主要原辅材料清单</w:t>
            </w:r>
          </w:p>
          <w:tbl>
            <w:tblPr>
              <w:tblStyle w:val="28"/>
              <w:tblW w:w="4999"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906"/>
              <w:gridCol w:w="889"/>
              <w:gridCol w:w="879"/>
              <w:gridCol w:w="908"/>
              <w:gridCol w:w="598"/>
              <w:gridCol w:w="598"/>
              <w:gridCol w:w="832"/>
              <w:gridCol w:w="725"/>
            </w:tblGrid>
            <w:tr w14:paraId="45B7146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1" w:hRule="atLeast"/>
              </w:trPr>
              <w:tc>
                <w:tcPr>
                  <w:tcW w:w="32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65069FF">
                  <w:pPr>
                    <w:keepNext w:val="0"/>
                    <w:keepLines w:val="0"/>
                    <w:pageBreakBefore/>
                    <w:widowControl/>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序号</w:t>
                  </w:r>
                </w:p>
              </w:tc>
              <w:tc>
                <w:tcPr>
                  <w:tcW w:w="121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1E54B27">
                  <w:pPr>
                    <w:keepNext w:val="0"/>
                    <w:keepLines w:val="0"/>
                    <w:pageBreakBefore/>
                    <w:widowControl/>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名称</w:t>
                  </w:r>
                </w:p>
              </w:tc>
              <w:tc>
                <w:tcPr>
                  <w:tcW w:w="56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D2BC42F">
                  <w:pPr>
                    <w:keepNext w:val="0"/>
                    <w:keepLines w:val="0"/>
                    <w:pageBreakBefore/>
                    <w:widowControl/>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变更前</w:t>
                  </w:r>
                </w:p>
              </w:tc>
              <w:tc>
                <w:tcPr>
                  <w:tcW w:w="56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A2D0F5E">
                  <w:pPr>
                    <w:keepNext w:val="0"/>
                    <w:keepLines w:val="0"/>
                    <w:pageBreakBefore/>
                    <w:widowControl/>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变更后</w:t>
                  </w:r>
                </w:p>
              </w:tc>
              <w:tc>
                <w:tcPr>
                  <w:tcW w:w="57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570B414">
                  <w:pPr>
                    <w:keepNext w:val="0"/>
                    <w:keepLines w:val="0"/>
                    <w:pageBreakBefore/>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变动情况</w:t>
                  </w:r>
                </w:p>
              </w:tc>
              <w:tc>
                <w:tcPr>
                  <w:tcW w:w="3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BAF1713">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储存位置</w:t>
                  </w:r>
                </w:p>
              </w:tc>
              <w:tc>
                <w:tcPr>
                  <w:tcW w:w="3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D02ECA0">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储存方式</w:t>
                  </w:r>
                </w:p>
              </w:tc>
              <w:tc>
                <w:tcPr>
                  <w:tcW w:w="53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F28F3A6">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最大储存量</w:t>
                  </w:r>
                </w:p>
              </w:tc>
              <w:tc>
                <w:tcPr>
                  <w:tcW w:w="45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2123EA6">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作用</w:t>
                  </w:r>
                </w:p>
              </w:tc>
            </w:tr>
            <w:tr w14:paraId="2D3143D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1" w:hRule="atLeast"/>
              </w:trPr>
              <w:tc>
                <w:tcPr>
                  <w:tcW w:w="32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9B664A6">
                  <w:pPr>
                    <w:keepNext w:val="0"/>
                    <w:keepLines w:val="0"/>
                    <w:pageBreakBefore/>
                    <w:widowControl/>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21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890858C">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脱硫石膏（含水率</w:t>
                  </w:r>
                  <w:r>
                    <w:rPr>
                      <w:rFonts w:hint="eastAsia" w:cs="Times New Roman"/>
                      <w:color w:val="auto"/>
                      <w:sz w:val="21"/>
                      <w:szCs w:val="21"/>
                      <w:lang w:eastAsia="zh-CN" w:bidi="ar"/>
                    </w:rPr>
                    <w:t>10%—17%</w:t>
                  </w:r>
                  <w:r>
                    <w:rPr>
                      <w:rFonts w:hint="default" w:ascii="Times New Roman" w:hAnsi="Times New Roman" w:cs="Times New Roman"/>
                      <w:color w:val="auto"/>
                      <w:sz w:val="21"/>
                      <w:szCs w:val="21"/>
                      <w:lang w:bidi="ar"/>
                    </w:rPr>
                    <w:t>）</w:t>
                  </w:r>
                </w:p>
              </w:tc>
              <w:tc>
                <w:tcPr>
                  <w:tcW w:w="56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739B402">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1</w:t>
                  </w:r>
                  <w:r>
                    <w:rPr>
                      <w:rFonts w:hint="eastAsia" w:cs="Times New Roman"/>
                      <w:color w:val="auto"/>
                      <w:sz w:val="21"/>
                      <w:szCs w:val="21"/>
                      <w:lang w:val="en-US" w:eastAsia="zh-CN" w:bidi="ar"/>
                    </w:rPr>
                    <w:t>4.1</w:t>
                  </w:r>
                  <w:r>
                    <w:rPr>
                      <w:rFonts w:hint="default" w:ascii="Times New Roman" w:hAnsi="Times New Roman" w:cs="Times New Roman"/>
                      <w:color w:val="auto"/>
                      <w:sz w:val="21"/>
                      <w:szCs w:val="21"/>
                      <w:lang w:bidi="ar"/>
                    </w:rPr>
                    <w:t>万吨</w:t>
                  </w:r>
                </w:p>
              </w:tc>
              <w:tc>
                <w:tcPr>
                  <w:tcW w:w="56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E4FFBEC">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cs="Times New Roman"/>
                      <w:color w:val="auto"/>
                      <w:sz w:val="21"/>
                      <w:szCs w:val="21"/>
                      <w:lang w:bidi="ar"/>
                    </w:rPr>
                  </w:pPr>
                  <w:r>
                    <w:rPr>
                      <w:rFonts w:hint="eastAsia" w:cs="Times New Roman"/>
                      <w:color w:val="auto"/>
                      <w:sz w:val="21"/>
                      <w:szCs w:val="21"/>
                      <w:lang w:val="en-US" w:eastAsia="zh-CN" w:bidi="ar"/>
                    </w:rPr>
                    <w:t>6.1</w:t>
                  </w:r>
                  <w:r>
                    <w:rPr>
                      <w:rFonts w:hint="default" w:ascii="Times New Roman" w:hAnsi="Times New Roman" w:cs="Times New Roman"/>
                      <w:color w:val="auto"/>
                      <w:sz w:val="21"/>
                      <w:szCs w:val="21"/>
                      <w:lang w:bidi="ar"/>
                    </w:rPr>
                    <w:t>万吨</w:t>
                  </w:r>
                </w:p>
              </w:tc>
              <w:tc>
                <w:tcPr>
                  <w:tcW w:w="57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431B93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减少8万吨</w:t>
                  </w:r>
                </w:p>
              </w:tc>
              <w:tc>
                <w:tcPr>
                  <w:tcW w:w="3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C4AC306">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西侧</w:t>
                  </w:r>
                </w:p>
              </w:tc>
              <w:tc>
                <w:tcPr>
                  <w:tcW w:w="3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9640881">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堆放</w:t>
                  </w:r>
                </w:p>
              </w:tc>
              <w:tc>
                <w:tcPr>
                  <w:tcW w:w="53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D290BAB">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1530吨</w:t>
                  </w:r>
                </w:p>
              </w:tc>
              <w:tc>
                <w:tcPr>
                  <w:tcW w:w="45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A3DAC39">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活性粉料</w:t>
                  </w:r>
                </w:p>
              </w:tc>
            </w:tr>
            <w:tr w14:paraId="7A47FED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1" w:hRule="atLeast"/>
              </w:trPr>
              <w:tc>
                <w:tcPr>
                  <w:tcW w:w="32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FAD3BDC">
                  <w:pPr>
                    <w:keepNext w:val="0"/>
                    <w:keepLines w:val="0"/>
                    <w:pageBreakBefore/>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w:t>
                  </w:r>
                </w:p>
              </w:tc>
              <w:tc>
                <w:tcPr>
                  <w:tcW w:w="121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EF32F1A">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破陶瓷砖拋光泥</w:t>
                  </w:r>
                </w:p>
              </w:tc>
              <w:tc>
                <w:tcPr>
                  <w:tcW w:w="56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38D4E1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eastAsia" w:cs="Times New Roman"/>
                      <w:color w:val="auto"/>
                      <w:sz w:val="21"/>
                      <w:szCs w:val="21"/>
                      <w:lang w:val="en-US" w:eastAsia="zh-CN" w:bidi="ar"/>
                    </w:rPr>
                    <w:t>34</w:t>
                  </w:r>
                  <w:r>
                    <w:rPr>
                      <w:rFonts w:hint="default" w:ascii="Times New Roman" w:hAnsi="Times New Roman" w:cs="Times New Roman"/>
                      <w:color w:val="auto"/>
                      <w:sz w:val="21"/>
                      <w:szCs w:val="21"/>
                      <w:lang w:bidi="ar"/>
                    </w:rPr>
                    <w:t>万吨</w:t>
                  </w:r>
                </w:p>
              </w:tc>
              <w:tc>
                <w:tcPr>
                  <w:tcW w:w="56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752A0A1">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cs="Times New Roman"/>
                      <w:color w:val="auto"/>
                      <w:sz w:val="21"/>
                      <w:szCs w:val="21"/>
                      <w:lang w:bidi="ar"/>
                    </w:rPr>
                  </w:pPr>
                  <w:r>
                    <w:rPr>
                      <w:rFonts w:hint="eastAsia" w:cs="Times New Roman"/>
                      <w:color w:val="auto"/>
                      <w:sz w:val="21"/>
                      <w:szCs w:val="21"/>
                      <w:lang w:val="en-US" w:eastAsia="zh-CN" w:bidi="ar"/>
                    </w:rPr>
                    <w:t>24</w:t>
                  </w:r>
                  <w:r>
                    <w:rPr>
                      <w:rFonts w:hint="default" w:ascii="Times New Roman" w:hAnsi="Times New Roman" w:cs="Times New Roman"/>
                      <w:color w:val="auto"/>
                      <w:sz w:val="21"/>
                      <w:szCs w:val="21"/>
                      <w:lang w:bidi="ar"/>
                    </w:rPr>
                    <w:t>万吨</w:t>
                  </w:r>
                </w:p>
              </w:tc>
              <w:tc>
                <w:tcPr>
                  <w:tcW w:w="57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3B62307">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减少10万吨</w:t>
                  </w:r>
                </w:p>
              </w:tc>
              <w:tc>
                <w:tcPr>
                  <w:tcW w:w="3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D67E9CA">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cs="Times New Roman"/>
                      <w:color w:val="auto"/>
                      <w:sz w:val="21"/>
                      <w:szCs w:val="21"/>
                      <w:lang w:bidi="ar"/>
                    </w:rPr>
                  </w:pPr>
                  <w:r>
                    <w:rPr>
                      <w:rFonts w:hint="eastAsia"/>
                      <w:color w:val="auto"/>
                      <w:kern w:val="0"/>
                      <w:sz w:val="21"/>
                      <w:szCs w:val="21"/>
                    </w:rPr>
                    <w:t>西侧</w:t>
                  </w:r>
                </w:p>
              </w:tc>
              <w:tc>
                <w:tcPr>
                  <w:tcW w:w="3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978972D">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袋装</w:t>
                  </w:r>
                </w:p>
              </w:tc>
              <w:tc>
                <w:tcPr>
                  <w:tcW w:w="53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25409AE">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1530吨</w:t>
                  </w:r>
                </w:p>
              </w:tc>
              <w:tc>
                <w:tcPr>
                  <w:tcW w:w="45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51A46D3">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骨料</w:t>
                  </w:r>
                </w:p>
              </w:tc>
            </w:tr>
            <w:tr w14:paraId="3DF6277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1" w:hRule="atLeast"/>
              </w:trPr>
              <w:tc>
                <w:tcPr>
                  <w:tcW w:w="32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8A58A39">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121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E9ABDC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建筑废料（含水率10%以下）</w:t>
                  </w:r>
                </w:p>
              </w:tc>
              <w:tc>
                <w:tcPr>
                  <w:tcW w:w="56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F6E89D9">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30万吨</w:t>
                  </w:r>
                </w:p>
              </w:tc>
              <w:tc>
                <w:tcPr>
                  <w:tcW w:w="56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3CE3235">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cs="Times New Roman"/>
                      <w:color w:val="auto"/>
                      <w:sz w:val="21"/>
                      <w:szCs w:val="21"/>
                      <w:lang w:bidi="ar"/>
                    </w:rPr>
                  </w:pPr>
                  <w:r>
                    <w:rPr>
                      <w:rFonts w:hint="eastAsia" w:cs="Times New Roman"/>
                      <w:color w:val="auto"/>
                      <w:sz w:val="21"/>
                      <w:szCs w:val="21"/>
                      <w:lang w:val="en-US" w:eastAsia="zh-CN" w:bidi="ar"/>
                    </w:rPr>
                    <w:t>20</w:t>
                  </w:r>
                  <w:r>
                    <w:rPr>
                      <w:rFonts w:hint="default" w:ascii="Times New Roman" w:hAnsi="Times New Roman" w:cs="Times New Roman"/>
                      <w:color w:val="auto"/>
                      <w:sz w:val="21"/>
                      <w:szCs w:val="21"/>
                      <w:lang w:bidi="ar"/>
                    </w:rPr>
                    <w:t>万吨</w:t>
                  </w:r>
                </w:p>
              </w:tc>
              <w:tc>
                <w:tcPr>
                  <w:tcW w:w="57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81B7D3E">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减少</w:t>
                  </w:r>
                  <w:r>
                    <w:rPr>
                      <w:rFonts w:hint="eastAsia" w:cs="Times New Roman"/>
                      <w:color w:val="auto"/>
                      <w:sz w:val="21"/>
                      <w:szCs w:val="21"/>
                      <w:lang w:val="en-US" w:eastAsia="zh-CN" w:bidi="ar"/>
                    </w:rPr>
                    <w:t>10</w:t>
                  </w:r>
                  <w:r>
                    <w:rPr>
                      <w:rFonts w:hint="eastAsia" w:ascii="Times New Roman" w:hAnsi="Times New Roman" w:eastAsia="宋体" w:cs="Times New Roman"/>
                      <w:color w:val="auto"/>
                      <w:sz w:val="21"/>
                      <w:szCs w:val="21"/>
                      <w:lang w:val="en-US" w:eastAsia="zh-CN" w:bidi="ar"/>
                    </w:rPr>
                    <w:t>万吨</w:t>
                  </w:r>
                </w:p>
              </w:tc>
              <w:tc>
                <w:tcPr>
                  <w:tcW w:w="3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42E0A8E">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val="en-US" w:eastAsia="zh-CN" w:bidi="ar"/>
                    </w:rPr>
                    <w:t>西北侧</w:t>
                  </w:r>
                </w:p>
              </w:tc>
              <w:tc>
                <w:tcPr>
                  <w:tcW w:w="3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7D0328A">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堆放</w:t>
                  </w:r>
                </w:p>
              </w:tc>
              <w:tc>
                <w:tcPr>
                  <w:tcW w:w="53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C9673DC">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1530吨</w:t>
                  </w:r>
                </w:p>
              </w:tc>
              <w:tc>
                <w:tcPr>
                  <w:tcW w:w="45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04E1236">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骨料</w:t>
                  </w:r>
                </w:p>
              </w:tc>
            </w:tr>
            <w:tr w14:paraId="590B4EF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1" w:hRule="atLeast"/>
              </w:trPr>
              <w:tc>
                <w:tcPr>
                  <w:tcW w:w="329"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07DB652">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4</w:t>
                  </w:r>
                </w:p>
              </w:tc>
              <w:tc>
                <w:tcPr>
                  <w:tcW w:w="1214"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F4A2289">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cs="Times New Roman"/>
                      <w:color w:val="auto"/>
                      <w:sz w:val="21"/>
                      <w:szCs w:val="21"/>
                      <w:lang w:bidi="ar"/>
                    </w:rPr>
                    <w:t>水泥</w:t>
                  </w:r>
                </w:p>
              </w:tc>
              <w:tc>
                <w:tcPr>
                  <w:tcW w:w="566"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0B2F796">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cs="Times New Roman"/>
                      <w:color w:val="auto"/>
                      <w:sz w:val="21"/>
                      <w:szCs w:val="21"/>
                      <w:lang w:bidi="ar"/>
                    </w:rPr>
                    <w:t>6万吨</w:t>
                  </w:r>
                </w:p>
              </w:tc>
              <w:tc>
                <w:tcPr>
                  <w:tcW w:w="56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794211E">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lang w:val="en-US" w:eastAsia="zh-CN" w:bidi="ar"/>
                    </w:rPr>
                  </w:pPr>
                  <w:r>
                    <w:rPr>
                      <w:rFonts w:hint="default" w:ascii="Times New Roman" w:hAnsi="Times New Roman" w:cs="Times New Roman"/>
                      <w:color w:val="auto"/>
                      <w:sz w:val="21"/>
                      <w:szCs w:val="21"/>
                      <w:lang w:bidi="ar"/>
                    </w:rPr>
                    <w:t>6万吨</w:t>
                  </w:r>
                </w:p>
              </w:tc>
              <w:tc>
                <w:tcPr>
                  <w:tcW w:w="578"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D00B1C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不变</w:t>
                  </w:r>
                </w:p>
              </w:tc>
              <w:tc>
                <w:tcPr>
                  <w:tcW w:w="381"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CBD4760">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cs="Times New Roman"/>
                      <w:color w:val="auto"/>
                      <w:sz w:val="21"/>
                      <w:szCs w:val="21"/>
                      <w:lang w:val="en-US" w:eastAsia="zh-CN" w:bidi="ar"/>
                    </w:rPr>
                  </w:pPr>
                  <w:r>
                    <w:rPr>
                      <w:rFonts w:hint="eastAsia" w:cs="Times New Roman"/>
                      <w:color w:val="auto"/>
                      <w:sz w:val="21"/>
                      <w:szCs w:val="21"/>
                      <w:lang w:val="en-US" w:eastAsia="zh-CN" w:bidi="ar"/>
                    </w:rPr>
                    <w:t>/</w:t>
                  </w:r>
                </w:p>
              </w:tc>
              <w:tc>
                <w:tcPr>
                  <w:tcW w:w="381"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7A9DBFB">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cs="Times New Roman"/>
                      <w:color w:val="auto"/>
                      <w:sz w:val="21"/>
                      <w:szCs w:val="21"/>
                      <w:lang w:val="en-US" w:eastAsia="zh-CN" w:bidi="ar"/>
                    </w:rPr>
                  </w:pPr>
                  <w:r>
                    <w:rPr>
                      <w:rFonts w:hint="eastAsia" w:cs="Times New Roman"/>
                      <w:color w:val="auto"/>
                      <w:sz w:val="21"/>
                      <w:szCs w:val="21"/>
                      <w:lang w:val="en-US" w:eastAsia="zh-CN" w:bidi="ar"/>
                    </w:rPr>
                    <w:t>罐装</w:t>
                  </w:r>
                </w:p>
              </w:tc>
              <w:tc>
                <w:tcPr>
                  <w:tcW w:w="53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D5AEF64">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400吨</w:t>
                  </w:r>
                </w:p>
              </w:tc>
              <w:tc>
                <w:tcPr>
                  <w:tcW w:w="458"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3C5D079">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胶凝</w:t>
                  </w:r>
                </w:p>
              </w:tc>
            </w:tr>
            <w:tr w14:paraId="349A3F4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8" w:hRule="atLeast"/>
              </w:trPr>
              <w:tc>
                <w:tcPr>
                  <w:tcW w:w="329"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7341452">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5</w:t>
                  </w:r>
                </w:p>
              </w:tc>
              <w:tc>
                <w:tcPr>
                  <w:tcW w:w="1214"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2B490AD">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cs="Times New Roman"/>
                      <w:color w:val="auto"/>
                      <w:sz w:val="21"/>
                      <w:szCs w:val="21"/>
                      <w:lang w:bidi="ar"/>
                    </w:rPr>
                    <w:t>钙质添加剂</w:t>
                  </w:r>
                </w:p>
              </w:tc>
              <w:tc>
                <w:tcPr>
                  <w:tcW w:w="566"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89D313F">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eastAsia" w:cs="Times New Roman"/>
                      <w:color w:val="auto"/>
                      <w:sz w:val="21"/>
                      <w:szCs w:val="21"/>
                      <w:lang w:val="en-US" w:eastAsia="zh-CN" w:bidi="ar"/>
                    </w:rPr>
                    <w:t>5</w:t>
                  </w:r>
                  <w:r>
                    <w:rPr>
                      <w:rFonts w:hint="default" w:ascii="Times New Roman" w:hAnsi="Times New Roman" w:cs="Times New Roman"/>
                      <w:color w:val="auto"/>
                      <w:sz w:val="21"/>
                      <w:szCs w:val="21"/>
                      <w:lang w:bidi="ar"/>
                    </w:rPr>
                    <w:t>000吨</w:t>
                  </w:r>
                </w:p>
              </w:tc>
              <w:tc>
                <w:tcPr>
                  <w:tcW w:w="56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E61EB9D">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eastAsia" w:cs="Times New Roman"/>
                      <w:color w:val="auto"/>
                      <w:sz w:val="21"/>
                      <w:szCs w:val="21"/>
                      <w:lang w:val="en-US" w:eastAsia="zh-CN" w:bidi="ar"/>
                    </w:rPr>
                    <w:t>5</w:t>
                  </w:r>
                  <w:r>
                    <w:rPr>
                      <w:rFonts w:hint="default" w:ascii="Times New Roman" w:hAnsi="Times New Roman" w:cs="Times New Roman"/>
                      <w:color w:val="auto"/>
                      <w:sz w:val="21"/>
                      <w:szCs w:val="21"/>
                      <w:lang w:bidi="ar"/>
                    </w:rPr>
                    <w:t>000吨</w:t>
                  </w:r>
                </w:p>
              </w:tc>
              <w:tc>
                <w:tcPr>
                  <w:tcW w:w="578"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69DC8A0">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不变</w:t>
                  </w:r>
                </w:p>
              </w:tc>
              <w:tc>
                <w:tcPr>
                  <w:tcW w:w="381"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A448EAF">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cs="Times New Roman"/>
                      <w:color w:val="auto"/>
                      <w:sz w:val="21"/>
                      <w:szCs w:val="21"/>
                      <w:lang w:val="en-US" w:eastAsia="zh-CN" w:bidi="ar"/>
                    </w:rPr>
                  </w:pPr>
                  <w:r>
                    <w:rPr>
                      <w:rFonts w:hint="eastAsia" w:cs="Times New Roman"/>
                      <w:color w:val="auto"/>
                      <w:sz w:val="21"/>
                      <w:szCs w:val="21"/>
                      <w:lang w:val="en-US" w:eastAsia="zh-CN" w:bidi="ar"/>
                    </w:rPr>
                    <w:t>/</w:t>
                  </w:r>
                </w:p>
              </w:tc>
              <w:tc>
                <w:tcPr>
                  <w:tcW w:w="381"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1DC21DB">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cs="Times New Roman"/>
                      <w:color w:val="auto"/>
                      <w:sz w:val="21"/>
                      <w:szCs w:val="21"/>
                      <w:lang w:val="en-US" w:eastAsia="zh-CN" w:bidi="ar"/>
                    </w:rPr>
                  </w:pPr>
                  <w:r>
                    <w:rPr>
                      <w:rFonts w:hint="eastAsia" w:cs="Times New Roman"/>
                      <w:color w:val="auto"/>
                      <w:sz w:val="21"/>
                      <w:szCs w:val="21"/>
                      <w:lang w:val="en-US" w:eastAsia="zh-CN" w:bidi="ar"/>
                    </w:rPr>
                    <w:t>袋装</w:t>
                  </w:r>
                </w:p>
              </w:tc>
              <w:tc>
                <w:tcPr>
                  <w:tcW w:w="53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9D1EE75">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10吨</w:t>
                  </w:r>
                </w:p>
              </w:tc>
              <w:tc>
                <w:tcPr>
                  <w:tcW w:w="458"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5959E59">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胶凝</w:t>
                  </w:r>
                </w:p>
              </w:tc>
            </w:tr>
            <w:tr w14:paraId="6BEEF18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8" w:hRule="atLeast"/>
              </w:trPr>
              <w:tc>
                <w:tcPr>
                  <w:tcW w:w="329"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F240BCF">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6</w:t>
                  </w:r>
                </w:p>
              </w:tc>
              <w:tc>
                <w:tcPr>
                  <w:tcW w:w="1214"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E5DA001">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cs="Times New Roman"/>
                      <w:color w:val="auto"/>
                      <w:sz w:val="21"/>
                      <w:szCs w:val="21"/>
                      <w:lang w:bidi="ar"/>
                    </w:rPr>
                    <w:t>固化剂</w:t>
                  </w:r>
                </w:p>
              </w:tc>
              <w:tc>
                <w:tcPr>
                  <w:tcW w:w="566"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0E718F4">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eastAsia" w:cs="Times New Roman"/>
                      <w:color w:val="auto"/>
                      <w:sz w:val="21"/>
                      <w:szCs w:val="21"/>
                      <w:lang w:val="en-US" w:eastAsia="zh-CN" w:bidi="ar"/>
                    </w:rPr>
                    <w:t>6</w:t>
                  </w:r>
                  <w:r>
                    <w:rPr>
                      <w:rFonts w:hint="eastAsia" w:ascii="Times New Roman" w:hAnsi="Times New Roman" w:cs="Times New Roman"/>
                      <w:color w:val="auto"/>
                      <w:sz w:val="21"/>
                      <w:szCs w:val="21"/>
                      <w:lang w:val="en-US" w:eastAsia="zh-CN" w:bidi="ar"/>
                    </w:rPr>
                    <w:t>00</w:t>
                  </w:r>
                  <w:r>
                    <w:rPr>
                      <w:rFonts w:hint="default" w:ascii="Times New Roman" w:hAnsi="Times New Roman" w:cs="Times New Roman"/>
                      <w:color w:val="auto"/>
                      <w:sz w:val="21"/>
                      <w:szCs w:val="21"/>
                      <w:lang w:bidi="ar"/>
                    </w:rPr>
                    <w:t>0吨</w:t>
                  </w:r>
                </w:p>
              </w:tc>
              <w:tc>
                <w:tcPr>
                  <w:tcW w:w="56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E5B1C03">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eastAsia" w:cs="Times New Roman"/>
                      <w:color w:val="auto"/>
                      <w:sz w:val="21"/>
                      <w:szCs w:val="21"/>
                      <w:lang w:val="en-US" w:eastAsia="zh-CN" w:bidi="ar"/>
                    </w:rPr>
                    <w:t>600</w:t>
                  </w:r>
                  <w:r>
                    <w:rPr>
                      <w:rFonts w:hint="default" w:ascii="Times New Roman" w:hAnsi="Times New Roman" w:cs="Times New Roman"/>
                      <w:color w:val="auto"/>
                      <w:sz w:val="21"/>
                      <w:szCs w:val="21"/>
                      <w:lang w:bidi="ar"/>
                    </w:rPr>
                    <w:t>0吨</w:t>
                  </w:r>
                </w:p>
              </w:tc>
              <w:tc>
                <w:tcPr>
                  <w:tcW w:w="578"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A110275">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不变</w:t>
                  </w:r>
                </w:p>
              </w:tc>
              <w:tc>
                <w:tcPr>
                  <w:tcW w:w="381"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24E5039">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cs="Times New Roman"/>
                      <w:color w:val="auto"/>
                      <w:sz w:val="21"/>
                      <w:szCs w:val="21"/>
                      <w:lang w:val="en-US" w:eastAsia="zh-CN" w:bidi="ar"/>
                    </w:rPr>
                  </w:pPr>
                  <w:r>
                    <w:rPr>
                      <w:rFonts w:hint="eastAsia" w:cs="Times New Roman"/>
                      <w:color w:val="auto"/>
                      <w:sz w:val="21"/>
                      <w:szCs w:val="21"/>
                      <w:lang w:val="en-US" w:eastAsia="zh-CN" w:bidi="ar"/>
                    </w:rPr>
                    <w:t>/</w:t>
                  </w:r>
                </w:p>
              </w:tc>
              <w:tc>
                <w:tcPr>
                  <w:tcW w:w="381"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4FB07FD5">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cs="Times New Roman"/>
                      <w:color w:val="auto"/>
                      <w:sz w:val="21"/>
                      <w:szCs w:val="21"/>
                      <w:lang w:val="en-US" w:eastAsia="zh-CN" w:bidi="ar"/>
                    </w:rPr>
                  </w:pPr>
                  <w:r>
                    <w:rPr>
                      <w:rFonts w:hint="eastAsia" w:cs="Times New Roman"/>
                      <w:color w:val="auto"/>
                      <w:sz w:val="21"/>
                      <w:szCs w:val="21"/>
                      <w:lang w:val="en-US" w:eastAsia="zh-CN" w:bidi="ar"/>
                    </w:rPr>
                    <w:t>/</w:t>
                  </w:r>
                </w:p>
              </w:tc>
              <w:tc>
                <w:tcPr>
                  <w:tcW w:w="53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428C0C4">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10吨</w:t>
                  </w:r>
                </w:p>
              </w:tc>
              <w:tc>
                <w:tcPr>
                  <w:tcW w:w="458"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BA246C4">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外加剂</w:t>
                  </w:r>
                </w:p>
              </w:tc>
            </w:tr>
            <w:tr w14:paraId="4B5F92D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8" w:hRule="atLeast"/>
              </w:trPr>
              <w:tc>
                <w:tcPr>
                  <w:tcW w:w="329"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3106987">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7</w:t>
                  </w:r>
                </w:p>
              </w:tc>
              <w:tc>
                <w:tcPr>
                  <w:tcW w:w="1214"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E6866D1">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eastAsia" w:cs="Times New Roman"/>
                      <w:color w:val="auto"/>
                      <w:sz w:val="21"/>
                      <w:szCs w:val="21"/>
                      <w:lang w:val="en-US" w:eastAsia="zh-CN" w:bidi="ar"/>
                    </w:rPr>
                    <w:t>水</w:t>
                  </w:r>
                </w:p>
              </w:tc>
              <w:tc>
                <w:tcPr>
                  <w:tcW w:w="566"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A7AF3E6">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cs="Times New Roman"/>
                      <w:color w:val="auto"/>
                      <w:sz w:val="21"/>
                      <w:szCs w:val="21"/>
                      <w:lang w:val="en-US" w:eastAsia="zh-CN" w:bidi="ar"/>
                    </w:rPr>
                    <w:t>64458吨</w:t>
                  </w:r>
                </w:p>
              </w:tc>
              <w:tc>
                <w:tcPr>
                  <w:tcW w:w="56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F2EEB0D">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eastAsia" w:cs="Times New Roman"/>
                      <w:color w:val="auto"/>
                      <w:sz w:val="21"/>
                      <w:szCs w:val="21"/>
                      <w:lang w:val="en-US" w:eastAsia="zh-CN" w:bidi="ar"/>
                    </w:rPr>
                    <w:t>68178</w:t>
                  </w:r>
                  <w:r>
                    <w:rPr>
                      <w:rFonts w:hint="eastAsia" w:ascii="Times New Roman" w:hAnsi="Times New Roman" w:cs="Times New Roman"/>
                      <w:color w:val="auto"/>
                      <w:sz w:val="21"/>
                      <w:szCs w:val="21"/>
                      <w:lang w:val="en-US" w:eastAsia="zh-CN" w:bidi="ar"/>
                    </w:rPr>
                    <w:t>吨</w:t>
                  </w:r>
                </w:p>
              </w:tc>
              <w:tc>
                <w:tcPr>
                  <w:tcW w:w="578"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66C497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增加3720吨</w:t>
                  </w:r>
                </w:p>
              </w:tc>
              <w:tc>
                <w:tcPr>
                  <w:tcW w:w="381"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E115695">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w:t>
                  </w:r>
                </w:p>
              </w:tc>
              <w:tc>
                <w:tcPr>
                  <w:tcW w:w="381"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97F9ACF">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w:t>
                  </w:r>
                </w:p>
              </w:tc>
              <w:tc>
                <w:tcPr>
                  <w:tcW w:w="530"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A44A771">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w:t>
                  </w:r>
                </w:p>
              </w:tc>
              <w:tc>
                <w:tcPr>
                  <w:tcW w:w="458"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3832070">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w:t>
                  </w:r>
                </w:p>
              </w:tc>
            </w:tr>
            <w:tr w14:paraId="0627B06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90" w:hRule="atLeast"/>
              </w:trPr>
              <w:tc>
                <w:tcPr>
                  <w:tcW w:w="32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9992C67">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w:t>
                  </w:r>
                </w:p>
              </w:tc>
              <w:tc>
                <w:tcPr>
                  <w:tcW w:w="121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494B2C2">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锂渣（含水率14%）</w:t>
                  </w:r>
                </w:p>
              </w:tc>
              <w:tc>
                <w:tcPr>
                  <w:tcW w:w="56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33B5E6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val="en-US" w:eastAsia="zh-CN" w:bidi="ar"/>
                    </w:rPr>
                  </w:pPr>
                  <w:r>
                    <w:rPr>
                      <w:rFonts w:hint="eastAsia" w:cs="Times New Roman"/>
                      <w:color w:val="auto"/>
                      <w:sz w:val="21"/>
                      <w:szCs w:val="21"/>
                      <w:lang w:val="en-US" w:eastAsia="zh-CN" w:bidi="ar"/>
                    </w:rPr>
                    <w:t>0</w:t>
                  </w:r>
                </w:p>
              </w:tc>
              <w:tc>
                <w:tcPr>
                  <w:tcW w:w="56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09B822E">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28万吨</w:t>
                  </w:r>
                </w:p>
              </w:tc>
              <w:tc>
                <w:tcPr>
                  <w:tcW w:w="57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2E304A2">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增加28万吨</w:t>
                  </w:r>
                </w:p>
              </w:tc>
              <w:tc>
                <w:tcPr>
                  <w:tcW w:w="3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3A8DFCD">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西北侧</w:t>
                  </w:r>
                </w:p>
              </w:tc>
              <w:tc>
                <w:tcPr>
                  <w:tcW w:w="3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A13E453">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堆放</w:t>
                  </w:r>
                </w:p>
              </w:tc>
              <w:tc>
                <w:tcPr>
                  <w:tcW w:w="53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B476336">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1530吨</w:t>
                  </w:r>
                </w:p>
              </w:tc>
              <w:tc>
                <w:tcPr>
                  <w:tcW w:w="45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0049E72">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活性粉料</w:t>
                  </w:r>
                </w:p>
              </w:tc>
            </w:tr>
            <w:tr w14:paraId="61FDECD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3" w:hRule="atLeast"/>
              </w:trPr>
              <w:tc>
                <w:tcPr>
                  <w:tcW w:w="32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4C5CD03">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9</w:t>
                  </w:r>
                </w:p>
              </w:tc>
              <w:tc>
                <w:tcPr>
                  <w:tcW w:w="121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0B32780">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机油</w:t>
                  </w:r>
                </w:p>
              </w:tc>
              <w:tc>
                <w:tcPr>
                  <w:tcW w:w="56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8A91957">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0.5t</w:t>
                  </w:r>
                </w:p>
              </w:tc>
              <w:tc>
                <w:tcPr>
                  <w:tcW w:w="56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79E0101">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0.5t</w:t>
                  </w:r>
                </w:p>
              </w:tc>
              <w:tc>
                <w:tcPr>
                  <w:tcW w:w="57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C14A02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不变</w:t>
                  </w:r>
                </w:p>
              </w:tc>
              <w:tc>
                <w:tcPr>
                  <w:tcW w:w="3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609EE59">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w:t>
                  </w:r>
                </w:p>
              </w:tc>
              <w:tc>
                <w:tcPr>
                  <w:tcW w:w="3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05410FA">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w:t>
                  </w:r>
                </w:p>
              </w:tc>
              <w:tc>
                <w:tcPr>
                  <w:tcW w:w="53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23C4D53">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0.1t</w:t>
                  </w:r>
                </w:p>
              </w:tc>
              <w:tc>
                <w:tcPr>
                  <w:tcW w:w="45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875B2E4">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w:t>
                  </w:r>
                </w:p>
              </w:tc>
            </w:tr>
            <w:tr w14:paraId="35972C0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3" w:hRule="atLeast"/>
              </w:trPr>
              <w:tc>
                <w:tcPr>
                  <w:tcW w:w="32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69546F4">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10</w:t>
                  </w:r>
                </w:p>
              </w:tc>
              <w:tc>
                <w:tcPr>
                  <w:tcW w:w="121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C87B7B5">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螯合剂</w:t>
                  </w:r>
                </w:p>
              </w:tc>
              <w:tc>
                <w:tcPr>
                  <w:tcW w:w="56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7EFB175">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0</w:t>
                  </w:r>
                </w:p>
              </w:tc>
              <w:tc>
                <w:tcPr>
                  <w:tcW w:w="56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6B6E9AA">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2000t</w:t>
                  </w:r>
                </w:p>
              </w:tc>
              <w:tc>
                <w:tcPr>
                  <w:tcW w:w="57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B47ED5F">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增加2000t</w:t>
                  </w:r>
                </w:p>
              </w:tc>
              <w:tc>
                <w:tcPr>
                  <w:tcW w:w="3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5A46673">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w:t>
                  </w:r>
                </w:p>
              </w:tc>
              <w:tc>
                <w:tcPr>
                  <w:tcW w:w="381"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1EFBDFB">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袋装</w:t>
                  </w:r>
                </w:p>
              </w:tc>
              <w:tc>
                <w:tcPr>
                  <w:tcW w:w="53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392E8CB">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10吨</w:t>
                  </w:r>
                </w:p>
              </w:tc>
              <w:tc>
                <w:tcPr>
                  <w:tcW w:w="45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1913DE6">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外加剂</w:t>
                  </w:r>
                </w:p>
              </w:tc>
            </w:tr>
            <w:tr w14:paraId="0B528CC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3" w:hRule="atLeast"/>
              </w:trPr>
              <w:tc>
                <w:tcPr>
                  <w:tcW w:w="5000" w:type="pct"/>
                  <w:gridSpan w:val="9"/>
                  <w:tcBorders>
                    <w:top w:val="single" w:color="auto" w:sz="2" w:space="0"/>
                    <w:left w:val="single" w:color="auto" w:sz="2" w:space="0"/>
                    <w:bottom w:val="single" w:color="auto" w:sz="2" w:space="0"/>
                    <w:right w:val="single" w:color="auto" w:sz="2" w:space="0"/>
                    <w:tl2br w:val="nil"/>
                    <w:tr2bl w:val="nil"/>
                  </w:tcBorders>
                  <w:noWrap w:val="0"/>
                  <w:vAlign w:val="center"/>
                </w:tcPr>
                <w:p w14:paraId="163FC1E4">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储存能力匹配性分析：项目以建筑废料为例，混凝土块：密度约为2500 kg/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s="Times New Roman"/>
                      <w:color w:val="auto"/>
                      <w:sz w:val="21"/>
                      <w:szCs w:val="21"/>
                      <w:lang w:val="en-US" w:eastAsia="zh-CN" w:bidi="ar"/>
                    </w:rPr>
                    <w:t>，项目一个原料仓库为306</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eastAsia" w:cs="Times New Roman"/>
                      <w:color w:val="auto"/>
                      <w:sz w:val="21"/>
                      <w:szCs w:val="21"/>
                      <w:lang w:val="en-US" w:eastAsia="zh-CN" w:bidi="ar"/>
                    </w:rPr>
                    <w:t>，考虑堆积后为不规则现状以及存在安息角，堆积高度取2米，一个306平方米的仓库存储能力为306×2.5×2=1530吨，由于各原料之间的体积与重量之比不同，一个306</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eastAsia" w:cs="Times New Roman"/>
                      <w:color w:val="auto"/>
                      <w:sz w:val="21"/>
                      <w:szCs w:val="21"/>
                      <w:lang w:val="en-US" w:eastAsia="zh-CN" w:bidi="ar"/>
                    </w:rPr>
                    <w:t>原料仓库最大的存储量约为1000-2000吨；项目还设有一个300t的水泥储存仓；项目平均每天发车空、重载各按71辆-次计，每辆车可装载40吨原料，每日运输量71×40=2840吨，原料储存周期较短，在两天之内就会投入使用，两天的运输量5680吨，项目设有6个原料仓库，平均每个仓库按1500吨计，6个仓库最大存储量约为9000吨，运输量小于仓库最大存储量。</w:t>
                  </w:r>
                </w:p>
              </w:tc>
            </w:tr>
          </w:tbl>
          <w:p w14:paraId="2084AF75">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项目原料</w:t>
            </w:r>
            <w:r>
              <w:rPr>
                <w:rFonts w:hint="eastAsia" w:ascii="Times New Roman" w:hAnsi="Times New Roman" w:eastAsia="宋体" w:cs="Times New Roman"/>
                <w:b/>
                <w:bCs/>
                <w:color w:val="auto"/>
                <w:sz w:val="24"/>
                <w:szCs w:val="24"/>
                <w:lang w:val="zh-CN" w:eastAsia="zh-CN"/>
              </w:rPr>
              <w:t>《固体废物分类和代码目录》（生态环境部2024年4号令）</w:t>
            </w:r>
            <w:r>
              <w:rPr>
                <w:rFonts w:hint="eastAsia" w:ascii="Times New Roman" w:hAnsi="Times New Roman" w:eastAsia="宋体" w:cs="Times New Roman"/>
                <w:b/>
                <w:bCs/>
                <w:color w:val="auto"/>
                <w:sz w:val="24"/>
                <w:szCs w:val="24"/>
                <w:lang w:val="en-US" w:eastAsia="zh-CN"/>
              </w:rPr>
              <w:t>对照</w:t>
            </w: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821"/>
              <w:gridCol w:w="1314"/>
              <w:gridCol w:w="3122"/>
              <w:gridCol w:w="1033"/>
            </w:tblGrid>
            <w:tr w14:paraId="463A5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99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FCBC1C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废物种类</w:t>
                  </w:r>
                </w:p>
              </w:tc>
              <w:tc>
                <w:tcPr>
                  <w:tcW w:w="52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F22946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行业来源</w:t>
                  </w:r>
                </w:p>
              </w:tc>
              <w:tc>
                <w:tcPr>
                  <w:tcW w:w="83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C8E56EF">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废物代码</w:t>
                  </w:r>
                </w:p>
              </w:tc>
              <w:tc>
                <w:tcPr>
                  <w:tcW w:w="198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5B71AB7">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说明</w:t>
                  </w:r>
                </w:p>
              </w:tc>
              <w:tc>
                <w:tcPr>
                  <w:tcW w:w="656"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432F161">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本项目原料</w:t>
                  </w:r>
                </w:p>
              </w:tc>
            </w:tr>
            <w:tr w14:paraId="0C133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5000" w:type="pct"/>
                  <w:gridSpan w:val="5"/>
                  <w:tcBorders>
                    <w:top w:val="single" w:color="auto" w:sz="4" w:space="0"/>
                    <w:left w:val="single" w:color="auto" w:sz="4" w:space="0"/>
                    <w:bottom w:val="single" w:color="auto" w:sz="4" w:space="0"/>
                    <w:right w:val="single" w:color="auto" w:sz="4" w:space="0"/>
                    <w:tl2br w:val="nil"/>
                    <w:tr2bl w:val="nil"/>
                  </w:tcBorders>
                  <w:noWrap w:val="0"/>
                  <w:vAlign w:val="center"/>
                </w:tcPr>
                <w:p w14:paraId="3AAA976A">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工业固体废物</w:t>
                  </w:r>
                </w:p>
              </w:tc>
            </w:tr>
            <w:tr w14:paraId="4EA11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99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78429FD">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SW06脱硫石膏</w:t>
                  </w:r>
                </w:p>
              </w:tc>
              <w:tc>
                <w:tcPr>
                  <w:tcW w:w="52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78CEBA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非特定行业</w:t>
                  </w:r>
                </w:p>
              </w:tc>
              <w:tc>
                <w:tcPr>
                  <w:tcW w:w="83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D75C75A">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900-099-S06</w:t>
                  </w:r>
                </w:p>
              </w:tc>
              <w:tc>
                <w:tcPr>
                  <w:tcW w:w="198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69CBD7A">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其他脱硫石膏。其他行业烟气处理产生的脱硫石膏或脱硫灰。</w:t>
                  </w:r>
                </w:p>
              </w:tc>
              <w:tc>
                <w:tcPr>
                  <w:tcW w:w="656"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299F98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脱硫石膏</w:t>
                  </w:r>
                </w:p>
              </w:tc>
            </w:tr>
            <w:tr w14:paraId="578D1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99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34EA01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SW59其他工业固体废物</w:t>
                  </w:r>
                </w:p>
              </w:tc>
              <w:tc>
                <w:tcPr>
                  <w:tcW w:w="52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DCB2C4C">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非特定行业</w:t>
                  </w:r>
                </w:p>
              </w:tc>
              <w:tc>
                <w:tcPr>
                  <w:tcW w:w="83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25D510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900-099-S59</w:t>
                  </w:r>
                </w:p>
              </w:tc>
              <w:tc>
                <w:tcPr>
                  <w:tcW w:w="198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C5FBFA5">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其他工业生产过程中产生的固体废物。</w:t>
                  </w:r>
                </w:p>
              </w:tc>
              <w:tc>
                <w:tcPr>
                  <w:tcW w:w="656"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A882122">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破陶瓷砖拋光泥</w:t>
                  </w:r>
                </w:p>
              </w:tc>
            </w:tr>
            <w:tr w14:paraId="77363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99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7AE8C6E">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val="zh-CN" w:bidi="ar"/>
                    </w:rPr>
                    <w:t>SW01冶炼废渣</w:t>
                  </w:r>
                </w:p>
              </w:tc>
              <w:tc>
                <w:tcPr>
                  <w:tcW w:w="52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BBC21ED">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非特定行业</w:t>
                  </w:r>
                </w:p>
              </w:tc>
              <w:tc>
                <w:tcPr>
                  <w:tcW w:w="83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850E43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900-099-S01</w:t>
                  </w:r>
                </w:p>
              </w:tc>
              <w:tc>
                <w:tcPr>
                  <w:tcW w:w="198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E0261D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其他冶炼渣。其他金属冶炼加工过程产生的废渣。</w:t>
                  </w:r>
                </w:p>
              </w:tc>
              <w:tc>
                <w:tcPr>
                  <w:tcW w:w="656"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15E61EF">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锂渣</w:t>
                  </w:r>
                </w:p>
              </w:tc>
            </w:tr>
            <w:tr w14:paraId="46C03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5000" w:type="pct"/>
                  <w:gridSpan w:val="5"/>
                  <w:tcBorders>
                    <w:top w:val="single" w:color="auto" w:sz="4" w:space="0"/>
                    <w:left w:val="single" w:color="auto" w:sz="4" w:space="0"/>
                    <w:bottom w:val="single" w:color="auto" w:sz="4" w:space="0"/>
                    <w:right w:val="single" w:color="auto" w:sz="4" w:space="0"/>
                    <w:tl2br w:val="nil"/>
                    <w:tr2bl w:val="nil"/>
                  </w:tcBorders>
                  <w:noWrap w:val="0"/>
                  <w:vAlign w:val="center"/>
                </w:tcPr>
                <w:p w14:paraId="4B94005E">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建筑垃圾</w:t>
                  </w:r>
                </w:p>
              </w:tc>
            </w:tr>
            <w:tr w14:paraId="66A1A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99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B48E4F5">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SW70工程渣土</w:t>
                  </w:r>
                </w:p>
              </w:tc>
              <w:tc>
                <w:tcPr>
                  <w:tcW w:w="52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2412A5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非特定行业</w:t>
                  </w:r>
                </w:p>
              </w:tc>
              <w:tc>
                <w:tcPr>
                  <w:tcW w:w="83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84CCFF9">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cs="Times New Roman"/>
                      <w:color w:val="auto"/>
                      <w:sz w:val="21"/>
                      <w:szCs w:val="21"/>
                      <w:lang w:bidi="ar"/>
                    </w:rPr>
                    <w:t>900-099-S7</w:t>
                  </w:r>
                  <w:r>
                    <w:rPr>
                      <w:rFonts w:hint="default" w:ascii="Times New Roman" w:hAnsi="Times New Roman" w:cs="Times New Roman"/>
                      <w:color w:val="auto"/>
                      <w:sz w:val="21"/>
                      <w:szCs w:val="21"/>
                      <w:lang w:val="en-US" w:eastAsia="zh-CN" w:bidi="ar"/>
                    </w:rPr>
                    <w:t>3</w:t>
                  </w:r>
                </w:p>
              </w:tc>
              <w:tc>
                <w:tcPr>
                  <w:tcW w:w="198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D883910">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val="zh-CN" w:bidi="ar"/>
                    </w:rPr>
                    <w:t>各类建筑物、构筑物等拆除过程中产生的其他弃料。</w:t>
                  </w:r>
                </w:p>
              </w:tc>
              <w:tc>
                <w:tcPr>
                  <w:tcW w:w="656"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8C719F9">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建筑废料</w:t>
                  </w:r>
                </w:p>
              </w:tc>
            </w:tr>
          </w:tbl>
          <w:p w14:paraId="4CEC6588">
            <w:pPr>
              <w:keepNext w:val="0"/>
              <w:keepLines w:val="0"/>
              <w:pageBreakBefore/>
              <w:widowControl/>
              <w:suppressLineNumbers w:val="0"/>
              <w:spacing w:before="0" w:beforeLines="0" w:beforeAutospacing="0" w:after="0" w:afterLines="0" w:afterAutospacing="0"/>
              <w:ind w:left="0" w:right="0" w:firstLine="482"/>
              <w:rPr>
                <w:rFonts w:hint="default"/>
                <w:color w:val="auto"/>
                <w:sz w:val="24"/>
                <w:szCs w:val="24"/>
              </w:rPr>
            </w:pPr>
            <w:r>
              <w:rPr>
                <w:rFonts w:hint="eastAsia"/>
                <w:b/>
                <w:color w:val="auto"/>
                <w:sz w:val="24"/>
                <w:szCs w:val="24"/>
              </w:rPr>
              <w:t>固化剂：</w:t>
            </w:r>
            <w:r>
              <w:rPr>
                <w:rFonts w:hint="eastAsia"/>
                <w:color w:val="auto"/>
                <w:sz w:val="24"/>
                <w:szCs w:val="24"/>
              </w:rPr>
              <w:t>呈粉末或液态</w:t>
            </w:r>
            <w:r>
              <w:rPr>
                <w:rFonts w:hint="eastAsia"/>
                <w:color w:val="auto"/>
                <w:sz w:val="24"/>
                <w:szCs w:val="24"/>
                <w:lang w:eastAsia="zh-CN"/>
              </w:rPr>
              <w:t>（</w:t>
            </w:r>
            <w:r>
              <w:rPr>
                <w:rFonts w:hint="eastAsia"/>
                <w:color w:val="auto"/>
                <w:sz w:val="24"/>
                <w:szCs w:val="24"/>
                <w:lang w:val="en-US" w:eastAsia="zh-CN"/>
              </w:rPr>
              <w:t>本项目使用粉末</w:t>
            </w:r>
            <w:r>
              <w:rPr>
                <w:rFonts w:hint="eastAsia"/>
                <w:color w:val="auto"/>
                <w:sz w:val="24"/>
                <w:szCs w:val="24"/>
                <w:lang w:eastAsia="zh-CN"/>
              </w:rPr>
              <w:t>）</w:t>
            </w:r>
            <w:r>
              <w:rPr>
                <w:rFonts w:hint="eastAsia"/>
                <w:color w:val="auto"/>
                <w:sz w:val="24"/>
                <w:szCs w:val="24"/>
              </w:rPr>
              <w:t>，易溶于水或分散于水泥浆体；化学组成多为硅酸盐、铝酸盐、硫酸盐（如Na₂SiO₃、CaCl₂）或有机聚合物（如丙烯酸酯），能通过促进水化反应（加速CSH凝胶生成）或交联作用增强结构密实性；具有碱性（pH10~13）以匹配水泥环境，部分含氯盐类可能引锈需慎用；固化后产物具备耐水性、抗渗性，且热稳定性通常高于150℃。其掺量低（</w:t>
            </w:r>
            <w:r>
              <w:rPr>
                <w:rFonts w:hint="eastAsia"/>
                <w:color w:val="auto"/>
                <w:sz w:val="24"/>
                <w:szCs w:val="24"/>
                <w:lang w:eastAsia="zh-CN"/>
              </w:rPr>
              <w:t>0.5%～5%</w:t>
            </w:r>
            <w:r>
              <w:rPr>
                <w:rFonts w:hint="eastAsia"/>
                <w:color w:val="auto"/>
                <w:sz w:val="24"/>
                <w:szCs w:val="24"/>
              </w:rPr>
              <w:t>），但可显著提升早期强度（1~3天强度提高</w:t>
            </w:r>
            <w:r>
              <w:rPr>
                <w:rFonts w:hint="eastAsia"/>
                <w:color w:val="auto"/>
                <w:sz w:val="24"/>
                <w:szCs w:val="24"/>
                <w:lang w:eastAsia="zh-CN"/>
              </w:rPr>
              <w:t>20%～50%</w:t>
            </w:r>
            <w:r>
              <w:rPr>
                <w:rFonts w:hint="eastAsia"/>
                <w:color w:val="auto"/>
                <w:sz w:val="24"/>
                <w:szCs w:val="24"/>
              </w:rPr>
              <w:t>）或改善耐久性（如降低孔隙率）</w:t>
            </w:r>
            <w:r>
              <w:rPr>
                <w:rFonts w:hint="default" w:ascii="Times New Roman" w:hAnsi="Times New Roman" w:cs="Times New Roman"/>
                <w:color w:val="auto"/>
                <w:sz w:val="24"/>
                <w:szCs w:val="24"/>
              </w:rPr>
              <w:t>。</w:t>
            </w:r>
          </w:p>
          <w:p w14:paraId="21D80E9E">
            <w:pPr>
              <w:keepNext w:val="0"/>
              <w:keepLines w:val="0"/>
              <w:pageBreakBefore/>
              <w:widowControl/>
              <w:suppressLineNumbers w:val="0"/>
              <w:spacing w:before="0" w:beforeLines="0" w:beforeAutospacing="0" w:after="0" w:afterLines="0" w:afterAutospacing="0"/>
              <w:ind w:left="0" w:right="0" w:firstLine="482"/>
              <w:rPr>
                <w:rFonts w:hint="eastAsia"/>
                <w:color w:val="auto"/>
                <w:sz w:val="24"/>
                <w:szCs w:val="24"/>
                <w:lang w:val="en-US" w:eastAsia="zh-CN"/>
              </w:rPr>
            </w:pPr>
            <w:r>
              <w:rPr>
                <w:rFonts w:hint="eastAsia"/>
                <w:b/>
                <w:color w:val="auto"/>
                <w:sz w:val="24"/>
                <w:szCs w:val="24"/>
              </w:rPr>
              <w:t>钙质添加剂：</w:t>
            </w:r>
            <w:r>
              <w:rPr>
                <w:rFonts w:hint="eastAsia"/>
                <w:color w:val="auto"/>
                <w:sz w:val="24"/>
                <w:szCs w:val="24"/>
              </w:rPr>
              <w:t>钙质添加剂为白色或微黄色的结晶性粉末，具有吸湿性，露置空气中微有风化，易溶于热水，形成透明或微混浊的溶液，水溶液呈中性或弱酸性，不溶于乙醇、氯仿和乙醚</w:t>
            </w:r>
            <w:r>
              <w:rPr>
                <w:rFonts w:hint="eastAsia"/>
                <w:color w:val="auto"/>
                <w:sz w:val="24"/>
                <w:szCs w:val="24"/>
                <w:lang w:val="en-US" w:eastAsia="zh-CN"/>
              </w:rPr>
              <w:t>。</w:t>
            </w:r>
          </w:p>
          <w:p w14:paraId="7E09598E">
            <w:pPr>
              <w:keepNext w:val="0"/>
              <w:keepLines w:val="0"/>
              <w:pageBreakBefore/>
              <w:widowControl/>
              <w:suppressLineNumbers w:val="0"/>
              <w:spacing w:before="0" w:beforeLines="0" w:beforeAutospacing="0" w:after="0" w:afterLines="0" w:afterAutospacing="0"/>
              <w:ind w:left="0" w:right="0" w:firstLine="482"/>
              <w:rPr>
                <w:rFonts w:hint="eastAsia"/>
                <w:b/>
                <w:bCs/>
                <w:color w:val="auto"/>
                <w:sz w:val="24"/>
                <w:szCs w:val="24"/>
                <w:lang w:val="en-US" w:eastAsia="zh-CN"/>
              </w:rPr>
            </w:pPr>
            <w:r>
              <w:rPr>
                <w:rFonts w:hint="eastAsia"/>
                <w:b/>
                <w:bCs/>
                <w:color w:val="auto"/>
                <w:sz w:val="24"/>
                <w:szCs w:val="24"/>
                <w:lang w:val="en-US" w:eastAsia="zh-CN"/>
              </w:rPr>
              <w:t>锂渣：</w:t>
            </w:r>
          </w:p>
          <w:p w14:paraId="47706793">
            <w:pPr>
              <w:keepNext w:val="0"/>
              <w:keepLines w:val="0"/>
              <w:pageBreakBefore/>
              <w:widowControl/>
              <w:suppressLineNumbers w:val="0"/>
              <w:spacing w:before="0" w:beforeLines="0" w:beforeAutospacing="0" w:after="0" w:afterLines="0" w:afterAutospacing="0"/>
              <w:ind w:left="0" w:right="0" w:firstLine="482"/>
              <w:rPr>
                <w:rFonts w:hint="eastAsia"/>
                <w:color w:val="auto"/>
                <w:sz w:val="24"/>
                <w:szCs w:val="24"/>
                <w:lang w:val="en-US" w:eastAsia="zh-CN"/>
              </w:rPr>
            </w:pPr>
            <w:r>
              <w:rPr>
                <w:rFonts w:hint="eastAsia"/>
                <w:color w:val="auto"/>
                <w:sz w:val="24"/>
                <w:szCs w:val="24"/>
                <w:lang w:val="en-US" w:eastAsia="zh-CN"/>
              </w:rPr>
              <w:t>呈灰白色或浅灰色的固态物质，主要成分包含锂盐残留物及其他金属氧化物。具有一定含水率（通常10%—30%），密度约2.0-2.5g/c</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sz w:val="24"/>
                <w:szCs w:val="24"/>
                <w:lang w:val="en-US" w:eastAsia="zh-CN"/>
              </w:rPr>
              <w:t>。化学性质相对稳定，但可能含有少量可溶性锂盐。在常温下不易挥发，无明显气味。可能含有微量重金属成分，需注意环境影响。粉尘可能对呼吸道造成刺激，建议佩戴防护设备进行操作。在环境中可能会随雨水渗透，对土壤和地下水可能造成影响，需妥善处置和存储。</w:t>
            </w:r>
          </w:p>
          <w:p w14:paraId="26589D7B">
            <w:pPr>
              <w:keepNext w:val="0"/>
              <w:keepLines w:val="0"/>
              <w:pageBreakBefore/>
              <w:widowControl/>
              <w:suppressLineNumbers w:val="0"/>
              <w:spacing w:before="0" w:beforeLines="0" w:beforeAutospacing="0" w:after="0" w:afterLines="0" w:afterAutospacing="0"/>
              <w:ind w:left="0" w:right="0" w:firstLine="482"/>
              <w:rPr>
                <w:rFonts w:hint="eastAsia"/>
                <w:color w:val="auto"/>
                <w:sz w:val="24"/>
                <w:szCs w:val="24"/>
                <w:lang w:val="en-US" w:eastAsia="zh-CN"/>
              </w:rPr>
            </w:pPr>
            <w:r>
              <w:rPr>
                <w:rFonts w:hint="eastAsia"/>
                <w:color w:val="auto"/>
                <w:sz w:val="24"/>
                <w:szCs w:val="24"/>
                <w:lang w:val="en-US" w:eastAsia="zh-CN"/>
              </w:rPr>
              <w:t>本项目锂冶炼剩余物为二次提锂企业产生的水洗渣，为一般工业固体废物，主要来源于高安附近厂区，如江西研硕科技研发有限公司锂渣，根据《江西研硕科技研发有限公司年50万吨锂冶炼剩余物清洁化利用项目（重大变动）环境影响报告表》及其批复（高环评字〔2025〕9号）要求：“建设单位须对固化尾渣进行属性鉴定，鉴定结果须为一般工业固废，需满足相应产品质量要求。含锂溶液用于下游企业提锂，固化尾渣用于公路路基时质量应满足《公路路基工程利用锂渣技术规范（试行））（DB36/T1968-2024）（试行）相关要求；固化尾渣用于护坡六角块、市政道路透水砖和市政管网填充时，固化尾渣参照满足《水泥窑协同处置固体废物技术规范》（GB/T 30760-2024）对水泥熟料中重金属含量的要求；固化尾渣不满足以上产品要求进入填埋场填埋时，须满足《一般工业固体废物贮存和填埋污染控制标准》（GB18599-2020）相关要求”。</w:t>
            </w:r>
          </w:p>
          <w:p w14:paraId="4E90068E">
            <w:pPr>
              <w:keepNext w:val="0"/>
              <w:keepLines w:val="0"/>
              <w:pageBreakBefore/>
              <w:widowControl/>
              <w:suppressLineNumbers w:val="0"/>
              <w:spacing w:before="0" w:beforeLines="0" w:beforeAutospacing="0" w:after="0" w:afterLines="0" w:afterAutospacing="0"/>
              <w:ind w:left="0" w:right="0" w:firstLine="482"/>
              <w:rPr>
                <w:rFonts w:hint="eastAsia"/>
                <w:color w:val="auto"/>
                <w:sz w:val="24"/>
                <w:szCs w:val="24"/>
                <w:lang w:val="en-US" w:eastAsia="zh-CN"/>
              </w:rPr>
            </w:pPr>
            <w:r>
              <w:rPr>
                <w:rFonts w:hint="eastAsia"/>
                <w:color w:val="auto"/>
                <w:sz w:val="24"/>
                <w:szCs w:val="24"/>
                <w:lang w:val="en-US" w:eastAsia="zh-CN"/>
              </w:rPr>
              <w:t>江西研硕科技研发有限公司其工艺为：锂冶炼剩余物-卸料-破碎-球磨-调浆-过滤-除杂-压滤，该项目压滤渣为除杂污泥，（附件十二含水率为14%，以干基检测），除杂污泥并入固化尾渣，用于相关建材领域，锂渣因其易结块需破碎后配料。</w:t>
            </w:r>
          </w:p>
          <w:p w14:paraId="4C7CBE95">
            <w:pPr>
              <w:keepNext w:val="0"/>
              <w:keepLines w:val="0"/>
              <w:pageBreakBefore/>
              <w:widowControl/>
              <w:suppressLineNumbers w:val="0"/>
              <w:spacing w:before="0" w:beforeLines="0" w:beforeAutospacing="0" w:after="0" w:afterLines="0" w:afterAutospacing="0"/>
              <w:ind w:left="0" w:right="0" w:firstLine="482"/>
              <w:rPr>
                <w:rFonts w:hint="eastAsia"/>
                <w:color w:val="auto"/>
                <w:sz w:val="24"/>
                <w:szCs w:val="24"/>
                <w:lang w:val="en-US" w:eastAsia="zh-CN"/>
              </w:rPr>
            </w:pPr>
            <w:r>
              <w:rPr>
                <w:rFonts w:hint="eastAsia"/>
                <w:color w:val="auto"/>
                <w:sz w:val="24"/>
                <w:szCs w:val="24"/>
                <w:lang w:val="en-US" w:eastAsia="zh-CN"/>
              </w:rPr>
              <w:t>因此，本项目使用的江西研硕科技研发有限公司固化尾渣须为一般工业固废。</w:t>
            </w:r>
          </w:p>
          <w:p w14:paraId="524CD592">
            <w:pPr>
              <w:keepNext w:val="0"/>
              <w:keepLines w:val="0"/>
              <w:pageBreakBefore/>
              <w:widowControl/>
              <w:suppressLineNumbers w:val="0"/>
              <w:spacing w:before="0" w:beforeLines="0" w:beforeAutospacing="0" w:after="0" w:afterLines="0" w:afterAutospacing="0"/>
              <w:ind w:left="0" w:right="0" w:firstLine="482"/>
              <w:rPr>
                <w:rFonts w:hint="eastAsia"/>
                <w:color w:val="auto"/>
                <w:sz w:val="24"/>
                <w:szCs w:val="24"/>
                <w:lang w:val="en-US" w:eastAsia="zh-CN"/>
              </w:rPr>
            </w:pPr>
            <w:r>
              <w:rPr>
                <w:rFonts w:hint="eastAsia"/>
                <w:color w:val="auto"/>
                <w:sz w:val="24"/>
                <w:szCs w:val="24"/>
                <w:lang w:val="en-US" w:eastAsia="zh-CN"/>
              </w:rPr>
              <w:t>螯合剂：主要成分为碳、氧、氢直链配位体，呈中性环保无毒，无挥发性。螯合剂为专利技术，成分保密。螯合剂能与游离的铍、铊发生螯合反应，形成难溶解的铍络合物和铊络合物，从而使铊、铍稳定化。</w:t>
            </w:r>
          </w:p>
          <w:p w14:paraId="6D2F4ED4">
            <w:pPr>
              <w:keepNext w:val="0"/>
              <w:keepLines w:val="0"/>
              <w:pageBreakBefore/>
              <w:widowControl/>
              <w:suppressLineNumbers w:val="0"/>
              <w:spacing w:before="0" w:beforeLines="0" w:beforeAutospacing="0" w:after="0" w:afterLines="0" w:afterAutospacing="0"/>
              <w:ind w:left="0" w:right="0" w:firstLine="482"/>
              <w:rPr>
                <w:rFonts w:hint="eastAsia"/>
                <w:color w:val="auto"/>
                <w:sz w:val="24"/>
                <w:szCs w:val="24"/>
                <w:lang w:val="en-US" w:eastAsia="zh-CN"/>
              </w:rPr>
            </w:pPr>
            <w:r>
              <w:rPr>
                <w:rFonts w:hint="eastAsia"/>
                <w:color w:val="auto"/>
                <w:sz w:val="24"/>
                <w:szCs w:val="24"/>
                <w:lang w:val="en-US" w:eastAsia="zh-CN"/>
              </w:rPr>
              <w:t>螯合剂原理：本项目利用螯合剂对锂渣进行改性，其原理与飞灰螯合原理类似，螯合剂与水溶性的铊盐、铍盐发生螯合反应，形成难溶解的铍络合物和铊络合物沉淀，该络合物性质稳定，不易被溶解。</w:t>
            </w:r>
          </w:p>
          <w:p w14:paraId="04DB85CE">
            <w:pPr>
              <w:keepNext w:val="0"/>
              <w:keepLines w:val="0"/>
              <w:pageBreakBefore/>
              <w:widowControl/>
              <w:suppressLineNumbers w:val="0"/>
              <w:spacing w:before="0" w:beforeLines="0" w:beforeAutospacing="0" w:after="0" w:afterLines="0" w:afterAutospacing="0"/>
              <w:ind w:left="0" w:right="0" w:firstLine="482"/>
              <w:rPr>
                <w:rFonts w:hint="eastAsia"/>
                <w:color w:val="auto"/>
                <w:sz w:val="24"/>
                <w:szCs w:val="24"/>
                <w:lang w:val="en-US" w:eastAsia="zh-CN"/>
              </w:rPr>
            </w:pPr>
            <w:r>
              <w:rPr>
                <w:rFonts w:hint="eastAsia"/>
                <w:color w:val="auto"/>
                <w:sz w:val="24"/>
                <w:szCs w:val="24"/>
                <w:lang w:val="en-US" w:eastAsia="zh-CN"/>
              </w:rPr>
              <w:t>Rx-+XTl</w:t>
            </w:r>
            <w:r>
              <w:rPr>
                <w:rFonts w:hint="eastAsia"/>
                <w:color w:val="auto"/>
                <w:sz w:val="24"/>
                <w:szCs w:val="24"/>
                <w:vertAlign w:val="superscript"/>
                <w:lang w:val="en-US" w:eastAsia="zh-CN"/>
              </w:rPr>
              <w:t>3</w:t>
            </w:r>
            <w:r>
              <w:rPr>
                <w:rFonts w:hint="eastAsia"/>
                <w:color w:val="auto"/>
                <w:sz w:val="24"/>
                <w:szCs w:val="24"/>
                <w:lang w:val="en-US" w:eastAsia="zh-CN"/>
              </w:rPr>
              <w:t>+→TlxR↓(R代表重金属捕捉剂的络合阴离子基团）</w:t>
            </w:r>
          </w:p>
          <w:p w14:paraId="2BF5FE4B">
            <w:pPr>
              <w:keepNext w:val="0"/>
              <w:keepLines w:val="0"/>
              <w:pageBreakBefore/>
              <w:widowControl/>
              <w:suppressLineNumbers w:val="0"/>
              <w:spacing w:before="0" w:beforeLines="0" w:beforeAutospacing="0" w:after="0" w:afterLines="0" w:afterAutospacing="0"/>
              <w:ind w:left="0" w:right="0" w:firstLine="482"/>
              <w:rPr>
                <w:rFonts w:hint="eastAsia"/>
                <w:color w:val="auto"/>
                <w:sz w:val="24"/>
                <w:szCs w:val="24"/>
                <w:lang w:val="en-US" w:eastAsia="zh-CN"/>
              </w:rPr>
            </w:pPr>
            <w:r>
              <w:rPr>
                <w:rFonts w:hint="eastAsia"/>
                <w:color w:val="auto"/>
                <w:sz w:val="24"/>
                <w:szCs w:val="24"/>
                <w:lang w:val="en-US" w:eastAsia="zh-CN"/>
              </w:rPr>
              <w:t>Rx-+XBe</w:t>
            </w:r>
            <w:r>
              <w:rPr>
                <w:rFonts w:hint="eastAsia"/>
                <w:color w:val="auto"/>
                <w:sz w:val="24"/>
                <w:szCs w:val="24"/>
                <w:vertAlign w:val="superscript"/>
                <w:lang w:val="en-US" w:eastAsia="zh-CN"/>
              </w:rPr>
              <w:t>2</w:t>
            </w:r>
            <w:r>
              <w:rPr>
                <w:rFonts w:hint="eastAsia"/>
                <w:color w:val="auto"/>
                <w:sz w:val="24"/>
                <w:szCs w:val="24"/>
                <w:lang w:val="en-US" w:eastAsia="zh-CN"/>
              </w:rPr>
              <w:t>+→TlxBe↓(R代表重金属捕捉剂的络合阴离子基团）</w:t>
            </w:r>
          </w:p>
          <w:p w14:paraId="34AABFA9">
            <w:pPr>
              <w:keepNext w:val="0"/>
              <w:keepLines w:val="0"/>
              <w:pageBreakBefore/>
              <w:widowControl/>
              <w:suppressLineNumbers w:val="0"/>
              <w:spacing w:before="0" w:beforeLines="0" w:beforeAutospacing="0" w:after="0" w:afterLines="0" w:afterAutospacing="0"/>
              <w:ind w:left="0" w:right="0" w:firstLine="482"/>
              <w:rPr>
                <w:rFonts w:hint="eastAsia"/>
                <w:color w:val="auto"/>
                <w:sz w:val="24"/>
                <w:szCs w:val="24"/>
                <w:lang w:val="en-US" w:eastAsia="zh-CN"/>
              </w:rPr>
            </w:pPr>
            <w:r>
              <w:rPr>
                <w:rFonts w:hint="eastAsia"/>
                <w:color w:val="auto"/>
                <w:sz w:val="24"/>
                <w:szCs w:val="24"/>
                <w:lang w:val="en-US" w:eastAsia="zh-CN"/>
              </w:rPr>
              <w:t>参照其他企业产生的浸出渣实验结果，具体如下表</w:t>
            </w:r>
          </w:p>
          <w:p w14:paraId="04713BC6">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 xml:space="preserve"> 浸出实验结果</w:t>
            </w:r>
          </w:p>
          <w:tbl>
            <w:tblPr>
              <w:tblStyle w:val="113"/>
              <w:tblW w:w="4999"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0" w:type="dxa"/>
                <w:bottom w:w="0" w:type="dxa"/>
                <w:right w:w="0" w:type="dxa"/>
              </w:tblCellMar>
            </w:tblPr>
            <w:tblGrid>
              <w:gridCol w:w="1765"/>
              <w:gridCol w:w="1390"/>
              <w:gridCol w:w="1529"/>
              <w:gridCol w:w="1529"/>
              <w:gridCol w:w="1634"/>
            </w:tblGrid>
            <w:tr w14:paraId="70E86D7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44" w:hRule="atLeast"/>
                <w:jc w:val="center"/>
              </w:trPr>
              <w:tc>
                <w:tcPr>
                  <w:tcW w:w="1817" w:type="dxa"/>
                  <w:vMerge w:val="restart"/>
                  <w:tcBorders>
                    <w:tl2br w:val="nil"/>
                    <w:tr2bl w:val="nil"/>
                  </w:tcBorders>
                  <w:vAlign w:val="center"/>
                </w:tcPr>
                <w:p w14:paraId="6B64D2F2">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样品名称</w:t>
                  </w:r>
                </w:p>
              </w:tc>
              <w:tc>
                <w:tcPr>
                  <w:tcW w:w="1430" w:type="dxa"/>
                  <w:tcBorders>
                    <w:tl2br w:val="nil"/>
                    <w:tr2bl w:val="nil"/>
                  </w:tcBorders>
                  <w:vAlign w:val="center"/>
                </w:tcPr>
                <w:p w14:paraId="13CC9EDC">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氟化物</w:t>
                  </w:r>
                </w:p>
              </w:tc>
              <w:tc>
                <w:tcPr>
                  <w:tcW w:w="1573" w:type="dxa"/>
                  <w:tcBorders>
                    <w:tl2br w:val="nil"/>
                    <w:tr2bl w:val="nil"/>
                  </w:tcBorders>
                  <w:vAlign w:val="center"/>
                </w:tcPr>
                <w:p w14:paraId="4944B63D">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铍</w:t>
                  </w:r>
                </w:p>
              </w:tc>
              <w:tc>
                <w:tcPr>
                  <w:tcW w:w="1573" w:type="dxa"/>
                  <w:tcBorders>
                    <w:tl2br w:val="nil"/>
                    <w:tr2bl w:val="nil"/>
                  </w:tcBorders>
                  <w:vAlign w:val="center"/>
                </w:tcPr>
                <w:p w14:paraId="26C45581">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铊</w:t>
                  </w:r>
                </w:p>
              </w:tc>
              <w:tc>
                <w:tcPr>
                  <w:tcW w:w="1682" w:type="dxa"/>
                  <w:tcBorders>
                    <w:tl2br w:val="nil"/>
                    <w:tr2bl w:val="nil"/>
                  </w:tcBorders>
                  <w:vAlign w:val="center"/>
                </w:tcPr>
                <w:p w14:paraId="1757B15A">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锰</w:t>
                  </w:r>
                </w:p>
              </w:tc>
            </w:tr>
            <w:tr w14:paraId="45893D3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1817" w:type="dxa"/>
                  <w:vMerge w:val="continue"/>
                  <w:tcBorders>
                    <w:tl2br w:val="nil"/>
                    <w:tr2bl w:val="nil"/>
                  </w:tcBorders>
                  <w:vAlign w:val="center"/>
                </w:tcPr>
                <w:p w14:paraId="6EBE6A1B">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p>
              </w:tc>
              <w:tc>
                <w:tcPr>
                  <w:tcW w:w="1430" w:type="dxa"/>
                  <w:tcBorders>
                    <w:tl2br w:val="nil"/>
                    <w:tr2bl w:val="nil"/>
                  </w:tcBorders>
                  <w:vAlign w:val="center"/>
                </w:tcPr>
                <w:p w14:paraId="63849481">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mg/L</w:t>
                  </w:r>
                </w:p>
              </w:tc>
              <w:tc>
                <w:tcPr>
                  <w:tcW w:w="1573" w:type="dxa"/>
                  <w:tcBorders>
                    <w:tl2br w:val="nil"/>
                    <w:tr2bl w:val="nil"/>
                  </w:tcBorders>
                  <w:vAlign w:val="center"/>
                </w:tcPr>
                <w:p w14:paraId="1D99539D">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μg/L</w:t>
                  </w:r>
                </w:p>
              </w:tc>
              <w:tc>
                <w:tcPr>
                  <w:tcW w:w="1573" w:type="dxa"/>
                  <w:tcBorders>
                    <w:tl2br w:val="nil"/>
                    <w:tr2bl w:val="nil"/>
                  </w:tcBorders>
                  <w:vAlign w:val="center"/>
                </w:tcPr>
                <w:p w14:paraId="3D6F5307">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μg/L</w:t>
                  </w:r>
                </w:p>
              </w:tc>
              <w:tc>
                <w:tcPr>
                  <w:tcW w:w="1682" w:type="dxa"/>
                  <w:tcBorders>
                    <w:tl2br w:val="nil"/>
                    <w:tr2bl w:val="nil"/>
                  </w:tcBorders>
                  <w:vAlign w:val="center"/>
                </w:tcPr>
                <w:p w14:paraId="66A3187B">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μg/L</w:t>
                  </w:r>
                </w:p>
              </w:tc>
            </w:tr>
            <w:tr w14:paraId="49BACA2E">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1817" w:type="dxa"/>
                  <w:tcBorders>
                    <w:tl2br w:val="nil"/>
                    <w:tr2bl w:val="nil"/>
                  </w:tcBorders>
                  <w:vAlign w:val="center"/>
                </w:tcPr>
                <w:p w14:paraId="646FE441">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锂渣（浸出渣）</w:t>
                  </w:r>
                </w:p>
              </w:tc>
              <w:tc>
                <w:tcPr>
                  <w:tcW w:w="1430" w:type="dxa"/>
                  <w:tcBorders>
                    <w:tl2br w:val="nil"/>
                    <w:tr2bl w:val="nil"/>
                  </w:tcBorders>
                  <w:vAlign w:val="center"/>
                </w:tcPr>
                <w:p w14:paraId="2B09DC9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36</w:t>
                  </w:r>
                </w:p>
              </w:tc>
              <w:tc>
                <w:tcPr>
                  <w:tcW w:w="1573" w:type="dxa"/>
                  <w:tcBorders>
                    <w:tl2br w:val="nil"/>
                    <w:tr2bl w:val="nil"/>
                  </w:tcBorders>
                  <w:vAlign w:val="center"/>
                </w:tcPr>
                <w:p w14:paraId="6597DFC0">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1110</w:t>
                  </w:r>
                </w:p>
              </w:tc>
              <w:tc>
                <w:tcPr>
                  <w:tcW w:w="1573" w:type="dxa"/>
                  <w:tcBorders>
                    <w:tl2br w:val="nil"/>
                    <w:tr2bl w:val="nil"/>
                  </w:tcBorders>
                  <w:vAlign w:val="center"/>
                </w:tcPr>
                <w:p w14:paraId="78D4E42B">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4.2</w:t>
                  </w:r>
                </w:p>
              </w:tc>
              <w:tc>
                <w:tcPr>
                  <w:tcW w:w="1682" w:type="dxa"/>
                  <w:tcBorders>
                    <w:tl2br w:val="nil"/>
                    <w:tr2bl w:val="nil"/>
                  </w:tcBorders>
                  <w:vAlign w:val="center"/>
                </w:tcPr>
                <w:p w14:paraId="77EE232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8550</w:t>
                  </w:r>
                </w:p>
              </w:tc>
            </w:tr>
            <w:tr w14:paraId="185F2C90">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1817" w:type="dxa"/>
                  <w:tcBorders>
                    <w:tl2br w:val="nil"/>
                    <w:tr2bl w:val="nil"/>
                  </w:tcBorders>
                  <w:vAlign w:val="center"/>
                </w:tcPr>
                <w:p w14:paraId="1B45DEB1">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免烧砖</w:t>
                  </w:r>
                </w:p>
              </w:tc>
              <w:tc>
                <w:tcPr>
                  <w:tcW w:w="1430" w:type="dxa"/>
                  <w:tcBorders>
                    <w:tl2br w:val="nil"/>
                    <w:tr2bl w:val="nil"/>
                  </w:tcBorders>
                  <w:vAlign w:val="center"/>
                </w:tcPr>
                <w:p w14:paraId="6F6C85BA">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8.7~ 19</w:t>
                  </w:r>
                </w:p>
              </w:tc>
              <w:tc>
                <w:tcPr>
                  <w:tcW w:w="1573" w:type="dxa"/>
                  <w:tcBorders>
                    <w:tl2br w:val="nil"/>
                    <w:tr2bl w:val="nil"/>
                  </w:tcBorders>
                  <w:vAlign w:val="center"/>
                </w:tcPr>
                <w:p w14:paraId="6704CCDD">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&lt;0.7</w:t>
                  </w:r>
                </w:p>
              </w:tc>
              <w:tc>
                <w:tcPr>
                  <w:tcW w:w="1573" w:type="dxa"/>
                  <w:tcBorders>
                    <w:tl2br w:val="nil"/>
                    <w:tr2bl w:val="nil"/>
                  </w:tcBorders>
                  <w:vAlign w:val="center"/>
                </w:tcPr>
                <w:p w14:paraId="44CC652B">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&lt;1.3</w:t>
                  </w:r>
                </w:p>
              </w:tc>
              <w:tc>
                <w:tcPr>
                  <w:tcW w:w="1682" w:type="dxa"/>
                  <w:tcBorders>
                    <w:tl2br w:val="nil"/>
                    <w:tr2bl w:val="nil"/>
                  </w:tcBorders>
                  <w:vAlign w:val="center"/>
                </w:tcPr>
                <w:p w14:paraId="2B091E4F">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&lt;3.6</w:t>
                  </w:r>
                </w:p>
              </w:tc>
            </w:tr>
          </w:tbl>
          <w:p w14:paraId="4E7C13B7">
            <w:pPr>
              <w:keepNext w:val="0"/>
              <w:keepLines w:val="0"/>
              <w:pageBreakBefore/>
              <w:widowControl/>
              <w:suppressLineNumbers w:val="0"/>
              <w:spacing w:before="0" w:beforeLines="0" w:beforeAutospacing="0" w:after="0" w:afterLines="0" w:afterAutospacing="0"/>
              <w:ind w:left="0" w:right="0" w:firstLine="482"/>
              <w:rPr>
                <w:rFonts w:hint="eastAsia"/>
                <w:color w:val="auto"/>
                <w:sz w:val="24"/>
                <w:szCs w:val="24"/>
                <w:lang w:val="en-US" w:eastAsia="zh-CN"/>
              </w:rPr>
            </w:pPr>
            <w:r>
              <w:rPr>
                <w:rFonts w:hint="eastAsia"/>
                <w:color w:val="auto"/>
                <w:sz w:val="24"/>
                <w:szCs w:val="24"/>
                <w:lang w:val="en-US" w:eastAsia="zh-CN"/>
              </w:rPr>
              <w:t>从上表可知，采用本项目螯合剂改性后生产的免烧砖铊、铍、锰浸出浓度均低于检出限，改性效果较佳。</w:t>
            </w:r>
          </w:p>
          <w:p w14:paraId="3A1C5487">
            <w:pPr>
              <w:keepNext w:val="0"/>
              <w:keepLines w:val="0"/>
              <w:pageBreakBefore/>
              <w:widowControl/>
              <w:suppressLineNumbers w:val="0"/>
              <w:spacing w:before="0" w:beforeLines="0" w:beforeAutospacing="0" w:after="0" w:afterLines="0" w:afterAutospacing="0"/>
              <w:ind w:left="0" w:right="0" w:firstLine="482"/>
              <w:rPr>
                <w:rFonts w:hint="eastAsia"/>
                <w:color w:val="auto"/>
                <w:sz w:val="24"/>
                <w:szCs w:val="24"/>
                <w:lang w:val="en-US" w:eastAsia="zh-CN"/>
              </w:rPr>
            </w:pPr>
            <w:r>
              <w:rPr>
                <w:rFonts w:hint="eastAsia"/>
                <w:color w:val="auto"/>
                <w:sz w:val="24"/>
                <w:szCs w:val="24"/>
                <w:lang w:val="en-US" w:eastAsia="zh-CN"/>
              </w:rPr>
              <w:t>对照《固体废物分类与代码目录》（生态环境部公告2024年第4号），本项目拟处置固废种类见下表。</w:t>
            </w:r>
          </w:p>
          <w:p w14:paraId="0B299D1F">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本项目拟处置固废种类一览表</w:t>
            </w:r>
          </w:p>
          <w:tbl>
            <w:tblPr>
              <w:tblStyle w:val="2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1830"/>
              <w:gridCol w:w="2027"/>
              <w:gridCol w:w="1571"/>
              <w:gridCol w:w="1630"/>
            </w:tblGrid>
            <w:tr w14:paraId="2DC4B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2" w:type="pct"/>
                  <w:tcBorders>
                    <w:tl2br w:val="nil"/>
                    <w:tr2bl w:val="nil"/>
                  </w:tcBorders>
                  <w:vAlign w:val="center"/>
                </w:tcPr>
                <w:p w14:paraId="057E1C9B">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序号</w:t>
                  </w:r>
                </w:p>
              </w:tc>
              <w:tc>
                <w:tcPr>
                  <w:tcW w:w="1166" w:type="pct"/>
                  <w:tcBorders>
                    <w:tl2br w:val="nil"/>
                    <w:tr2bl w:val="nil"/>
                  </w:tcBorders>
                  <w:shd w:val="clear" w:color="auto" w:fill="auto"/>
                  <w:vAlign w:val="center"/>
                </w:tcPr>
                <w:p w14:paraId="2D503DD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原辅料名称</w:t>
                  </w:r>
                </w:p>
              </w:tc>
              <w:tc>
                <w:tcPr>
                  <w:tcW w:w="1291" w:type="pct"/>
                  <w:tcBorders>
                    <w:tl2br w:val="nil"/>
                    <w:tr2bl w:val="nil"/>
                  </w:tcBorders>
                  <w:shd w:val="clear" w:color="auto" w:fill="auto"/>
                  <w:vAlign w:val="center"/>
                </w:tcPr>
                <w:p w14:paraId="32BC0B91">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废物种类</w:t>
                  </w:r>
                </w:p>
              </w:tc>
              <w:tc>
                <w:tcPr>
                  <w:tcW w:w="1001" w:type="pct"/>
                  <w:tcBorders>
                    <w:tl2br w:val="nil"/>
                    <w:tr2bl w:val="nil"/>
                  </w:tcBorders>
                  <w:shd w:val="clear" w:color="auto" w:fill="auto"/>
                  <w:vAlign w:val="center"/>
                </w:tcPr>
                <w:p w14:paraId="0B4498DB">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行业来源</w:t>
                  </w:r>
                </w:p>
              </w:tc>
              <w:tc>
                <w:tcPr>
                  <w:tcW w:w="1038" w:type="pct"/>
                  <w:tcBorders>
                    <w:tl2br w:val="nil"/>
                    <w:tr2bl w:val="nil"/>
                  </w:tcBorders>
                  <w:shd w:val="clear" w:color="auto" w:fill="auto"/>
                  <w:vAlign w:val="center"/>
                </w:tcPr>
                <w:p w14:paraId="18366D85">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废物代码</w:t>
                  </w:r>
                </w:p>
              </w:tc>
            </w:tr>
            <w:tr w14:paraId="63FD2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2" w:type="pct"/>
                  <w:tcBorders>
                    <w:tl2br w:val="nil"/>
                    <w:tr2bl w:val="nil"/>
                  </w:tcBorders>
                  <w:vAlign w:val="center"/>
                </w:tcPr>
                <w:p w14:paraId="1F47052C">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1</w:t>
                  </w:r>
                </w:p>
              </w:tc>
              <w:tc>
                <w:tcPr>
                  <w:tcW w:w="1166" w:type="pct"/>
                  <w:tcBorders>
                    <w:tl2br w:val="nil"/>
                    <w:tr2bl w:val="nil"/>
                  </w:tcBorders>
                  <w:vAlign w:val="center"/>
                </w:tcPr>
                <w:p w14:paraId="10FC1455">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工业固体废物</w:t>
                  </w:r>
                </w:p>
              </w:tc>
              <w:tc>
                <w:tcPr>
                  <w:tcW w:w="1291" w:type="pct"/>
                  <w:tcBorders>
                    <w:tl2br w:val="nil"/>
                    <w:tr2bl w:val="nil"/>
                  </w:tcBorders>
                  <w:shd w:val="clear" w:color="auto" w:fill="auto"/>
                  <w:vAlign w:val="center"/>
                </w:tcPr>
                <w:p w14:paraId="172F981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SW01冶炼废渣</w:t>
                  </w:r>
                </w:p>
              </w:tc>
              <w:tc>
                <w:tcPr>
                  <w:tcW w:w="1001" w:type="pct"/>
                  <w:tcBorders>
                    <w:tl2br w:val="nil"/>
                    <w:tr2bl w:val="nil"/>
                  </w:tcBorders>
                  <w:vAlign w:val="center"/>
                </w:tcPr>
                <w:p w14:paraId="275CE82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锂冶炼</w:t>
                  </w:r>
                </w:p>
              </w:tc>
              <w:tc>
                <w:tcPr>
                  <w:tcW w:w="1038" w:type="pct"/>
                  <w:tcBorders>
                    <w:tl2br w:val="nil"/>
                    <w:tr2bl w:val="nil"/>
                  </w:tcBorders>
                  <w:vAlign w:val="center"/>
                </w:tcPr>
                <w:p w14:paraId="23CA6117">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900-099-S01</w:t>
                  </w:r>
                </w:p>
              </w:tc>
            </w:tr>
          </w:tbl>
          <w:p w14:paraId="7BCE2C14">
            <w:pPr>
              <w:keepNext w:val="0"/>
              <w:keepLines w:val="0"/>
              <w:pageBreakBefore/>
              <w:widowControl/>
              <w:suppressLineNumbers w:val="0"/>
              <w:spacing w:before="0" w:beforeLines="0" w:beforeAutospacing="0" w:after="0" w:afterLines="0" w:afterAutospacing="0"/>
              <w:ind w:left="0" w:right="0" w:firstLine="482"/>
              <w:rPr>
                <w:rFonts w:hint="eastAsia"/>
                <w:b/>
                <w:color w:val="auto"/>
                <w:sz w:val="24"/>
                <w:szCs w:val="24"/>
              </w:rPr>
            </w:pPr>
            <w:r>
              <w:rPr>
                <w:rFonts w:hint="eastAsia"/>
                <w:b/>
                <w:color w:val="auto"/>
                <w:sz w:val="24"/>
                <w:szCs w:val="24"/>
                <w:lang w:val="en-US" w:eastAsia="zh-CN"/>
              </w:rPr>
              <w:t>6</w:t>
            </w:r>
            <w:r>
              <w:rPr>
                <w:rFonts w:hint="eastAsia"/>
                <w:b/>
                <w:color w:val="auto"/>
                <w:sz w:val="24"/>
                <w:szCs w:val="24"/>
              </w:rPr>
              <w:t>、原料来源及入场原料要求</w:t>
            </w:r>
          </w:p>
          <w:p w14:paraId="52A1A6A8">
            <w:pPr>
              <w:keepNext w:val="0"/>
              <w:keepLines w:val="0"/>
              <w:pageBreakBefore/>
              <w:widowControl/>
              <w:suppressLineNumbers w:val="0"/>
              <w:spacing w:before="0" w:beforeAutospacing="0" w:after="0" w:afterAutospacing="0" w:line="360" w:lineRule="auto"/>
              <w:ind w:left="0" w:right="0"/>
              <w:jc w:val="left"/>
              <w:rPr>
                <w:rFonts w:hint="eastAsia"/>
                <w:color w:val="auto"/>
                <w:sz w:val="24"/>
                <w:szCs w:val="24"/>
              </w:rPr>
            </w:pPr>
            <w:r>
              <w:rPr>
                <w:rFonts w:hint="eastAsia"/>
                <w:color w:val="auto"/>
                <w:sz w:val="24"/>
                <w:szCs w:val="24"/>
              </w:rPr>
              <w:t>1）</w:t>
            </w:r>
            <w:r>
              <w:rPr>
                <w:rFonts w:hint="eastAsia"/>
                <w:color w:val="auto"/>
                <w:sz w:val="24"/>
                <w:szCs w:val="24"/>
                <w:lang w:val="en-US" w:eastAsia="zh-CN"/>
              </w:rPr>
              <w:t>原料来源保障性分析</w:t>
            </w:r>
          </w:p>
          <w:p w14:paraId="18236AA0">
            <w:pPr>
              <w:keepNext w:val="0"/>
              <w:keepLines w:val="0"/>
              <w:pageBreakBefore/>
              <w:widowControl/>
              <w:suppressLineNumbers w:val="0"/>
              <w:spacing w:before="0" w:beforeAutospacing="0" w:after="0" w:afterAutospacing="0" w:line="360" w:lineRule="auto"/>
              <w:ind w:left="0" w:right="0"/>
              <w:jc w:val="left"/>
              <w:rPr>
                <w:rFonts w:hint="default" w:eastAsia="宋体" w:cs="Times New Roman"/>
                <w:color w:val="auto"/>
                <w:sz w:val="24"/>
                <w:szCs w:val="24"/>
                <w:lang w:val="en-US" w:eastAsia="zh-CN"/>
              </w:rPr>
            </w:pPr>
            <w:r>
              <w:rPr>
                <w:rFonts w:hint="eastAsia"/>
                <w:color w:val="auto"/>
                <w:sz w:val="24"/>
                <w:szCs w:val="24"/>
              </w:rPr>
              <w:t>项目建设完成后收纳脱硫石膏，脱硫石膏主要来源于</w:t>
            </w:r>
            <w:r>
              <w:rPr>
                <w:rFonts w:hint="eastAsia"/>
                <w:color w:val="auto"/>
                <w:sz w:val="24"/>
                <w:szCs w:val="24"/>
                <w:lang w:val="en-US" w:eastAsia="zh-CN"/>
              </w:rPr>
              <w:t>外购粒径范围主要在30~10μm之间‌，平均粒径约为40μm‌</w:t>
            </w:r>
            <w:r>
              <w:rPr>
                <w:rFonts w:hint="eastAsia"/>
                <w:color w:val="auto"/>
                <w:sz w:val="24"/>
                <w:szCs w:val="24"/>
              </w:rPr>
              <w:t>；建筑废料主要来源于工地，拆迁后的废料；破陶瓷砖拋光泥主要来源于园区的陶瓷抛光粉末</w:t>
            </w:r>
            <w:r>
              <w:rPr>
                <w:rFonts w:hint="eastAsia"/>
                <w:color w:val="auto"/>
                <w:sz w:val="24"/>
                <w:szCs w:val="24"/>
                <w:lang w:eastAsia="zh-CN"/>
              </w:rPr>
              <w:t>。</w:t>
            </w:r>
            <w:r>
              <w:rPr>
                <w:rFonts w:hint="eastAsia"/>
                <w:color w:val="auto"/>
                <w:sz w:val="24"/>
                <w:szCs w:val="24"/>
              </w:rPr>
              <w:t>项目脱硫石膏、建筑废料、破陶瓷砖拋光泥为一般工业固体废物</w:t>
            </w:r>
            <w:r>
              <w:rPr>
                <w:rFonts w:hint="eastAsia"/>
                <w:color w:val="auto"/>
                <w:sz w:val="24"/>
                <w:szCs w:val="24"/>
                <w:lang w:eastAsia="zh-CN"/>
              </w:rPr>
              <w:t>；</w:t>
            </w:r>
            <w:r>
              <w:rPr>
                <w:rFonts w:hint="eastAsia"/>
                <w:color w:val="auto"/>
                <w:sz w:val="24"/>
                <w:szCs w:val="24"/>
                <w:lang w:val="en-US" w:eastAsia="zh-CN"/>
              </w:rPr>
              <w:t>锂渣主要来源于周边水洗锂渣企业，如江西研硕科技研发有限公司，粒径在10~30mm。江西研硕科技研发有限公司年处理50万t/a（本项目从其中外购二次提锂后的水洗渣28万t/a，具体见购销合同附件13，后续供应不足时按同样要求采购其他单位的锂渣），产生量大于本项目处理量，该公司年处理50万吨锂渣满足本项目的锂渣供应。供货方需提供危废鉴定报告及结论，不具有危险特性，不属于危险废物，属于一般工业固体废物，还需明确一般工业固体废物类型（第I类或第Ⅱ类一般工业固体废物）后方可进场使用。</w:t>
            </w:r>
          </w:p>
          <w:p w14:paraId="60B4F1CD">
            <w:pPr>
              <w:keepNext w:val="0"/>
              <w:keepLines w:val="0"/>
              <w:pageBreakBefore/>
              <w:widowControl/>
              <w:suppressLineNumbers w:val="0"/>
              <w:spacing w:before="0" w:beforeAutospacing="0" w:after="0" w:afterAutospacing="0" w:line="360" w:lineRule="auto"/>
              <w:ind w:left="0" w:right="0"/>
              <w:jc w:val="left"/>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2</w:t>
            </w:r>
            <w:r>
              <w:rPr>
                <w:rFonts w:hint="eastAsia" w:ascii="Times New Roman" w:hAnsi="Times New Roman" w:eastAsia="宋体" w:cs="Times New Roman"/>
                <w:color w:val="auto"/>
                <w:sz w:val="24"/>
                <w:szCs w:val="24"/>
                <w:lang w:val="en-US" w:eastAsia="zh-CN"/>
              </w:rPr>
              <w:t>）入场</w:t>
            </w:r>
          </w:p>
          <w:p w14:paraId="6E63CF57">
            <w:pPr>
              <w:keepNext w:val="0"/>
              <w:keepLines w:val="0"/>
              <w:pageBreakBefore/>
              <w:widowControl/>
              <w:suppressLineNumbers w:val="0"/>
              <w:spacing w:before="0" w:beforeAutospacing="0" w:after="0" w:afterAutospacing="0" w:line="360" w:lineRule="auto"/>
              <w:ind w:left="0" w:right="0"/>
              <w:jc w:val="left"/>
              <w:rPr>
                <w:rFonts w:hint="default"/>
                <w:color w:val="auto"/>
                <w:lang w:val="en-US" w:eastAsia="zh-CN"/>
              </w:rPr>
            </w:pPr>
            <w:r>
              <w:rPr>
                <w:rFonts w:hint="default" w:ascii="Times New Roman" w:hAnsi="Times New Roman" w:eastAsia="宋体" w:cs="Times New Roman"/>
                <w:color w:val="auto"/>
                <w:sz w:val="24"/>
                <w:szCs w:val="24"/>
                <w:lang w:val="en-US" w:eastAsia="zh-CN"/>
              </w:rPr>
              <w:t>严把原料质量关，每批次原料需经查验，不可随意更换原料，严格按照项目备案文件所限定原料用量进行生产加工，不可增加原料使用量；严格把控原料来源渠道，确保原料用料安全可靠，所用原料应为一般固体废物。环评要求企业在收购原料前，要求原料方出具有效的一般工业固废鉴定报告或证明文件，在必要时委托资质单位对所收购一般工业固废进行检验，确定本项目所用原料必须为未列入国家危险废物名录（202</w:t>
            </w:r>
            <w:r>
              <w:rPr>
                <w:rFonts w:hint="eastAsia" w:cs="Times New Roman"/>
                <w:color w:val="auto"/>
                <w:sz w:val="24"/>
                <w:szCs w:val="24"/>
                <w:lang w:val="en-US" w:eastAsia="zh-CN"/>
              </w:rPr>
              <w:t>5</w:t>
            </w:r>
            <w:r>
              <w:rPr>
                <w:rFonts w:hint="default" w:ascii="Times New Roman" w:hAnsi="Times New Roman" w:eastAsia="宋体" w:cs="Times New Roman"/>
                <w:color w:val="auto"/>
                <w:sz w:val="24"/>
                <w:szCs w:val="24"/>
                <w:lang w:val="en-US" w:eastAsia="zh-CN"/>
              </w:rPr>
              <w:t>年版）或根据《危险废物鉴别标准通则》（GB5085.7-2019）鉴别方法判定不具有危险特性的一般工业固体废物。不得使用属性为危险废物的脱硫石膏</w:t>
            </w:r>
            <w:r>
              <w:rPr>
                <w:rFonts w:hint="eastAsia" w:cs="Times New Roman"/>
                <w:color w:val="auto"/>
                <w:sz w:val="24"/>
                <w:szCs w:val="24"/>
                <w:lang w:val="en-US" w:eastAsia="zh-CN"/>
              </w:rPr>
              <w:t>、锂渣</w:t>
            </w:r>
            <w:r>
              <w:rPr>
                <w:rFonts w:hint="default" w:ascii="Times New Roman" w:hAnsi="Times New Roman" w:eastAsia="宋体" w:cs="Times New Roman"/>
                <w:color w:val="auto"/>
                <w:sz w:val="24"/>
                <w:szCs w:val="24"/>
                <w:lang w:val="en-US" w:eastAsia="zh-CN"/>
              </w:rPr>
              <w:t>。</w:t>
            </w:r>
          </w:p>
          <w:p w14:paraId="68A4CDA8">
            <w:pPr>
              <w:keepNext w:val="0"/>
              <w:keepLines w:val="0"/>
              <w:pageBreakBefore/>
              <w:widowControl/>
              <w:suppressLineNumbers w:val="0"/>
              <w:spacing w:before="0" w:beforeAutospacing="0" w:after="0" w:afterAutospacing="0" w:line="360" w:lineRule="auto"/>
              <w:ind w:left="0" w:right="0"/>
              <w:jc w:val="left"/>
              <w:rPr>
                <w:rFonts w:hint="default" w:ascii="Times New Roman" w:hAnsi="Times New Roman" w:eastAsia="宋体" w:cs="Times New Roman"/>
                <w:b w:val="0"/>
                <w:bCs/>
                <w:color w:val="auto"/>
                <w:sz w:val="24"/>
                <w:szCs w:val="24"/>
                <w:lang w:val="en-US" w:eastAsia="zh-CN"/>
              </w:rPr>
            </w:pPr>
            <w:r>
              <w:rPr>
                <w:rFonts w:hint="default" w:ascii="Times New Roman" w:hAnsi="Times New Roman" w:eastAsia="宋体" w:cs="Times New Roman"/>
                <w:color w:val="auto"/>
                <w:sz w:val="24"/>
                <w:szCs w:val="24"/>
                <w:lang w:val="en-US" w:eastAsia="zh-CN"/>
              </w:rPr>
              <w:t>企业应建立经营记录台账，如实记录所接受废物的种类、数量、流向、贮存、利用、处置等信息。</w:t>
            </w:r>
          </w:p>
          <w:p w14:paraId="4F36D9F8">
            <w:pPr>
              <w:keepNext w:val="0"/>
              <w:keepLines w:val="0"/>
              <w:pageBreakBefore/>
              <w:widowControl/>
              <w:suppressLineNumbers w:val="0"/>
              <w:spacing w:before="0" w:beforeAutospacing="0" w:after="0" w:afterAutospacing="0" w:line="360" w:lineRule="auto"/>
              <w:ind w:left="0" w:right="0"/>
              <w:jc w:val="left"/>
              <w:rPr>
                <w:rFonts w:hint="eastAsia"/>
                <w:color w:val="auto"/>
                <w:sz w:val="24"/>
                <w:szCs w:val="24"/>
              </w:rPr>
            </w:pPr>
            <w:r>
              <w:rPr>
                <w:rFonts w:hint="eastAsia"/>
                <w:color w:val="auto"/>
                <w:sz w:val="24"/>
                <w:szCs w:val="24"/>
              </w:rPr>
              <w:t>项目原料主要为一般固废，根据《一般工业固体废物管理台账制定指南（试行）》（生态环境部办公厅2021年12月31日印发），要求如下：</w:t>
            </w:r>
          </w:p>
          <w:p w14:paraId="2B7784B3">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 xml:space="preserve"> 一般固废台账管理要求</w:t>
            </w:r>
          </w:p>
          <w:tbl>
            <w:tblPr>
              <w:tblStyle w:val="28"/>
              <w:tblW w:w="775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84"/>
              <w:gridCol w:w="2430"/>
              <w:gridCol w:w="3730"/>
              <w:gridCol w:w="909"/>
            </w:tblGrid>
            <w:tr w14:paraId="2CAF3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jc w:val="center"/>
              </w:trPr>
              <w:tc>
                <w:tcPr>
                  <w:tcW w:w="2008" w:type="pct"/>
                  <w:gridSpan w:val="2"/>
                  <w:tcBorders>
                    <w:top w:val="single" w:color="000000" w:sz="8" w:space="0"/>
                    <w:left w:val="single" w:color="000000" w:sz="8" w:space="0"/>
                    <w:bottom w:val="single" w:color="000000" w:sz="8" w:space="0"/>
                    <w:right w:val="single" w:color="000000" w:sz="8" w:space="0"/>
                    <w:tl2br w:val="nil"/>
                    <w:tr2bl w:val="nil"/>
                  </w:tcBorders>
                  <w:noWrap w:val="0"/>
                  <w:tcMar>
                    <w:top w:w="15" w:type="dxa"/>
                    <w:left w:w="15" w:type="dxa"/>
                    <w:bottom w:w="0" w:type="dxa"/>
                    <w:right w:w="15" w:type="dxa"/>
                  </w:tcMar>
                  <w:vAlign w:val="center"/>
                </w:tcPr>
                <w:p w14:paraId="13434665">
                  <w:pPr>
                    <w:keepNext w:val="0"/>
                    <w:keepLines w:val="0"/>
                    <w:pageBreakBefore/>
                    <w:widowControl/>
                    <w:suppressLineNumbers w:val="0"/>
                    <w:spacing w:before="0" w:beforeAutospacing="0" w:after="0" w:afterAutospacing="0" w:line="240" w:lineRule="auto"/>
                    <w:ind w:left="0" w:leftChars="0" w:right="0" w:firstLine="0" w:firstLineChars="0"/>
                    <w:jc w:val="center"/>
                    <w:rPr>
                      <w:rFonts w:hint="default"/>
                      <w:color w:val="auto"/>
                      <w:sz w:val="21"/>
                      <w:szCs w:val="24"/>
                    </w:rPr>
                  </w:pPr>
                  <w:r>
                    <w:rPr>
                      <w:rFonts w:hint="eastAsia"/>
                      <w:color w:val="auto"/>
                      <w:sz w:val="21"/>
                      <w:szCs w:val="24"/>
                    </w:rPr>
                    <w:t>相关文件</w:t>
                  </w:r>
                </w:p>
              </w:tc>
              <w:tc>
                <w:tcPr>
                  <w:tcW w:w="2405" w:type="pct"/>
                  <w:tcBorders>
                    <w:top w:val="single" w:color="000000" w:sz="8" w:space="0"/>
                    <w:left w:val="single" w:color="000000" w:sz="8" w:space="0"/>
                    <w:bottom w:val="single" w:color="000000" w:sz="8" w:space="0"/>
                    <w:right w:val="single" w:color="000000" w:sz="8" w:space="0"/>
                    <w:tl2br w:val="nil"/>
                    <w:tr2bl w:val="nil"/>
                  </w:tcBorders>
                  <w:noWrap w:val="0"/>
                  <w:tcMar>
                    <w:top w:w="15" w:type="dxa"/>
                    <w:left w:w="15" w:type="dxa"/>
                    <w:bottom w:w="0" w:type="dxa"/>
                    <w:right w:w="15" w:type="dxa"/>
                  </w:tcMar>
                  <w:vAlign w:val="center"/>
                </w:tcPr>
                <w:p w14:paraId="7EC16A69">
                  <w:pPr>
                    <w:keepNext w:val="0"/>
                    <w:keepLines w:val="0"/>
                    <w:pageBreakBefore/>
                    <w:widowControl/>
                    <w:suppressLineNumbers w:val="0"/>
                    <w:spacing w:before="0" w:beforeAutospacing="0" w:after="0" w:afterAutospacing="0" w:line="240" w:lineRule="auto"/>
                    <w:ind w:left="0" w:leftChars="0" w:right="0" w:firstLine="0" w:firstLineChars="0"/>
                    <w:jc w:val="center"/>
                    <w:rPr>
                      <w:rFonts w:hint="default"/>
                      <w:color w:val="auto"/>
                      <w:sz w:val="21"/>
                      <w:szCs w:val="24"/>
                    </w:rPr>
                  </w:pPr>
                  <w:r>
                    <w:rPr>
                      <w:rFonts w:hint="eastAsia"/>
                      <w:color w:val="auto"/>
                      <w:sz w:val="21"/>
                      <w:szCs w:val="24"/>
                    </w:rPr>
                    <w:t>项目情况</w:t>
                  </w:r>
                </w:p>
              </w:tc>
              <w:tc>
                <w:tcPr>
                  <w:tcW w:w="586" w:type="pct"/>
                  <w:tcBorders>
                    <w:top w:val="single" w:color="000000" w:sz="8" w:space="0"/>
                    <w:left w:val="single" w:color="000000" w:sz="8" w:space="0"/>
                    <w:bottom w:val="single" w:color="000000" w:sz="8" w:space="0"/>
                    <w:right w:val="single" w:color="000000" w:sz="8" w:space="0"/>
                    <w:tl2br w:val="nil"/>
                    <w:tr2bl w:val="nil"/>
                  </w:tcBorders>
                  <w:noWrap w:val="0"/>
                  <w:tcMar>
                    <w:top w:w="15" w:type="dxa"/>
                    <w:left w:w="15" w:type="dxa"/>
                    <w:bottom w:w="0" w:type="dxa"/>
                    <w:right w:w="15" w:type="dxa"/>
                  </w:tcMar>
                  <w:vAlign w:val="center"/>
                </w:tcPr>
                <w:p w14:paraId="2F58E85E">
                  <w:pPr>
                    <w:keepNext w:val="0"/>
                    <w:keepLines w:val="0"/>
                    <w:pageBreakBefore/>
                    <w:widowControl/>
                    <w:suppressLineNumbers w:val="0"/>
                    <w:spacing w:before="0" w:beforeAutospacing="0" w:after="0" w:afterAutospacing="0" w:line="240" w:lineRule="auto"/>
                    <w:ind w:left="0" w:leftChars="0" w:right="0" w:firstLine="0" w:firstLineChars="0"/>
                    <w:jc w:val="center"/>
                    <w:rPr>
                      <w:rFonts w:hint="eastAsia"/>
                      <w:color w:val="auto"/>
                      <w:sz w:val="21"/>
                      <w:szCs w:val="24"/>
                    </w:rPr>
                  </w:pPr>
                  <w:r>
                    <w:rPr>
                      <w:rFonts w:hint="eastAsia"/>
                      <w:color w:val="auto"/>
                      <w:sz w:val="21"/>
                      <w:szCs w:val="24"/>
                    </w:rPr>
                    <w:t>符合性</w:t>
                  </w:r>
                </w:p>
              </w:tc>
            </w:tr>
            <w:tr w14:paraId="01281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jc w:val="center"/>
              </w:trPr>
              <w:tc>
                <w:tcPr>
                  <w:tcW w:w="441" w:type="pct"/>
                  <w:vMerge w:val="restart"/>
                  <w:tcBorders>
                    <w:top w:val="single" w:color="000000" w:sz="8" w:space="0"/>
                    <w:left w:val="single" w:color="000000" w:sz="8" w:space="0"/>
                    <w:bottom w:val="nil"/>
                    <w:right w:val="single" w:color="000000" w:sz="8" w:space="0"/>
                    <w:tl2br w:val="nil"/>
                    <w:tr2bl w:val="nil"/>
                  </w:tcBorders>
                  <w:noWrap w:val="0"/>
                  <w:tcMar>
                    <w:top w:w="15" w:type="dxa"/>
                    <w:left w:w="15" w:type="dxa"/>
                    <w:bottom w:w="0" w:type="dxa"/>
                    <w:right w:w="15" w:type="dxa"/>
                  </w:tcMar>
                  <w:vAlign w:val="center"/>
                </w:tcPr>
                <w:p w14:paraId="63BB82EE">
                  <w:pPr>
                    <w:keepNext w:val="0"/>
                    <w:keepLines w:val="0"/>
                    <w:pageBreakBefore/>
                    <w:widowControl/>
                    <w:suppressLineNumbers w:val="0"/>
                    <w:spacing w:before="0" w:beforeAutospacing="0" w:after="0" w:afterAutospacing="0" w:line="240" w:lineRule="auto"/>
                    <w:ind w:left="0" w:leftChars="0" w:right="0" w:firstLine="0" w:firstLineChars="0"/>
                    <w:jc w:val="center"/>
                    <w:rPr>
                      <w:rFonts w:hint="default"/>
                      <w:color w:val="auto"/>
                      <w:sz w:val="21"/>
                      <w:szCs w:val="24"/>
                    </w:rPr>
                  </w:pPr>
                  <w:r>
                    <w:rPr>
                      <w:rFonts w:hint="eastAsia"/>
                      <w:color w:val="auto"/>
                      <w:sz w:val="21"/>
                      <w:szCs w:val="24"/>
                    </w:rPr>
                    <w:t>《一般工业固体废物管理台账制定指南（试行）》</w:t>
                  </w:r>
                </w:p>
              </w:tc>
              <w:tc>
                <w:tcPr>
                  <w:tcW w:w="1567" w:type="pct"/>
                  <w:tcBorders>
                    <w:top w:val="single" w:color="000000" w:sz="8" w:space="0"/>
                    <w:left w:val="single" w:color="000000" w:sz="8" w:space="0"/>
                    <w:bottom w:val="single" w:color="000000" w:sz="8" w:space="0"/>
                    <w:right w:val="single" w:color="000000" w:sz="8" w:space="0"/>
                    <w:tl2br w:val="nil"/>
                    <w:tr2bl w:val="nil"/>
                  </w:tcBorders>
                  <w:noWrap w:val="0"/>
                  <w:tcMar>
                    <w:top w:w="15" w:type="dxa"/>
                    <w:left w:w="15" w:type="dxa"/>
                    <w:bottom w:w="0" w:type="dxa"/>
                    <w:right w:w="15" w:type="dxa"/>
                  </w:tcMar>
                  <w:vAlign w:val="center"/>
                </w:tcPr>
                <w:p w14:paraId="7E92E839">
                  <w:pPr>
                    <w:keepNext w:val="0"/>
                    <w:keepLines w:val="0"/>
                    <w:pageBreakBefore/>
                    <w:widowControl/>
                    <w:suppressLineNumbers w:val="0"/>
                    <w:spacing w:before="0" w:beforeAutospacing="0" w:after="0" w:afterAutospacing="0" w:line="240" w:lineRule="auto"/>
                    <w:ind w:left="0" w:leftChars="0" w:right="0" w:firstLine="0" w:firstLineChars="0"/>
                    <w:jc w:val="center"/>
                    <w:rPr>
                      <w:rFonts w:hint="default"/>
                      <w:color w:val="auto"/>
                      <w:sz w:val="21"/>
                      <w:szCs w:val="24"/>
                    </w:rPr>
                  </w:pPr>
                  <w:r>
                    <w:rPr>
                      <w:rFonts w:hint="eastAsia"/>
                      <w:color w:val="auto"/>
                      <w:sz w:val="21"/>
                      <w:szCs w:val="24"/>
                    </w:rPr>
                    <w:t>建立工业固体废物管理台账，如实记录工业固体废物的种类、数量、流向、贮存、利用、处置等信息，可以实现工业固体废物可追溯、可查询的目的，推动企业提升固体废物管理水平</w:t>
                  </w:r>
                </w:p>
              </w:tc>
              <w:tc>
                <w:tcPr>
                  <w:tcW w:w="2405" w:type="pct"/>
                  <w:tcBorders>
                    <w:top w:val="single" w:color="000000" w:sz="8" w:space="0"/>
                    <w:left w:val="single" w:color="000000" w:sz="8" w:space="0"/>
                    <w:bottom w:val="single" w:color="000000" w:sz="8" w:space="0"/>
                    <w:right w:val="single" w:color="000000" w:sz="8" w:space="0"/>
                    <w:tl2br w:val="nil"/>
                    <w:tr2bl w:val="nil"/>
                  </w:tcBorders>
                  <w:noWrap w:val="0"/>
                  <w:tcMar>
                    <w:top w:w="15" w:type="dxa"/>
                    <w:left w:w="15" w:type="dxa"/>
                    <w:bottom w:w="0" w:type="dxa"/>
                    <w:right w:w="15" w:type="dxa"/>
                  </w:tcMar>
                  <w:vAlign w:val="center"/>
                </w:tcPr>
                <w:p w14:paraId="428E971B">
                  <w:pPr>
                    <w:keepNext w:val="0"/>
                    <w:keepLines w:val="0"/>
                    <w:pageBreakBefore/>
                    <w:widowControl/>
                    <w:suppressLineNumbers w:val="0"/>
                    <w:spacing w:before="0" w:beforeAutospacing="0" w:after="0" w:afterAutospacing="0" w:line="240" w:lineRule="auto"/>
                    <w:ind w:left="0" w:leftChars="0" w:right="0" w:firstLine="0" w:firstLineChars="0"/>
                    <w:jc w:val="center"/>
                    <w:rPr>
                      <w:rFonts w:hint="default"/>
                      <w:color w:val="auto"/>
                      <w:sz w:val="21"/>
                      <w:szCs w:val="24"/>
                    </w:rPr>
                  </w:pPr>
                  <w:r>
                    <w:rPr>
                      <w:rFonts w:hint="eastAsia"/>
                      <w:color w:val="auto"/>
                      <w:sz w:val="21"/>
                      <w:szCs w:val="24"/>
                    </w:rPr>
                    <w:t>项目不属于产废单位，项目为一般固废能源化加工单位，项目建立收运、加工、外运、能源化利用一般固废的管理台账，记录收集单位名称、产生点、固废名称、收集量、负责人等信息；进厂入库记录进厂量、固废名称、加工数量、来源单位等信息；出厂记录出厂数量，能源化利用单位名称、能源化利用方式、负责人等信息。项目生产产生的一般固废，同样单独记录</w:t>
                  </w:r>
                </w:p>
              </w:tc>
              <w:tc>
                <w:tcPr>
                  <w:tcW w:w="586" w:type="pct"/>
                  <w:tcBorders>
                    <w:top w:val="single" w:color="000000" w:sz="8" w:space="0"/>
                    <w:left w:val="single" w:color="000000" w:sz="8" w:space="0"/>
                    <w:bottom w:val="single" w:color="000000" w:sz="8" w:space="0"/>
                    <w:right w:val="single" w:color="000000" w:sz="8" w:space="0"/>
                    <w:tl2br w:val="nil"/>
                    <w:tr2bl w:val="nil"/>
                  </w:tcBorders>
                  <w:noWrap w:val="0"/>
                  <w:tcMar>
                    <w:top w:w="15" w:type="dxa"/>
                    <w:left w:w="15" w:type="dxa"/>
                    <w:bottom w:w="0" w:type="dxa"/>
                    <w:right w:w="15" w:type="dxa"/>
                  </w:tcMar>
                  <w:vAlign w:val="center"/>
                </w:tcPr>
                <w:p w14:paraId="35590CC0">
                  <w:pPr>
                    <w:keepNext w:val="0"/>
                    <w:keepLines w:val="0"/>
                    <w:pageBreakBefore/>
                    <w:widowControl/>
                    <w:suppressLineNumbers w:val="0"/>
                    <w:spacing w:before="0" w:beforeAutospacing="0" w:after="0" w:afterAutospacing="0" w:line="240" w:lineRule="auto"/>
                    <w:ind w:left="0" w:leftChars="0" w:right="0" w:firstLine="0" w:firstLineChars="0"/>
                    <w:jc w:val="center"/>
                    <w:rPr>
                      <w:rFonts w:hint="default"/>
                      <w:color w:val="auto"/>
                      <w:sz w:val="21"/>
                      <w:szCs w:val="24"/>
                    </w:rPr>
                  </w:pPr>
                  <w:r>
                    <w:rPr>
                      <w:rFonts w:hint="eastAsia"/>
                      <w:color w:val="auto"/>
                      <w:sz w:val="21"/>
                      <w:szCs w:val="24"/>
                    </w:rPr>
                    <w:t>符合</w:t>
                  </w:r>
                </w:p>
              </w:tc>
            </w:tr>
            <w:tr w14:paraId="25E7B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jc w:val="center"/>
              </w:trPr>
              <w:tc>
                <w:tcPr>
                  <w:tcW w:w="441" w:type="pct"/>
                  <w:vMerge w:val="continue"/>
                  <w:tcBorders>
                    <w:top w:val="nil"/>
                    <w:left w:val="single" w:color="000000" w:sz="8" w:space="0"/>
                    <w:bottom w:val="single" w:color="000000" w:sz="8" w:space="0"/>
                    <w:right w:val="single" w:color="000000" w:sz="8" w:space="0"/>
                    <w:tl2br w:val="nil"/>
                    <w:tr2bl w:val="nil"/>
                  </w:tcBorders>
                  <w:noWrap w:val="0"/>
                  <w:tcMar>
                    <w:top w:w="15" w:type="dxa"/>
                    <w:left w:w="15" w:type="dxa"/>
                    <w:bottom w:w="0" w:type="dxa"/>
                    <w:right w:w="15" w:type="dxa"/>
                  </w:tcMar>
                  <w:vAlign w:val="center"/>
                </w:tcPr>
                <w:p w14:paraId="666DE087">
                  <w:pPr>
                    <w:keepNext w:val="0"/>
                    <w:keepLines w:val="0"/>
                    <w:pageBreakBefore/>
                    <w:widowControl/>
                    <w:suppressLineNumbers w:val="0"/>
                    <w:spacing w:before="0" w:beforeAutospacing="0" w:after="0" w:afterAutospacing="0" w:line="240" w:lineRule="auto"/>
                    <w:ind w:left="0" w:right="0"/>
                    <w:jc w:val="center"/>
                    <w:rPr>
                      <w:rFonts w:hint="default"/>
                      <w:color w:val="auto"/>
                      <w:sz w:val="21"/>
                      <w:szCs w:val="24"/>
                    </w:rPr>
                  </w:pPr>
                </w:p>
              </w:tc>
              <w:tc>
                <w:tcPr>
                  <w:tcW w:w="1567" w:type="pct"/>
                  <w:tcBorders>
                    <w:top w:val="single" w:color="000000" w:sz="8" w:space="0"/>
                    <w:left w:val="single" w:color="000000" w:sz="8" w:space="0"/>
                    <w:bottom w:val="single" w:color="000000" w:sz="8" w:space="0"/>
                    <w:right w:val="single" w:color="000000" w:sz="8" w:space="0"/>
                    <w:tl2br w:val="nil"/>
                    <w:tr2bl w:val="nil"/>
                  </w:tcBorders>
                  <w:noWrap w:val="0"/>
                  <w:tcMar>
                    <w:top w:w="15" w:type="dxa"/>
                    <w:left w:w="15" w:type="dxa"/>
                    <w:bottom w:w="0" w:type="dxa"/>
                    <w:right w:w="15" w:type="dxa"/>
                  </w:tcMar>
                  <w:vAlign w:val="center"/>
                </w:tcPr>
                <w:p w14:paraId="6B142DAD">
                  <w:pPr>
                    <w:keepNext w:val="0"/>
                    <w:keepLines w:val="0"/>
                    <w:pageBreakBefore/>
                    <w:widowControl/>
                    <w:suppressLineNumbers w:val="0"/>
                    <w:spacing w:before="0" w:beforeAutospacing="0" w:after="0" w:afterAutospacing="0" w:line="240" w:lineRule="auto"/>
                    <w:ind w:left="0" w:leftChars="0" w:right="0" w:firstLine="0" w:firstLineChars="0"/>
                    <w:jc w:val="center"/>
                    <w:rPr>
                      <w:rFonts w:hint="default"/>
                      <w:color w:val="auto"/>
                      <w:sz w:val="21"/>
                      <w:szCs w:val="24"/>
                    </w:rPr>
                  </w:pPr>
                  <w:r>
                    <w:rPr>
                      <w:rFonts w:hint="eastAsia"/>
                      <w:color w:val="auto"/>
                      <w:sz w:val="21"/>
                      <w:szCs w:val="24"/>
                    </w:rPr>
                    <w:t>鼓励产废单位采用国家建立的一般工业固体废物管理电子台账，简化数据填写、台账管理等工作。建立电子台账的产废单位，可不再记录纸质台账。</w:t>
                  </w:r>
                </w:p>
              </w:tc>
              <w:tc>
                <w:tcPr>
                  <w:tcW w:w="2405" w:type="pct"/>
                  <w:tcBorders>
                    <w:top w:val="single" w:color="000000" w:sz="8" w:space="0"/>
                    <w:left w:val="single" w:color="000000" w:sz="8" w:space="0"/>
                    <w:bottom w:val="single" w:color="000000" w:sz="8" w:space="0"/>
                    <w:right w:val="single" w:color="000000" w:sz="8" w:space="0"/>
                    <w:tl2br w:val="nil"/>
                    <w:tr2bl w:val="nil"/>
                  </w:tcBorders>
                  <w:noWrap w:val="0"/>
                  <w:tcMar>
                    <w:top w:w="15" w:type="dxa"/>
                    <w:left w:w="15" w:type="dxa"/>
                    <w:bottom w:w="0" w:type="dxa"/>
                    <w:right w:w="15" w:type="dxa"/>
                  </w:tcMar>
                  <w:vAlign w:val="center"/>
                </w:tcPr>
                <w:p w14:paraId="0DE36487">
                  <w:pPr>
                    <w:keepNext w:val="0"/>
                    <w:keepLines w:val="0"/>
                    <w:pageBreakBefore/>
                    <w:widowControl/>
                    <w:suppressLineNumbers w:val="0"/>
                    <w:spacing w:before="0" w:beforeAutospacing="0" w:after="0" w:afterAutospacing="0" w:line="240" w:lineRule="auto"/>
                    <w:ind w:left="0" w:leftChars="0" w:right="0" w:firstLine="0" w:firstLineChars="0"/>
                    <w:jc w:val="center"/>
                    <w:rPr>
                      <w:rFonts w:hint="default"/>
                      <w:color w:val="auto"/>
                      <w:sz w:val="21"/>
                      <w:szCs w:val="24"/>
                    </w:rPr>
                  </w:pPr>
                  <w:r>
                    <w:rPr>
                      <w:rFonts w:hint="eastAsia"/>
                      <w:color w:val="auto"/>
                      <w:sz w:val="21"/>
                      <w:szCs w:val="24"/>
                    </w:rPr>
                    <w:t>项目拟采用电子台账，项目生产产生的一般固废，同样单独记录</w:t>
                  </w:r>
                </w:p>
              </w:tc>
              <w:tc>
                <w:tcPr>
                  <w:tcW w:w="586" w:type="pct"/>
                  <w:tcBorders>
                    <w:top w:val="single" w:color="000000" w:sz="8" w:space="0"/>
                    <w:left w:val="single" w:color="000000" w:sz="8" w:space="0"/>
                    <w:bottom w:val="single" w:color="000000" w:sz="8" w:space="0"/>
                    <w:right w:val="single" w:color="000000" w:sz="8" w:space="0"/>
                    <w:tl2br w:val="nil"/>
                    <w:tr2bl w:val="nil"/>
                  </w:tcBorders>
                  <w:noWrap w:val="0"/>
                  <w:tcMar>
                    <w:top w:w="15" w:type="dxa"/>
                    <w:left w:w="15" w:type="dxa"/>
                    <w:bottom w:w="0" w:type="dxa"/>
                    <w:right w:w="15" w:type="dxa"/>
                  </w:tcMar>
                  <w:vAlign w:val="center"/>
                </w:tcPr>
                <w:p w14:paraId="73A8E186">
                  <w:pPr>
                    <w:keepNext w:val="0"/>
                    <w:keepLines w:val="0"/>
                    <w:pageBreakBefore/>
                    <w:widowControl/>
                    <w:suppressLineNumbers w:val="0"/>
                    <w:spacing w:before="0" w:beforeAutospacing="0" w:after="0" w:afterAutospacing="0" w:line="240" w:lineRule="auto"/>
                    <w:ind w:left="0" w:leftChars="0" w:right="0" w:firstLine="0" w:firstLineChars="0"/>
                    <w:jc w:val="center"/>
                    <w:rPr>
                      <w:rFonts w:hint="default"/>
                      <w:color w:val="auto"/>
                      <w:sz w:val="21"/>
                      <w:szCs w:val="24"/>
                    </w:rPr>
                  </w:pPr>
                  <w:r>
                    <w:rPr>
                      <w:rFonts w:hint="eastAsia"/>
                      <w:color w:val="auto"/>
                      <w:sz w:val="21"/>
                      <w:szCs w:val="24"/>
                    </w:rPr>
                    <w:t>符合</w:t>
                  </w:r>
                </w:p>
              </w:tc>
            </w:tr>
          </w:tbl>
          <w:p w14:paraId="0B557111">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0" w:firstLineChars="200"/>
              <w:rPr>
                <w:rFonts w:hint="eastAsia" w:cs="Times New Roman"/>
                <w:b w:val="0"/>
                <w:bCs/>
                <w:color w:val="auto"/>
                <w:kern w:val="2"/>
                <w:sz w:val="24"/>
                <w:szCs w:val="24"/>
                <w:lang w:val="en-US" w:eastAsia="zh-CN" w:bidi="ar-SA"/>
              </w:rPr>
            </w:pPr>
            <w:r>
              <w:rPr>
                <w:rFonts w:hint="eastAsia" w:cs="Times New Roman"/>
                <w:b w:val="0"/>
                <w:bCs/>
                <w:color w:val="auto"/>
                <w:kern w:val="2"/>
                <w:sz w:val="24"/>
                <w:szCs w:val="24"/>
                <w:lang w:val="en-US" w:eastAsia="zh-CN" w:bidi="ar-SA"/>
              </w:rPr>
              <w:t>江西研硕科技研发有限公司年处理50万t/a（本项目从其中外购二次提锂后的水洗渣28万t/a，具体见购销合同附件13，后续供应不足时按同样要求采购其他单位的锂渣），产生量大于本项目处理量，该公司年处理50万吨锂渣满足本项目的锂渣供应，锂冶炼剩余物（水洗渣）中污染物需满足《公路路基工程利用锂渣技术规范（试行）》（DB36/T1968-2024）表1改性锂冶炼剩余物浸出液污染物浓度限值要求。若使用其他二次提锂企业产生的水洗渣，其水洗渣中亦应满足《公路路基工程利用锂渣技术规范（试行）》（DB36/T1968-2024）表1改性锂渣浸出液污染物浓度限值要求，否则不得使用于该项目。根据“研硕科技锂冶炼剩余物（水洗渣）”的检测报告（见附件），其检测结果如下表。</w:t>
            </w:r>
          </w:p>
          <w:p w14:paraId="2D0931B9">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 xml:space="preserve"> 研硕科技锂冶炼剩余物（水洗渣）检测结果达标性分析</w:t>
            </w:r>
          </w:p>
          <w:tbl>
            <w:tblPr>
              <w:tblStyle w:val="2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
            <w:tblGrid>
              <w:gridCol w:w="703"/>
              <w:gridCol w:w="2077"/>
              <w:gridCol w:w="1978"/>
              <w:gridCol w:w="1690"/>
              <w:gridCol w:w="1398"/>
            </w:tblGrid>
            <w:tr w14:paraId="3D4D8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Header/>
              </w:trPr>
              <w:tc>
                <w:tcPr>
                  <w:tcW w:w="448" w:type="pct"/>
                  <w:shd w:val="clear" w:color="auto" w:fill="auto"/>
                  <w:tcMar>
                    <w:top w:w="120" w:type="dxa"/>
                    <w:left w:w="0" w:type="dxa"/>
                    <w:bottom w:w="120" w:type="dxa"/>
                    <w:right w:w="192" w:type="dxa"/>
                  </w:tcMar>
                  <w:vAlign w:val="center"/>
                </w:tcPr>
                <w:p w14:paraId="205CC063">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default"/>
                      <w:color w:val="auto"/>
                      <w:sz w:val="21"/>
                      <w:szCs w:val="24"/>
                      <w:lang w:val="en-US" w:eastAsia="zh-CN"/>
                    </w:rPr>
                    <w:t>项次</w:t>
                  </w:r>
                </w:p>
              </w:tc>
              <w:tc>
                <w:tcPr>
                  <w:tcW w:w="1323" w:type="pct"/>
                  <w:shd w:val="clear" w:color="auto" w:fill="auto"/>
                  <w:tcMar>
                    <w:top w:w="120" w:type="dxa"/>
                    <w:left w:w="192" w:type="dxa"/>
                    <w:bottom w:w="120" w:type="dxa"/>
                    <w:right w:w="192" w:type="dxa"/>
                  </w:tcMar>
                  <w:vAlign w:val="center"/>
                </w:tcPr>
                <w:p w14:paraId="5EAD5201">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 xml:space="preserve">项目 </w:t>
                  </w:r>
                  <w:r>
                    <w:rPr>
                      <w:rFonts w:hint="eastAsia"/>
                      <w:color w:val="auto"/>
                      <w:sz w:val="21"/>
                      <w:szCs w:val="24"/>
                      <w:lang w:val="en-US" w:eastAsia="zh-CN"/>
                    </w:rPr>
                    <w:t>（</w:t>
                  </w:r>
                  <w:r>
                    <w:rPr>
                      <w:rFonts w:hint="default"/>
                      <w:color w:val="auto"/>
                      <w:sz w:val="21"/>
                      <w:szCs w:val="24"/>
                      <w:lang w:val="en-US" w:eastAsia="zh-CN"/>
                    </w:rPr>
                    <w:t>化学式</w:t>
                  </w:r>
                  <w:r>
                    <w:rPr>
                      <w:rFonts w:hint="eastAsia"/>
                      <w:color w:val="auto"/>
                      <w:sz w:val="21"/>
                      <w:szCs w:val="24"/>
                      <w:lang w:val="en-US" w:eastAsia="zh-CN"/>
                    </w:rPr>
                    <w:t>）</w:t>
                  </w:r>
                </w:p>
              </w:tc>
              <w:tc>
                <w:tcPr>
                  <w:tcW w:w="1260" w:type="pct"/>
                  <w:shd w:val="clear" w:color="auto" w:fill="auto"/>
                  <w:tcMar>
                    <w:top w:w="120" w:type="dxa"/>
                    <w:left w:w="192" w:type="dxa"/>
                    <w:bottom w:w="120" w:type="dxa"/>
                    <w:right w:w="192" w:type="dxa"/>
                  </w:tcMar>
                  <w:vAlign w:val="center"/>
                </w:tcPr>
                <w:p w14:paraId="78AA15A3">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检测结果mg/L</w:t>
                  </w:r>
                </w:p>
              </w:tc>
              <w:tc>
                <w:tcPr>
                  <w:tcW w:w="1076" w:type="pct"/>
                  <w:shd w:val="clear" w:color="auto" w:fill="auto"/>
                  <w:tcMar>
                    <w:top w:w="120" w:type="dxa"/>
                    <w:left w:w="192" w:type="dxa"/>
                    <w:bottom w:w="120" w:type="dxa"/>
                    <w:right w:w="192" w:type="dxa"/>
                  </w:tcMar>
                  <w:vAlign w:val="center"/>
                </w:tcPr>
                <w:p w14:paraId="49816A26">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限值</w:t>
                  </w:r>
                </w:p>
              </w:tc>
              <w:tc>
                <w:tcPr>
                  <w:tcW w:w="890" w:type="pct"/>
                  <w:shd w:val="clear" w:color="auto" w:fill="auto"/>
                  <w:tcMar>
                    <w:top w:w="120" w:type="dxa"/>
                    <w:left w:w="192" w:type="dxa"/>
                    <w:bottom w:w="120" w:type="dxa"/>
                    <w:right w:w="192" w:type="dxa"/>
                  </w:tcMar>
                  <w:vAlign w:val="center"/>
                </w:tcPr>
                <w:p w14:paraId="7C913048">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是否达标</w:t>
                  </w:r>
                </w:p>
              </w:tc>
            </w:tr>
            <w:tr w14:paraId="2E7C8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48" w:type="pct"/>
                  <w:shd w:val="clear" w:color="auto" w:fill="auto"/>
                  <w:tcMar>
                    <w:top w:w="120" w:type="dxa"/>
                    <w:left w:w="0" w:type="dxa"/>
                    <w:bottom w:w="120" w:type="dxa"/>
                    <w:right w:w="192" w:type="dxa"/>
                  </w:tcMar>
                  <w:vAlign w:val="center"/>
                </w:tcPr>
                <w:p w14:paraId="77EA231C">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default"/>
                      <w:color w:val="auto"/>
                      <w:sz w:val="21"/>
                      <w:szCs w:val="24"/>
                      <w:lang w:val="en-US" w:eastAsia="zh-CN"/>
                    </w:rPr>
                    <w:t>1</w:t>
                  </w:r>
                </w:p>
              </w:tc>
              <w:tc>
                <w:tcPr>
                  <w:tcW w:w="1323" w:type="pct"/>
                  <w:shd w:val="clear" w:color="auto" w:fill="auto"/>
                  <w:tcMar>
                    <w:top w:w="120" w:type="dxa"/>
                    <w:left w:w="192" w:type="dxa"/>
                    <w:bottom w:w="120" w:type="dxa"/>
                    <w:right w:w="192" w:type="dxa"/>
                  </w:tcMar>
                  <w:vAlign w:val="center"/>
                </w:tcPr>
                <w:p w14:paraId="0BB3A7CA">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pH</w:t>
                  </w:r>
                </w:p>
              </w:tc>
              <w:tc>
                <w:tcPr>
                  <w:tcW w:w="1260" w:type="pct"/>
                  <w:shd w:val="clear" w:color="auto" w:fill="auto"/>
                  <w:tcMar>
                    <w:top w:w="120" w:type="dxa"/>
                    <w:left w:w="192" w:type="dxa"/>
                    <w:bottom w:w="120" w:type="dxa"/>
                    <w:right w:w="192" w:type="dxa"/>
                  </w:tcMar>
                  <w:vAlign w:val="center"/>
                </w:tcPr>
                <w:p w14:paraId="1996ECC4">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7.82</w:t>
                  </w:r>
                </w:p>
              </w:tc>
              <w:tc>
                <w:tcPr>
                  <w:tcW w:w="1076" w:type="pct"/>
                  <w:shd w:val="clear" w:color="auto" w:fill="auto"/>
                  <w:tcMar>
                    <w:top w:w="120" w:type="dxa"/>
                    <w:left w:w="192" w:type="dxa"/>
                    <w:bottom w:w="120" w:type="dxa"/>
                    <w:right w:w="192" w:type="dxa"/>
                  </w:tcMar>
                  <w:vAlign w:val="center"/>
                </w:tcPr>
                <w:p w14:paraId="214324AB">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6~9</w:t>
                  </w:r>
                </w:p>
              </w:tc>
              <w:tc>
                <w:tcPr>
                  <w:tcW w:w="890" w:type="pct"/>
                  <w:shd w:val="clear" w:color="auto" w:fill="auto"/>
                  <w:tcMar>
                    <w:top w:w="120" w:type="dxa"/>
                    <w:left w:w="192" w:type="dxa"/>
                    <w:bottom w:w="120" w:type="dxa"/>
                    <w:right w:w="192" w:type="dxa"/>
                  </w:tcMar>
                  <w:vAlign w:val="center"/>
                </w:tcPr>
                <w:p w14:paraId="6B2510B8">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达标</w:t>
                  </w:r>
                </w:p>
              </w:tc>
            </w:tr>
            <w:tr w14:paraId="0C721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48" w:type="pct"/>
                  <w:shd w:val="clear" w:color="auto" w:fill="auto"/>
                  <w:tcMar>
                    <w:top w:w="120" w:type="dxa"/>
                    <w:left w:w="0" w:type="dxa"/>
                    <w:bottom w:w="120" w:type="dxa"/>
                    <w:right w:w="192" w:type="dxa"/>
                  </w:tcMar>
                  <w:vAlign w:val="center"/>
                </w:tcPr>
                <w:p w14:paraId="58EBBC1A">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2</w:t>
                  </w:r>
                </w:p>
              </w:tc>
              <w:tc>
                <w:tcPr>
                  <w:tcW w:w="1323" w:type="pct"/>
                  <w:shd w:val="clear" w:color="auto" w:fill="auto"/>
                  <w:tcMar>
                    <w:top w:w="120" w:type="dxa"/>
                    <w:left w:w="192" w:type="dxa"/>
                    <w:bottom w:w="120" w:type="dxa"/>
                    <w:right w:w="192" w:type="dxa"/>
                  </w:tcMar>
                  <w:vAlign w:val="center"/>
                </w:tcPr>
                <w:p w14:paraId="721B60FB">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总镍，mg/L</w:t>
                  </w:r>
                </w:p>
              </w:tc>
              <w:tc>
                <w:tcPr>
                  <w:tcW w:w="1260" w:type="pct"/>
                  <w:shd w:val="clear" w:color="auto" w:fill="auto"/>
                  <w:tcMar>
                    <w:top w:w="120" w:type="dxa"/>
                    <w:left w:w="192" w:type="dxa"/>
                    <w:bottom w:w="120" w:type="dxa"/>
                    <w:right w:w="192" w:type="dxa"/>
                  </w:tcMar>
                  <w:vAlign w:val="center"/>
                </w:tcPr>
                <w:p w14:paraId="5A2362D8">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0.0038</w:t>
                  </w:r>
                </w:p>
              </w:tc>
              <w:tc>
                <w:tcPr>
                  <w:tcW w:w="1076" w:type="pct"/>
                  <w:shd w:val="clear" w:color="auto" w:fill="auto"/>
                  <w:tcMar>
                    <w:top w:w="120" w:type="dxa"/>
                    <w:left w:w="192" w:type="dxa"/>
                    <w:bottom w:w="120" w:type="dxa"/>
                    <w:right w:w="192" w:type="dxa"/>
                  </w:tcMar>
                  <w:vAlign w:val="center"/>
                </w:tcPr>
                <w:p w14:paraId="03F21C47">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≤1.0 mg/L</w:t>
                  </w:r>
                </w:p>
              </w:tc>
              <w:tc>
                <w:tcPr>
                  <w:tcW w:w="890" w:type="pct"/>
                  <w:shd w:val="clear" w:color="auto" w:fill="auto"/>
                  <w:tcMar>
                    <w:top w:w="120" w:type="dxa"/>
                    <w:left w:w="192" w:type="dxa"/>
                    <w:bottom w:w="120" w:type="dxa"/>
                    <w:right w:w="192" w:type="dxa"/>
                  </w:tcMar>
                  <w:vAlign w:val="center"/>
                </w:tcPr>
                <w:p w14:paraId="0F0A4CFE">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达标</w:t>
                  </w:r>
                </w:p>
              </w:tc>
            </w:tr>
            <w:tr w14:paraId="303D3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48" w:type="pct"/>
                  <w:shd w:val="clear" w:color="auto" w:fill="auto"/>
                  <w:tcMar>
                    <w:top w:w="120" w:type="dxa"/>
                    <w:left w:w="0" w:type="dxa"/>
                    <w:bottom w:w="120" w:type="dxa"/>
                    <w:right w:w="192" w:type="dxa"/>
                  </w:tcMar>
                  <w:vAlign w:val="center"/>
                </w:tcPr>
                <w:p w14:paraId="0D8D3FE1">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3</w:t>
                  </w:r>
                </w:p>
              </w:tc>
              <w:tc>
                <w:tcPr>
                  <w:tcW w:w="1323" w:type="pct"/>
                  <w:shd w:val="clear" w:color="auto" w:fill="auto"/>
                  <w:tcMar>
                    <w:top w:w="120" w:type="dxa"/>
                    <w:left w:w="192" w:type="dxa"/>
                    <w:bottom w:w="120" w:type="dxa"/>
                    <w:right w:w="192" w:type="dxa"/>
                  </w:tcMar>
                  <w:vAlign w:val="center"/>
                </w:tcPr>
                <w:p w14:paraId="57434935">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总铜，mg/L</w:t>
                  </w:r>
                </w:p>
              </w:tc>
              <w:tc>
                <w:tcPr>
                  <w:tcW w:w="1260" w:type="pct"/>
                  <w:shd w:val="clear" w:color="auto" w:fill="auto"/>
                  <w:tcMar>
                    <w:top w:w="120" w:type="dxa"/>
                    <w:left w:w="192" w:type="dxa"/>
                    <w:bottom w:w="120" w:type="dxa"/>
                    <w:right w:w="192" w:type="dxa"/>
                  </w:tcMar>
                  <w:vAlign w:val="center"/>
                </w:tcPr>
                <w:p w14:paraId="55072FA7">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0.0072</w:t>
                  </w:r>
                </w:p>
              </w:tc>
              <w:tc>
                <w:tcPr>
                  <w:tcW w:w="1076" w:type="pct"/>
                  <w:shd w:val="clear" w:color="auto" w:fill="auto"/>
                  <w:tcMar>
                    <w:top w:w="120" w:type="dxa"/>
                    <w:left w:w="192" w:type="dxa"/>
                    <w:bottom w:w="120" w:type="dxa"/>
                    <w:right w:w="192" w:type="dxa"/>
                  </w:tcMar>
                  <w:vAlign w:val="center"/>
                </w:tcPr>
                <w:p w14:paraId="6EA624D7">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≤0.5 mg/L</w:t>
                  </w:r>
                </w:p>
              </w:tc>
              <w:tc>
                <w:tcPr>
                  <w:tcW w:w="890" w:type="pct"/>
                  <w:shd w:val="clear" w:color="auto" w:fill="auto"/>
                  <w:tcMar>
                    <w:top w:w="120" w:type="dxa"/>
                    <w:left w:w="192" w:type="dxa"/>
                    <w:bottom w:w="120" w:type="dxa"/>
                    <w:right w:w="192" w:type="dxa"/>
                  </w:tcMar>
                  <w:vAlign w:val="center"/>
                </w:tcPr>
                <w:p w14:paraId="641DB831">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达标</w:t>
                  </w:r>
                </w:p>
              </w:tc>
            </w:tr>
            <w:tr w14:paraId="23B37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48" w:type="pct"/>
                  <w:shd w:val="clear" w:color="auto" w:fill="auto"/>
                  <w:tcMar>
                    <w:top w:w="120" w:type="dxa"/>
                    <w:left w:w="0" w:type="dxa"/>
                    <w:bottom w:w="120" w:type="dxa"/>
                    <w:right w:w="192" w:type="dxa"/>
                  </w:tcMar>
                  <w:vAlign w:val="center"/>
                </w:tcPr>
                <w:p w14:paraId="4FB8AD16">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4</w:t>
                  </w:r>
                </w:p>
              </w:tc>
              <w:tc>
                <w:tcPr>
                  <w:tcW w:w="1323" w:type="pct"/>
                  <w:shd w:val="clear" w:color="auto" w:fill="auto"/>
                  <w:tcMar>
                    <w:top w:w="120" w:type="dxa"/>
                    <w:left w:w="192" w:type="dxa"/>
                    <w:bottom w:w="120" w:type="dxa"/>
                    <w:right w:w="192" w:type="dxa"/>
                  </w:tcMar>
                  <w:vAlign w:val="center"/>
                </w:tcPr>
                <w:p w14:paraId="18B4EC13">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总锌，mg/L</w:t>
                  </w:r>
                </w:p>
              </w:tc>
              <w:tc>
                <w:tcPr>
                  <w:tcW w:w="1260" w:type="pct"/>
                  <w:shd w:val="clear" w:color="auto" w:fill="auto"/>
                  <w:tcMar>
                    <w:top w:w="120" w:type="dxa"/>
                    <w:left w:w="192" w:type="dxa"/>
                    <w:bottom w:w="120" w:type="dxa"/>
                    <w:right w:w="192" w:type="dxa"/>
                  </w:tcMar>
                  <w:vAlign w:val="center"/>
                </w:tcPr>
                <w:p w14:paraId="33AB53C3">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0.0064</w:t>
                  </w:r>
                </w:p>
              </w:tc>
              <w:tc>
                <w:tcPr>
                  <w:tcW w:w="1076" w:type="pct"/>
                  <w:shd w:val="clear" w:color="auto" w:fill="auto"/>
                  <w:tcMar>
                    <w:top w:w="120" w:type="dxa"/>
                    <w:left w:w="192" w:type="dxa"/>
                    <w:bottom w:w="120" w:type="dxa"/>
                    <w:right w:w="192" w:type="dxa"/>
                  </w:tcMar>
                  <w:vAlign w:val="center"/>
                </w:tcPr>
                <w:p w14:paraId="06528133">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≤2.0 mg/L</w:t>
                  </w:r>
                </w:p>
              </w:tc>
              <w:tc>
                <w:tcPr>
                  <w:tcW w:w="890" w:type="pct"/>
                  <w:shd w:val="clear" w:color="auto" w:fill="auto"/>
                  <w:tcMar>
                    <w:top w:w="120" w:type="dxa"/>
                    <w:left w:w="192" w:type="dxa"/>
                    <w:bottom w:w="120" w:type="dxa"/>
                    <w:right w:w="192" w:type="dxa"/>
                  </w:tcMar>
                  <w:vAlign w:val="center"/>
                </w:tcPr>
                <w:p w14:paraId="5A2D8E45">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达标</w:t>
                  </w:r>
                </w:p>
              </w:tc>
            </w:tr>
            <w:tr w14:paraId="7D6A8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48" w:type="pct"/>
                  <w:shd w:val="clear" w:color="auto" w:fill="auto"/>
                  <w:tcMar>
                    <w:top w:w="120" w:type="dxa"/>
                    <w:left w:w="0" w:type="dxa"/>
                    <w:bottom w:w="120" w:type="dxa"/>
                    <w:right w:w="192" w:type="dxa"/>
                  </w:tcMar>
                  <w:vAlign w:val="center"/>
                </w:tcPr>
                <w:p w14:paraId="6118B716">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5</w:t>
                  </w:r>
                </w:p>
              </w:tc>
              <w:tc>
                <w:tcPr>
                  <w:tcW w:w="1323" w:type="pct"/>
                  <w:shd w:val="clear" w:color="auto" w:fill="auto"/>
                  <w:tcMar>
                    <w:top w:w="120" w:type="dxa"/>
                    <w:left w:w="192" w:type="dxa"/>
                    <w:bottom w:w="120" w:type="dxa"/>
                    <w:right w:w="192" w:type="dxa"/>
                  </w:tcMar>
                  <w:vAlign w:val="center"/>
                </w:tcPr>
                <w:p w14:paraId="53643835">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总镉，mg/L</w:t>
                  </w:r>
                </w:p>
              </w:tc>
              <w:tc>
                <w:tcPr>
                  <w:tcW w:w="1260" w:type="pct"/>
                  <w:shd w:val="clear" w:color="auto" w:fill="auto"/>
                  <w:tcMar>
                    <w:top w:w="120" w:type="dxa"/>
                    <w:left w:w="192" w:type="dxa"/>
                    <w:bottom w:w="120" w:type="dxa"/>
                    <w:right w:w="192" w:type="dxa"/>
                  </w:tcMar>
                  <w:vAlign w:val="center"/>
                </w:tcPr>
                <w:p w14:paraId="0EAA47CD">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0.0012</w:t>
                  </w:r>
                </w:p>
              </w:tc>
              <w:tc>
                <w:tcPr>
                  <w:tcW w:w="1076" w:type="pct"/>
                  <w:shd w:val="clear" w:color="auto" w:fill="auto"/>
                  <w:tcMar>
                    <w:top w:w="120" w:type="dxa"/>
                    <w:left w:w="192" w:type="dxa"/>
                    <w:bottom w:w="120" w:type="dxa"/>
                    <w:right w:w="192" w:type="dxa"/>
                  </w:tcMar>
                  <w:vAlign w:val="center"/>
                </w:tcPr>
                <w:p w14:paraId="132D4CA0">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≤0.1 mg/L</w:t>
                  </w:r>
                </w:p>
              </w:tc>
              <w:tc>
                <w:tcPr>
                  <w:tcW w:w="890" w:type="pct"/>
                  <w:shd w:val="clear" w:color="auto" w:fill="auto"/>
                  <w:tcMar>
                    <w:top w:w="120" w:type="dxa"/>
                    <w:left w:w="192" w:type="dxa"/>
                    <w:bottom w:w="120" w:type="dxa"/>
                    <w:right w:w="192" w:type="dxa"/>
                  </w:tcMar>
                  <w:vAlign w:val="center"/>
                </w:tcPr>
                <w:p w14:paraId="4E646C69">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达标</w:t>
                  </w:r>
                </w:p>
              </w:tc>
            </w:tr>
            <w:tr w14:paraId="372AE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48" w:type="pct"/>
                  <w:shd w:val="clear" w:color="auto" w:fill="auto"/>
                  <w:tcMar>
                    <w:top w:w="120" w:type="dxa"/>
                    <w:left w:w="0" w:type="dxa"/>
                    <w:bottom w:w="120" w:type="dxa"/>
                    <w:right w:w="192" w:type="dxa"/>
                  </w:tcMar>
                  <w:vAlign w:val="center"/>
                </w:tcPr>
                <w:p w14:paraId="36AE597F">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6</w:t>
                  </w:r>
                </w:p>
              </w:tc>
              <w:tc>
                <w:tcPr>
                  <w:tcW w:w="1323" w:type="pct"/>
                  <w:shd w:val="clear" w:color="auto" w:fill="auto"/>
                  <w:tcMar>
                    <w:top w:w="120" w:type="dxa"/>
                    <w:left w:w="192" w:type="dxa"/>
                    <w:bottom w:w="120" w:type="dxa"/>
                    <w:right w:w="192" w:type="dxa"/>
                  </w:tcMar>
                  <w:vAlign w:val="center"/>
                </w:tcPr>
                <w:p w14:paraId="24F2AC1E">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总铅，mg/L</w:t>
                  </w:r>
                </w:p>
              </w:tc>
              <w:tc>
                <w:tcPr>
                  <w:tcW w:w="1260" w:type="pct"/>
                  <w:shd w:val="clear" w:color="auto" w:fill="auto"/>
                  <w:tcMar>
                    <w:top w:w="120" w:type="dxa"/>
                    <w:left w:w="192" w:type="dxa"/>
                    <w:bottom w:w="120" w:type="dxa"/>
                    <w:right w:w="192" w:type="dxa"/>
                  </w:tcMar>
                  <w:vAlign w:val="center"/>
                </w:tcPr>
                <w:p w14:paraId="460C8412">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0.0042</w:t>
                  </w:r>
                </w:p>
              </w:tc>
              <w:tc>
                <w:tcPr>
                  <w:tcW w:w="1076" w:type="pct"/>
                  <w:shd w:val="clear" w:color="auto" w:fill="auto"/>
                  <w:tcMar>
                    <w:top w:w="120" w:type="dxa"/>
                    <w:left w:w="192" w:type="dxa"/>
                    <w:bottom w:w="120" w:type="dxa"/>
                    <w:right w:w="192" w:type="dxa"/>
                  </w:tcMar>
                  <w:vAlign w:val="center"/>
                </w:tcPr>
                <w:p w14:paraId="3329F8EB">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≤1.0 mg/L</w:t>
                  </w:r>
                </w:p>
              </w:tc>
              <w:tc>
                <w:tcPr>
                  <w:tcW w:w="890" w:type="pct"/>
                  <w:shd w:val="clear" w:color="auto" w:fill="auto"/>
                  <w:tcMar>
                    <w:top w:w="120" w:type="dxa"/>
                    <w:left w:w="192" w:type="dxa"/>
                    <w:bottom w:w="120" w:type="dxa"/>
                    <w:right w:w="192" w:type="dxa"/>
                  </w:tcMar>
                  <w:vAlign w:val="center"/>
                </w:tcPr>
                <w:p w14:paraId="0B03407F">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达标</w:t>
                  </w:r>
                </w:p>
              </w:tc>
            </w:tr>
            <w:tr w14:paraId="2FF57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48" w:type="pct"/>
                  <w:shd w:val="clear" w:color="auto" w:fill="auto"/>
                  <w:tcMar>
                    <w:top w:w="120" w:type="dxa"/>
                    <w:left w:w="0" w:type="dxa"/>
                    <w:bottom w:w="120" w:type="dxa"/>
                    <w:right w:w="192" w:type="dxa"/>
                  </w:tcMar>
                  <w:vAlign w:val="center"/>
                </w:tcPr>
                <w:p w14:paraId="52D89611">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7</w:t>
                  </w:r>
                </w:p>
              </w:tc>
              <w:tc>
                <w:tcPr>
                  <w:tcW w:w="1323" w:type="pct"/>
                  <w:shd w:val="clear" w:color="auto" w:fill="auto"/>
                  <w:tcMar>
                    <w:top w:w="120" w:type="dxa"/>
                    <w:left w:w="192" w:type="dxa"/>
                    <w:bottom w:w="120" w:type="dxa"/>
                    <w:right w:w="192" w:type="dxa"/>
                  </w:tcMar>
                  <w:vAlign w:val="center"/>
                </w:tcPr>
                <w:p w14:paraId="224A3F69">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总铬，mg/L</w:t>
                  </w:r>
                </w:p>
              </w:tc>
              <w:tc>
                <w:tcPr>
                  <w:tcW w:w="1260" w:type="pct"/>
                  <w:shd w:val="clear" w:color="auto" w:fill="auto"/>
                  <w:tcMar>
                    <w:top w:w="120" w:type="dxa"/>
                    <w:left w:w="192" w:type="dxa"/>
                    <w:bottom w:w="120" w:type="dxa"/>
                    <w:right w:w="192" w:type="dxa"/>
                  </w:tcMar>
                  <w:vAlign w:val="center"/>
                </w:tcPr>
                <w:p w14:paraId="31851CC6">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0.0875</w:t>
                  </w:r>
                </w:p>
              </w:tc>
              <w:tc>
                <w:tcPr>
                  <w:tcW w:w="1076" w:type="pct"/>
                  <w:shd w:val="clear" w:color="auto" w:fill="auto"/>
                  <w:tcMar>
                    <w:top w:w="120" w:type="dxa"/>
                    <w:left w:w="192" w:type="dxa"/>
                    <w:bottom w:w="120" w:type="dxa"/>
                    <w:right w:w="192" w:type="dxa"/>
                  </w:tcMar>
                  <w:vAlign w:val="center"/>
                </w:tcPr>
                <w:p w14:paraId="7E47C048">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≤1.5 mg/L</w:t>
                  </w:r>
                </w:p>
              </w:tc>
              <w:tc>
                <w:tcPr>
                  <w:tcW w:w="890" w:type="pct"/>
                  <w:shd w:val="clear" w:color="auto" w:fill="auto"/>
                  <w:tcMar>
                    <w:top w:w="120" w:type="dxa"/>
                    <w:left w:w="192" w:type="dxa"/>
                    <w:bottom w:w="120" w:type="dxa"/>
                    <w:right w:w="192" w:type="dxa"/>
                  </w:tcMar>
                  <w:vAlign w:val="center"/>
                </w:tcPr>
                <w:p w14:paraId="1D9008CA">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达标</w:t>
                  </w:r>
                </w:p>
              </w:tc>
            </w:tr>
            <w:tr w14:paraId="3797A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48" w:type="pct"/>
                  <w:shd w:val="clear" w:color="auto" w:fill="auto"/>
                  <w:tcMar>
                    <w:top w:w="120" w:type="dxa"/>
                    <w:left w:w="0" w:type="dxa"/>
                    <w:bottom w:w="120" w:type="dxa"/>
                    <w:right w:w="192" w:type="dxa"/>
                  </w:tcMar>
                  <w:vAlign w:val="center"/>
                </w:tcPr>
                <w:p w14:paraId="7A4835C1">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8</w:t>
                  </w:r>
                </w:p>
              </w:tc>
              <w:tc>
                <w:tcPr>
                  <w:tcW w:w="1323" w:type="pct"/>
                  <w:shd w:val="clear" w:color="auto" w:fill="auto"/>
                  <w:tcMar>
                    <w:top w:w="120" w:type="dxa"/>
                    <w:left w:w="192" w:type="dxa"/>
                    <w:bottom w:w="120" w:type="dxa"/>
                    <w:right w:w="192" w:type="dxa"/>
                  </w:tcMar>
                  <w:vAlign w:val="center"/>
                </w:tcPr>
                <w:p w14:paraId="190D4121">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总锰，mg/L</w:t>
                  </w:r>
                </w:p>
              </w:tc>
              <w:tc>
                <w:tcPr>
                  <w:tcW w:w="1260" w:type="pct"/>
                  <w:shd w:val="clear" w:color="auto" w:fill="auto"/>
                  <w:tcMar>
                    <w:top w:w="120" w:type="dxa"/>
                    <w:left w:w="192" w:type="dxa"/>
                    <w:bottom w:w="120" w:type="dxa"/>
                    <w:right w:w="192" w:type="dxa"/>
                  </w:tcMar>
                  <w:vAlign w:val="center"/>
                </w:tcPr>
                <w:p w14:paraId="1BEB2BE3">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0.0036</w:t>
                  </w:r>
                </w:p>
              </w:tc>
              <w:tc>
                <w:tcPr>
                  <w:tcW w:w="1076" w:type="pct"/>
                  <w:shd w:val="clear" w:color="auto" w:fill="auto"/>
                  <w:tcMar>
                    <w:top w:w="120" w:type="dxa"/>
                    <w:left w:w="192" w:type="dxa"/>
                    <w:bottom w:w="120" w:type="dxa"/>
                    <w:right w:w="192" w:type="dxa"/>
                  </w:tcMar>
                  <w:vAlign w:val="center"/>
                </w:tcPr>
                <w:p w14:paraId="71D0AEE8">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≤2.0 mg/L</w:t>
                  </w:r>
                </w:p>
              </w:tc>
              <w:tc>
                <w:tcPr>
                  <w:tcW w:w="890" w:type="pct"/>
                  <w:shd w:val="clear" w:color="auto" w:fill="auto"/>
                  <w:tcMar>
                    <w:top w:w="120" w:type="dxa"/>
                    <w:left w:w="192" w:type="dxa"/>
                    <w:bottom w:w="120" w:type="dxa"/>
                    <w:right w:w="192" w:type="dxa"/>
                  </w:tcMar>
                  <w:vAlign w:val="center"/>
                </w:tcPr>
                <w:p w14:paraId="2FC887ED">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达标</w:t>
                  </w:r>
                </w:p>
              </w:tc>
            </w:tr>
            <w:tr w14:paraId="3A92C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48" w:type="pct"/>
                  <w:shd w:val="clear" w:color="auto" w:fill="auto"/>
                  <w:tcMar>
                    <w:top w:w="120" w:type="dxa"/>
                    <w:left w:w="0" w:type="dxa"/>
                    <w:bottom w:w="120" w:type="dxa"/>
                    <w:right w:w="192" w:type="dxa"/>
                  </w:tcMar>
                  <w:vAlign w:val="center"/>
                </w:tcPr>
                <w:p w14:paraId="02C961F9">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10</w:t>
                  </w:r>
                </w:p>
              </w:tc>
              <w:tc>
                <w:tcPr>
                  <w:tcW w:w="1323" w:type="pct"/>
                  <w:shd w:val="clear" w:color="auto" w:fill="auto"/>
                  <w:tcMar>
                    <w:top w:w="120" w:type="dxa"/>
                    <w:left w:w="192" w:type="dxa"/>
                    <w:bottom w:w="120" w:type="dxa"/>
                    <w:right w:w="192" w:type="dxa"/>
                  </w:tcMar>
                  <w:vAlign w:val="center"/>
                </w:tcPr>
                <w:p w14:paraId="51D2D06A">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铍，mg/L</w:t>
                  </w:r>
                </w:p>
              </w:tc>
              <w:tc>
                <w:tcPr>
                  <w:tcW w:w="1260" w:type="pct"/>
                  <w:shd w:val="clear" w:color="auto" w:fill="auto"/>
                  <w:tcMar>
                    <w:top w:w="120" w:type="dxa"/>
                    <w:left w:w="192" w:type="dxa"/>
                    <w:bottom w:w="120" w:type="dxa"/>
                    <w:right w:w="192" w:type="dxa"/>
                  </w:tcMar>
                  <w:vAlign w:val="center"/>
                </w:tcPr>
                <w:p w14:paraId="3928C157">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0.0007</w:t>
                  </w:r>
                </w:p>
              </w:tc>
              <w:tc>
                <w:tcPr>
                  <w:tcW w:w="1076" w:type="pct"/>
                  <w:shd w:val="clear" w:color="auto" w:fill="auto"/>
                  <w:tcMar>
                    <w:top w:w="120" w:type="dxa"/>
                    <w:left w:w="192" w:type="dxa"/>
                    <w:bottom w:w="120" w:type="dxa"/>
                    <w:right w:w="192" w:type="dxa"/>
                  </w:tcMar>
                  <w:vAlign w:val="center"/>
                </w:tcPr>
                <w:p w14:paraId="6796C841">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≤0.005 mg/L</w:t>
                  </w:r>
                </w:p>
              </w:tc>
              <w:tc>
                <w:tcPr>
                  <w:tcW w:w="890" w:type="pct"/>
                  <w:shd w:val="clear" w:color="auto" w:fill="auto"/>
                  <w:tcMar>
                    <w:top w:w="120" w:type="dxa"/>
                    <w:left w:w="192" w:type="dxa"/>
                    <w:bottom w:w="120" w:type="dxa"/>
                    <w:right w:w="192" w:type="dxa"/>
                  </w:tcMar>
                  <w:vAlign w:val="center"/>
                </w:tcPr>
                <w:p w14:paraId="5267E416">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达标</w:t>
                  </w:r>
                </w:p>
              </w:tc>
            </w:tr>
            <w:tr w14:paraId="7C552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48" w:type="pct"/>
                  <w:shd w:val="clear" w:color="auto" w:fill="auto"/>
                  <w:tcMar>
                    <w:top w:w="120" w:type="dxa"/>
                    <w:left w:w="0" w:type="dxa"/>
                    <w:bottom w:w="120" w:type="dxa"/>
                    <w:right w:w="192" w:type="dxa"/>
                  </w:tcMar>
                  <w:vAlign w:val="center"/>
                </w:tcPr>
                <w:p w14:paraId="15E2D1E9">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11</w:t>
                  </w:r>
                </w:p>
              </w:tc>
              <w:tc>
                <w:tcPr>
                  <w:tcW w:w="1323" w:type="pct"/>
                  <w:shd w:val="clear" w:color="auto" w:fill="auto"/>
                  <w:tcMar>
                    <w:top w:w="120" w:type="dxa"/>
                    <w:left w:w="192" w:type="dxa"/>
                    <w:bottom w:w="120" w:type="dxa"/>
                    <w:right w:w="192" w:type="dxa"/>
                  </w:tcMar>
                  <w:vAlign w:val="center"/>
                </w:tcPr>
                <w:p w14:paraId="14AE6FDF">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总铊，mg/L</w:t>
                  </w:r>
                </w:p>
              </w:tc>
              <w:tc>
                <w:tcPr>
                  <w:tcW w:w="1260" w:type="pct"/>
                  <w:shd w:val="clear" w:color="auto" w:fill="auto"/>
                  <w:tcMar>
                    <w:top w:w="120" w:type="dxa"/>
                    <w:left w:w="192" w:type="dxa"/>
                    <w:bottom w:w="120" w:type="dxa"/>
                    <w:right w:w="192" w:type="dxa"/>
                  </w:tcMar>
                  <w:vAlign w:val="center"/>
                </w:tcPr>
                <w:p w14:paraId="6CB9E986">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0.0018</w:t>
                  </w:r>
                </w:p>
              </w:tc>
              <w:tc>
                <w:tcPr>
                  <w:tcW w:w="1076" w:type="pct"/>
                  <w:shd w:val="clear" w:color="auto" w:fill="auto"/>
                  <w:tcMar>
                    <w:top w:w="120" w:type="dxa"/>
                    <w:left w:w="192" w:type="dxa"/>
                    <w:bottom w:w="120" w:type="dxa"/>
                    <w:right w:w="192" w:type="dxa"/>
                  </w:tcMar>
                  <w:vAlign w:val="center"/>
                </w:tcPr>
                <w:p w14:paraId="52E3F0AE">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≤0.005 mg/L</w:t>
                  </w:r>
                </w:p>
              </w:tc>
              <w:tc>
                <w:tcPr>
                  <w:tcW w:w="890" w:type="pct"/>
                  <w:shd w:val="clear" w:color="auto" w:fill="auto"/>
                  <w:tcMar>
                    <w:top w:w="120" w:type="dxa"/>
                    <w:left w:w="192" w:type="dxa"/>
                    <w:bottom w:w="120" w:type="dxa"/>
                    <w:right w:w="192" w:type="dxa"/>
                  </w:tcMar>
                  <w:vAlign w:val="center"/>
                </w:tcPr>
                <w:p w14:paraId="285BF69C">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达标</w:t>
                  </w:r>
                </w:p>
              </w:tc>
            </w:tr>
            <w:tr w14:paraId="2842E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48" w:type="pct"/>
                  <w:shd w:val="clear" w:color="auto" w:fill="auto"/>
                  <w:tcMar>
                    <w:top w:w="120" w:type="dxa"/>
                    <w:left w:w="0" w:type="dxa"/>
                    <w:bottom w:w="120" w:type="dxa"/>
                    <w:right w:w="192" w:type="dxa"/>
                  </w:tcMar>
                  <w:vAlign w:val="center"/>
                </w:tcPr>
                <w:p w14:paraId="7885E5F7">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12</w:t>
                  </w:r>
                </w:p>
              </w:tc>
              <w:tc>
                <w:tcPr>
                  <w:tcW w:w="1323" w:type="pct"/>
                  <w:shd w:val="clear" w:color="auto" w:fill="auto"/>
                  <w:tcMar>
                    <w:top w:w="120" w:type="dxa"/>
                    <w:left w:w="192" w:type="dxa"/>
                    <w:bottom w:w="120" w:type="dxa"/>
                    <w:right w:w="192" w:type="dxa"/>
                  </w:tcMar>
                  <w:vAlign w:val="center"/>
                </w:tcPr>
                <w:p w14:paraId="467DFDFE">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总汞，mg/L</w:t>
                  </w:r>
                </w:p>
              </w:tc>
              <w:tc>
                <w:tcPr>
                  <w:tcW w:w="1260" w:type="pct"/>
                  <w:shd w:val="clear" w:color="auto" w:fill="auto"/>
                  <w:tcMar>
                    <w:top w:w="120" w:type="dxa"/>
                    <w:left w:w="192" w:type="dxa"/>
                    <w:bottom w:w="120" w:type="dxa"/>
                    <w:right w:w="192" w:type="dxa"/>
                  </w:tcMar>
                  <w:vAlign w:val="center"/>
                </w:tcPr>
                <w:p w14:paraId="2767A925">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0.02</w:t>
                  </w:r>
                </w:p>
              </w:tc>
              <w:tc>
                <w:tcPr>
                  <w:tcW w:w="1076" w:type="pct"/>
                  <w:shd w:val="clear" w:color="auto" w:fill="auto"/>
                  <w:tcMar>
                    <w:top w:w="120" w:type="dxa"/>
                    <w:left w:w="192" w:type="dxa"/>
                    <w:bottom w:w="120" w:type="dxa"/>
                    <w:right w:w="192" w:type="dxa"/>
                  </w:tcMar>
                  <w:vAlign w:val="center"/>
                </w:tcPr>
                <w:p w14:paraId="67429ACD">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≤0.05 mg/L</w:t>
                  </w:r>
                </w:p>
              </w:tc>
              <w:tc>
                <w:tcPr>
                  <w:tcW w:w="890" w:type="pct"/>
                  <w:shd w:val="clear" w:color="auto" w:fill="auto"/>
                  <w:tcMar>
                    <w:top w:w="120" w:type="dxa"/>
                    <w:left w:w="192" w:type="dxa"/>
                    <w:bottom w:w="120" w:type="dxa"/>
                    <w:right w:w="192" w:type="dxa"/>
                  </w:tcMar>
                  <w:vAlign w:val="center"/>
                </w:tcPr>
                <w:p w14:paraId="7D254127">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达标</w:t>
                  </w:r>
                </w:p>
              </w:tc>
            </w:tr>
            <w:tr w14:paraId="28C67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48" w:type="pct"/>
                  <w:shd w:val="clear" w:color="auto" w:fill="auto"/>
                  <w:tcMar>
                    <w:top w:w="120" w:type="dxa"/>
                    <w:left w:w="0" w:type="dxa"/>
                    <w:bottom w:w="120" w:type="dxa"/>
                    <w:right w:w="192" w:type="dxa"/>
                  </w:tcMar>
                  <w:vAlign w:val="center"/>
                </w:tcPr>
                <w:p w14:paraId="528F9B29">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13</w:t>
                  </w:r>
                </w:p>
              </w:tc>
              <w:tc>
                <w:tcPr>
                  <w:tcW w:w="1323" w:type="pct"/>
                  <w:shd w:val="clear" w:color="auto" w:fill="auto"/>
                  <w:tcMar>
                    <w:top w:w="120" w:type="dxa"/>
                    <w:left w:w="192" w:type="dxa"/>
                    <w:bottom w:w="120" w:type="dxa"/>
                    <w:right w:w="192" w:type="dxa"/>
                  </w:tcMar>
                  <w:vAlign w:val="center"/>
                </w:tcPr>
                <w:p w14:paraId="37E351EE">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氟化物，mg/L</w:t>
                  </w:r>
                </w:p>
              </w:tc>
              <w:tc>
                <w:tcPr>
                  <w:tcW w:w="1260" w:type="pct"/>
                  <w:shd w:val="clear" w:color="auto" w:fill="auto"/>
                  <w:tcMar>
                    <w:top w:w="120" w:type="dxa"/>
                    <w:left w:w="192" w:type="dxa"/>
                    <w:bottom w:w="120" w:type="dxa"/>
                    <w:right w:w="192" w:type="dxa"/>
                  </w:tcMar>
                  <w:vAlign w:val="center"/>
                </w:tcPr>
                <w:p w14:paraId="62A194E8">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1.94</w:t>
                  </w:r>
                </w:p>
              </w:tc>
              <w:tc>
                <w:tcPr>
                  <w:tcW w:w="1076" w:type="pct"/>
                  <w:shd w:val="clear" w:color="auto" w:fill="auto"/>
                  <w:tcMar>
                    <w:top w:w="120" w:type="dxa"/>
                    <w:left w:w="192" w:type="dxa"/>
                    <w:bottom w:w="120" w:type="dxa"/>
                    <w:right w:w="192" w:type="dxa"/>
                  </w:tcMar>
                  <w:vAlign w:val="center"/>
                </w:tcPr>
                <w:p w14:paraId="6AD5751A">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≤10 mg/L</w:t>
                  </w:r>
                </w:p>
              </w:tc>
              <w:tc>
                <w:tcPr>
                  <w:tcW w:w="890" w:type="pct"/>
                  <w:shd w:val="clear" w:color="auto" w:fill="auto"/>
                  <w:tcMar>
                    <w:top w:w="120" w:type="dxa"/>
                    <w:left w:w="192" w:type="dxa"/>
                    <w:bottom w:w="120" w:type="dxa"/>
                    <w:right w:w="192" w:type="dxa"/>
                  </w:tcMar>
                  <w:vAlign w:val="center"/>
                </w:tcPr>
                <w:p w14:paraId="5F58D157">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达标</w:t>
                  </w:r>
                </w:p>
              </w:tc>
            </w:tr>
            <w:tr w14:paraId="08236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48" w:type="pct"/>
                  <w:shd w:val="clear" w:color="auto" w:fill="auto"/>
                  <w:tcMar>
                    <w:top w:w="120" w:type="dxa"/>
                    <w:left w:w="0" w:type="dxa"/>
                    <w:bottom w:w="120" w:type="dxa"/>
                    <w:right w:w="192" w:type="dxa"/>
                  </w:tcMar>
                  <w:vAlign w:val="center"/>
                </w:tcPr>
                <w:p w14:paraId="2123E02B">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14</w:t>
                  </w:r>
                </w:p>
              </w:tc>
              <w:tc>
                <w:tcPr>
                  <w:tcW w:w="1323" w:type="pct"/>
                  <w:shd w:val="clear" w:color="auto" w:fill="auto"/>
                  <w:tcMar>
                    <w:top w:w="120" w:type="dxa"/>
                    <w:left w:w="192" w:type="dxa"/>
                    <w:bottom w:w="120" w:type="dxa"/>
                    <w:right w:w="192" w:type="dxa"/>
                  </w:tcMar>
                  <w:vAlign w:val="center"/>
                </w:tcPr>
                <w:p w14:paraId="214F76D6">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default"/>
                      <w:color w:val="auto"/>
                      <w:sz w:val="21"/>
                      <w:szCs w:val="24"/>
                      <w:lang w:val="en-US" w:eastAsia="zh-CN"/>
                    </w:rPr>
                    <w:t>水溶性盐（%）</w:t>
                  </w:r>
                </w:p>
              </w:tc>
              <w:tc>
                <w:tcPr>
                  <w:tcW w:w="1260" w:type="pct"/>
                  <w:shd w:val="clear" w:color="auto" w:fill="auto"/>
                  <w:tcMar>
                    <w:top w:w="120" w:type="dxa"/>
                    <w:left w:w="192" w:type="dxa"/>
                    <w:bottom w:w="120" w:type="dxa"/>
                    <w:right w:w="192" w:type="dxa"/>
                  </w:tcMar>
                  <w:vAlign w:val="center"/>
                </w:tcPr>
                <w:p w14:paraId="531550F3">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1.25%</w:t>
                  </w:r>
                </w:p>
              </w:tc>
              <w:tc>
                <w:tcPr>
                  <w:tcW w:w="1076" w:type="pct"/>
                  <w:shd w:val="clear" w:color="auto" w:fill="auto"/>
                  <w:tcMar>
                    <w:top w:w="120" w:type="dxa"/>
                    <w:left w:w="192" w:type="dxa"/>
                    <w:bottom w:w="120" w:type="dxa"/>
                    <w:right w:w="192" w:type="dxa"/>
                  </w:tcMar>
                  <w:vAlign w:val="center"/>
                </w:tcPr>
                <w:p w14:paraId="5F1911AC">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5%</w:t>
                  </w:r>
                </w:p>
              </w:tc>
              <w:tc>
                <w:tcPr>
                  <w:tcW w:w="890" w:type="pct"/>
                  <w:shd w:val="clear" w:color="auto" w:fill="auto"/>
                  <w:tcMar>
                    <w:top w:w="120" w:type="dxa"/>
                    <w:left w:w="192" w:type="dxa"/>
                    <w:bottom w:w="120" w:type="dxa"/>
                    <w:right w:w="192" w:type="dxa"/>
                  </w:tcMar>
                  <w:vAlign w:val="center"/>
                </w:tcPr>
                <w:p w14:paraId="3FAE0CFD">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达标</w:t>
                  </w:r>
                </w:p>
              </w:tc>
            </w:tr>
          </w:tbl>
          <w:p w14:paraId="2BDAF662">
            <w:pPr>
              <w:keepNext w:val="0"/>
              <w:keepLines w:val="0"/>
              <w:pageBreakBefore/>
              <w:widowControl/>
              <w:suppressLineNumbers w:val="0"/>
              <w:spacing w:before="0" w:beforeLines="0" w:beforeAutospacing="0" w:after="0" w:afterLines="0" w:afterAutospacing="0"/>
              <w:ind w:left="0" w:right="0"/>
              <w:rPr>
                <w:rFonts w:hint="eastAsia"/>
                <w:color w:val="auto"/>
                <w:lang w:val="en-US" w:eastAsia="zh-CN"/>
              </w:rPr>
            </w:pPr>
            <w:r>
              <w:rPr>
                <w:rFonts w:hint="eastAsia"/>
                <w:color w:val="auto"/>
                <w:lang w:val="en-US" w:eastAsia="zh-CN"/>
              </w:rPr>
              <w:t>从上表可知，本项目使用的锂冶炼剩余物（水洗渣）较为洁净，可满足《公路路基工程利用锂渣技术规范（试行）》（DB36/T1968-2024）表1改性锂渣浸出液污染物浓度限值要求。</w:t>
            </w:r>
          </w:p>
          <w:p w14:paraId="598A63A4">
            <w:pPr>
              <w:keepNext w:val="0"/>
              <w:keepLines w:val="0"/>
              <w:pageBreakBefore/>
              <w:widowControl/>
              <w:suppressLineNumbers w:val="0"/>
              <w:spacing w:before="0" w:beforeLines="0" w:beforeAutospacing="0" w:after="0" w:afterLines="0" w:afterAutospacing="0"/>
              <w:ind w:left="0" w:right="0"/>
              <w:rPr>
                <w:rFonts w:hint="default"/>
                <w:color w:val="auto"/>
                <w:lang w:val="en-US" w:eastAsia="zh-CN"/>
              </w:rPr>
            </w:pPr>
            <w:r>
              <w:rPr>
                <w:rFonts w:hint="default"/>
                <w:color w:val="auto"/>
                <w:lang w:val="en-US" w:eastAsia="zh-CN"/>
              </w:rPr>
              <w:t>产品出厂检测。产品在出厂时需对物理性能和污染物指标进行检测，物理性能必须满足</w:t>
            </w:r>
            <w:r>
              <w:rPr>
                <w:rFonts w:hint="eastAsia"/>
                <w:color w:val="auto"/>
                <w:lang w:val="en-US" w:eastAsia="zh-CN"/>
              </w:rPr>
              <w:t>《</w:t>
            </w:r>
            <w:r>
              <w:rPr>
                <w:rFonts w:hint="default"/>
                <w:color w:val="auto"/>
                <w:lang w:val="en-US" w:eastAsia="zh-CN"/>
              </w:rPr>
              <w:t>轻集料混凝土小型空心砌块</w:t>
            </w:r>
            <w:r>
              <w:rPr>
                <w:rFonts w:hint="eastAsia"/>
                <w:color w:val="auto"/>
                <w:lang w:val="en-US" w:eastAsia="zh-CN"/>
              </w:rPr>
              <w:t>》</w:t>
            </w:r>
            <w:r>
              <w:rPr>
                <w:rFonts w:hint="default"/>
                <w:color w:val="auto"/>
                <w:lang w:val="en-US" w:eastAsia="zh-CN"/>
              </w:rPr>
              <w:t>（GB/T 15229-2011）</w:t>
            </w:r>
            <w:r>
              <w:rPr>
                <w:rFonts w:hint="eastAsia"/>
                <w:color w:val="auto"/>
                <w:lang w:val="en-US" w:eastAsia="zh-CN"/>
              </w:rPr>
              <w:t>与《</w:t>
            </w:r>
            <w:r>
              <w:rPr>
                <w:rFonts w:hint="default"/>
                <w:color w:val="auto"/>
                <w:lang w:val="en-US" w:eastAsia="zh-CN"/>
              </w:rPr>
              <w:t>混凝土质量控制标准》（GB50164-2011），产品中各污染物必须满足《水泥窑协同处置固体废物技术规范》（GB/T30760-2024）限值要求。</w:t>
            </w:r>
          </w:p>
          <w:p w14:paraId="4E2B2CFE">
            <w:pPr>
              <w:keepNext w:val="0"/>
              <w:keepLines w:val="0"/>
              <w:pageBreakBefore/>
              <w:widowControl/>
              <w:suppressLineNumbers w:val="0"/>
              <w:spacing w:before="0" w:beforeLines="0" w:beforeAutospacing="0" w:after="0" w:afterLines="0" w:afterAutospacing="0"/>
              <w:ind w:left="0" w:right="0"/>
              <w:jc w:val="center"/>
              <w:rPr>
                <w:rFonts w:hint="eastAsia"/>
                <w:color w:val="auto"/>
                <w:lang w:val="en-US" w:eastAsia="zh-CN"/>
              </w:rPr>
            </w:pPr>
            <w:r>
              <w:rPr>
                <w:rFonts w:hint="eastAsia"/>
                <w:color w:val="auto"/>
                <w:lang w:val="en-US" w:eastAsia="zh-CN"/>
              </w:rPr>
              <w:t>根据核工业二七研究所对“研硕科技锂冶炼剩余物（水洗渣）”的检测报告（见附件），本项目原料可浸出重金属含量直接满足《水泥窑协同处置固体废物技术规范》（GB/T30760-2024）限值要求，其检测结果如下表。</w:t>
            </w:r>
          </w:p>
          <w:p w14:paraId="4E9B28F8">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水洗渣检测结果与 GB/T30760-2024达标性分析</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793"/>
              <w:gridCol w:w="1951"/>
              <w:gridCol w:w="1620"/>
              <w:gridCol w:w="1581"/>
            </w:tblGrid>
            <w:tr w14:paraId="0DE38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4" w:type="pct"/>
                </w:tcPr>
                <w:p w14:paraId="58A6D9B2">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序号</w:t>
                  </w:r>
                </w:p>
              </w:tc>
              <w:tc>
                <w:tcPr>
                  <w:tcW w:w="1142" w:type="pct"/>
                </w:tcPr>
                <w:p w14:paraId="7BD9F075">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重金属元素</w:t>
                  </w:r>
                </w:p>
              </w:tc>
              <w:tc>
                <w:tcPr>
                  <w:tcW w:w="1243" w:type="pct"/>
                </w:tcPr>
                <w:p w14:paraId="0A49EE3B">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检测结果mg/L</w:t>
                  </w:r>
                </w:p>
              </w:tc>
              <w:tc>
                <w:tcPr>
                  <w:tcW w:w="1032" w:type="pct"/>
                </w:tcPr>
                <w:p w14:paraId="690349C2">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限值mg/L</w:t>
                  </w:r>
                </w:p>
              </w:tc>
              <w:tc>
                <w:tcPr>
                  <w:tcW w:w="1007" w:type="pct"/>
                </w:tcPr>
                <w:p w14:paraId="484D621D">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达标性</w:t>
                  </w:r>
                </w:p>
              </w:tc>
            </w:tr>
            <w:tr w14:paraId="3C99B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4" w:type="pct"/>
                  <w:vAlign w:val="center"/>
                </w:tcPr>
                <w:p w14:paraId="4F3A0C2A">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default"/>
                      <w:color w:val="auto"/>
                      <w:sz w:val="21"/>
                      <w:szCs w:val="24"/>
                      <w:lang w:val="en-US" w:eastAsia="zh-CN"/>
                    </w:rPr>
                    <w:t>1</w:t>
                  </w:r>
                </w:p>
              </w:tc>
              <w:tc>
                <w:tcPr>
                  <w:tcW w:w="1142" w:type="pct"/>
                  <w:vAlign w:val="center"/>
                </w:tcPr>
                <w:p w14:paraId="61E4740E">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eastAsia"/>
                      <w:color w:val="auto"/>
                      <w:sz w:val="21"/>
                      <w:szCs w:val="24"/>
                      <w:lang w:val="en-US" w:eastAsia="zh-CN"/>
                    </w:rPr>
                    <w:t>砷 (As)</w:t>
                  </w:r>
                </w:p>
              </w:tc>
              <w:tc>
                <w:tcPr>
                  <w:tcW w:w="1243" w:type="pct"/>
                  <w:vAlign w:val="center"/>
                </w:tcPr>
                <w:p w14:paraId="713D1EE3">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0.00338</w:t>
                  </w:r>
                </w:p>
              </w:tc>
              <w:tc>
                <w:tcPr>
                  <w:tcW w:w="1032" w:type="pct"/>
                  <w:vAlign w:val="center"/>
                </w:tcPr>
                <w:p w14:paraId="24725DC9">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eastAsia"/>
                      <w:color w:val="auto"/>
                      <w:sz w:val="21"/>
                      <w:szCs w:val="24"/>
                      <w:lang w:val="en-US" w:eastAsia="zh-CN"/>
                    </w:rPr>
                    <w:t>0.1</w:t>
                  </w:r>
                </w:p>
              </w:tc>
              <w:tc>
                <w:tcPr>
                  <w:tcW w:w="1007" w:type="pct"/>
                  <w:vAlign w:val="center"/>
                </w:tcPr>
                <w:p w14:paraId="2B069AE2">
                  <w:pPr>
                    <w:keepNext w:val="0"/>
                    <w:keepLines w:val="0"/>
                    <w:pageBreakBefore/>
                    <w:widowControl/>
                    <w:suppressLineNumbers w:val="0"/>
                    <w:spacing w:before="0" w:beforeAutospacing="0" w:after="0" w:afterAutospacing="0" w:line="240" w:lineRule="auto"/>
                    <w:ind w:left="0" w:leftChars="0" w:right="0" w:rightChars="0" w:firstLine="420" w:firstLineChars="200"/>
                    <w:jc w:val="center"/>
                    <w:rPr>
                      <w:rFonts w:hint="eastAsia"/>
                      <w:color w:val="auto"/>
                      <w:sz w:val="21"/>
                      <w:szCs w:val="24"/>
                      <w:lang w:val="en-US" w:eastAsia="zh-CN"/>
                    </w:rPr>
                  </w:pPr>
                  <w:r>
                    <w:rPr>
                      <w:rFonts w:hint="eastAsia"/>
                      <w:color w:val="auto"/>
                      <w:sz w:val="21"/>
                      <w:szCs w:val="24"/>
                      <w:lang w:val="en-US" w:eastAsia="zh-CN"/>
                    </w:rPr>
                    <w:t>达标</w:t>
                  </w:r>
                </w:p>
              </w:tc>
            </w:tr>
            <w:tr w14:paraId="13FE6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4" w:type="pct"/>
                  <w:vAlign w:val="center"/>
                </w:tcPr>
                <w:p w14:paraId="59D8DEBB">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default"/>
                      <w:color w:val="auto"/>
                      <w:sz w:val="21"/>
                      <w:szCs w:val="24"/>
                      <w:lang w:val="en-US" w:eastAsia="zh-CN"/>
                    </w:rPr>
                    <w:t>2</w:t>
                  </w:r>
                </w:p>
              </w:tc>
              <w:tc>
                <w:tcPr>
                  <w:tcW w:w="1142" w:type="pct"/>
                  <w:vAlign w:val="center"/>
                </w:tcPr>
                <w:p w14:paraId="4B8950E0">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eastAsia"/>
                      <w:color w:val="auto"/>
                      <w:sz w:val="21"/>
                      <w:szCs w:val="24"/>
                      <w:lang w:val="en-US" w:eastAsia="zh-CN"/>
                    </w:rPr>
                    <w:t>铅 (Pb)</w:t>
                  </w:r>
                </w:p>
              </w:tc>
              <w:tc>
                <w:tcPr>
                  <w:tcW w:w="1243" w:type="pct"/>
                  <w:vAlign w:val="center"/>
                </w:tcPr>
                <w:p w14:paraId="66068FAC">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0.0042</w:t>
                  </w:r>
                </w:p>
              </w:tc>
              <w:tc>
                <w:tcPr>
                  <w:tcW w:w="1032" w:type="pct"/>
                  <w:vAlign w:val="center"/>
                </w:tcPr>
                <w:p w14:paraId="5415B254">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eastAsia"/>
                      <w:color w:val="auto"/>
                      <w:sz w:val="21"/>
                      <w:szCs w:val="24"/>
                      <w:lang w:val="en-US" w:eastAsia="zh-CN"/>
                    </w:rPr>
                    <w:t>0.3</w:t>
                  </w:r>
                </w:p>
              </w:tc>
              <w:tc>
                <w:tcPr>
                  <w:tcW w:w="1007" w:type="pct"/>
                  <w:vAlign w:val="center"/>
                </w:tcPr>
                <w:p w14:paraId="24CB4371">
                  <w:pPr>
                    <w:keepNext w:val="0"/>
                    <w:keepLines w:val="0"/>
                    <w:pageBreakBefore/>
                    <w:widowControl/>
                    <w:suppressLineNumbers w:val="0"/>
                    <w:spacing w:before="0" w:beforeAutospacing="0" w:after="0" w:afterAutospacing="0" w:line="240" w:lineRule="auto"/>
                    <w:ind w:left="0" w:leftChars="0" w:right="0" w:rightChars="0" w:firstLine="420" w:firstLineChars="200"/>
                    <w:jc w:val="center"/>
                    <w:rPr>
                      <w:rFonts w:hint="eastAsia"/>
                      <w:color w:val="auto"/>
                      <w:sz w:val="21"/>
                      <w:szCs w:val="24"/>
                      <w:lang w:val="en-US" w:eastAsia="zh-CN"/>
                    </w:rPr>
                  </w:pPr>
                  <w:r>
                    <w:rPr>
                      <w:rFonts w:hint="eastAsia"/>
                      <w:color w:val="auto"/>
                      <w:sz w:val="21"/>
                      <w:szCs w:val="24"/>
                      <w:lang w:val="en-US" w:eastAsia="zh-CN"/>
                    </w:rPr>
                    <w:t>达标</w:t>
                  </w:r>
                </w:p>
              </w:tc>
            </w:tr>
            <w:tr w14:paraId="2ADD1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4" w:type="pct"/>
                  <w:vAlign w:val="center"/>
                </w:tcPr>
                <w:p w14:paraId="1BFE7CC0">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default"/>
                      <w:color w:val="auto"/>
                      <w:sz w:val="21"/>
                      <w:szCs w:val="24"/>
                      <w:lang w:val="en-US" w:eastAsia="zh-CN"/>
                    </w:rPr>
                    <w:t>3</w:t>
                  </w:r>
                </w:p>
              </w:tc>
              <w:tc>
                <w:tcPr>
                  <w:tcW w:w="1142" w:type="pct"/>
                  <w:vAlign w:val="center"/>
                </w:tcPr>
                <w:p w14:paraId="195FC0DA">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eastAsia"/>
                      <w:color w:val="auto"/>
                      <w:sz w:val="21"/>
                      <w:szCs w:val="24"/>
                      <w:lang w:val="en-US" w:eastAsia="zh-CN"/>
                    </w:rPr>
                    <w:t>镉 (Cd)</w:t>
                  </w:r>
                </w:p>
              </w:tc>
              <w:tc>
                <w:tcPr>
                  <w:tcW w:w="1243" w:type="pct"/>
                  <w:vAlign w:val="center"/>
                </w:tcPr>
                <w:p w14:paraId="43A35E42">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0.0012</w:t>
                  </w:r>
                </w:p>
              </w:tc>
              <w:tc>
                <w:tcPr>
                  <w:tcW w:w="1032" w:type="pct"/>
                  <w:vAlign w:val="center"/>
                </w:tcPr>
                <w:p w14:paraId="67165356">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eastAsia"/>
                      <w:color w:val="auto"/>
                      <w:sz w:val="21"/>
                      <w:szCs w:val="24"/>
                      <w:lang w:val="en-US" w:eastAsia="zh-CN"/>
                    </w:rPr>
                    <w:t>0.03</w:t>
                  </w:r>
                </w:p>
              </w:tc>
              <w:tc>
                <w:tcPr>
                  <w:tcW w:w="1007" w:type="pct"/>
                  <w:vAlign w:val="center"/>
                </w:tcPr>
                <w:p w14:paraId="49EB3B44">
                  <w:pPr>
                    <w:keepNext w:val="0"/>
                    <w:keepLines w:val="0"/>
                    <w:pageBreakBefore/>
                    <w:widowControl/>
                    <w:suppressLineNumbers w:val="0"/>
                    <w:spacing w:before="0" w:beforeAutospacing="0" w:after="0" w:afterAutospacing="0" w:line="240" w:lineRule="auto"/>
                    <w:ind w:left="0" w:leftChars="0" w:right="0" w:rightChars="0" w:firstLine="420" w:firstLineChars="200"/>
                    <w:jc w:val="center"/>
                    <w:rPr>
                      <w:rFonts w:hint="eastAsia"/>
                      <w:color w:val="auto"/>
                      <w:sz w:val="21"/>
                      <w:szCs w:val="24"/>
                      <w:lang w:val="en-US" w:eastAsia="zh-CN"/>
                    </w:rPr>
                  </w:pPr>
                  <w:r>
                    <w:rPr>
                      <w:rFonts w:hint="eastAsia"/>
                      <w:color w:val="auto"/>
                      <w:sz w:val="21"/>
                      <w:szCs w:val="24"/>
                      <w:lang w:val="en-US" w:eastAsia="zh-CN"/>
                    </w:rPr>
                    <w:t>达标</w:t>
                  </w:r>
                </w:p>
              </w:tc>
            </w:tr>
            <w:tr w14:paraId="6A706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4" w:type="pct"/>
                  <w:vAlign w:val="center"/>
                </w:tcPr>
                <w:p w14:paraId="7BFE9E0D">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default"/>
                      <w:color w:val="auto"/>
                      <w:sz w:val="21"/>
                      <w:szCs w:val="24"/>
                      <w:lang w:val="en-US" w:eastAsia="zh-CN"/>
                    </w:rPr>
                    <w:t>4</w:t>
                  </w:r>
                </w:p>
              </w:tc>
              <w:tc>
                <w:tcPr>
                  <w:tcW w:w="1142" w:type="pct"/>
                  <w:vAlign w:val="center"/>
                </w:tcPr>
                <w:p w14:paraId="429CDF62">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eastAsia"/>
                      <w:color w:val="auto"/>
                      <w:sz w:val="21"/>
                      <w:szCs w:val="24"/>
                      <w:lang w:val="en-US" w:eastAsia="zh-CN"/>
                    </w:rPr>
                    <w:t>铬 (Cr)</w:t>
                  </w:r>
                </w:p>
              </w:tc>
              <w:tc>
                <w:tcPr>
                  <w:tcW w:w="1243" w:type="pct"/>
                  <w:vAlign w:val="center"/>
                </w:tcPr>
                <w:p w14:paraId="2C408C1A">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0.0875</w:t>
                  </w:r>
                </w:p>
              </w:tc>
              <w:tc>
                <w:tcPr>
                  <w:tcW w:w="1032" w:type="pct"/>
                  <w:vAlign w:val="center"/>
                </w:tcPr>
                <w:p w14:paraId="6C949CA7">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eastAsia"/>
                      <w:color w:val="auto"/>
                      <w:sz w:val="21"/>
                      <w:szCs w:val="24"/>
                      <w:lang w:val="en-US" w:eastAsia="zh-CN"/>
                    </w:rPr>
                    <w:t>0.2</w:t>
                  </w:r>
                </w:p>
              </w:tc>
              <w:tc>
                <w:tcPr>
                  <w:tcW w:w="1007" w:type="pct"/>
                  <w:vAlign w:val="center"/>
                </w:tcPr>
                <w:p w14:paraId="418764A6">
                  <w:pPr>
                    <w:keepNext w:val="0"/>
                    <w:keepLines w:val="0"/>
                    <w:pageBreakBefore/>
                    <w:widowControl/>
                    <w:suppressLineNumbers w:val="0"/>
                    <w:spacing w:before="0" w:beforeAutospacing="0" w:after="0" w:afterAutospacing="0" w:line="240" w:lineRule="auto"/>
                    <w:ind w:left="0" w:leftChars="0" w:right="0" w:rightChars="0" w:firstLine="420" w:firstLineChars="200"/>
                    <w:jc w:val="center"/>
                    <w:rPr>
                      <w:rFonts w:hint="eastAsia"/>
                      <w:color w:val="auto"/>
                      <w:sz w:val="21"/>
                      <w:szCs w:val="24"/>
                      <w:lang w:val="en-US" w:eastAsia="zh-CN"/>
                    </w:rPr>
                  </w:pPr>
                  <w:r>
                    <w:rPr>
                      <w:rFonts w:hint="eastAsia"/>
                      <w:color w:val="auto"/>
                      <w:sz w:val="21"/>
                      <w:szCs w:val="24"/>
                      <w:lang w:val="en-US" w:eastAsia="zh-CN"/>
                    </w:rPr>
                    <w:t>达标</w:t>
                  </w:r>
                </w:p>
              </w:tc>
            </w:tr>
            <w:tr w14:paraId="5EA53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4" w:type="pct"/>
                  <w:vAlign w:val="center"/>
                </w:tcPr>
                <w:p w14:paraId="49952BA3">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default"/>
                      <w:color w:val="auto"/>
                      <w:sz w:val="21"/>
                      <w:szCs w:val="24"/>
                      <w:lang w:val="en-US" w:eastAsia="zh-CN"/>
                    </w:rPr>
                    <w:t>5</w:t>
                  </w:r>
                </w:p>
              </w:tc>
              <w:tc>
                <w:tcPr>
                  <w:tcW w:w="1142" w:type="pct"/>
                  <w:vAlign w:val="center"/>
                </w:tcPr>
                <w:p w14:paraId="11097089">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eastAsia"/>
                      <w:color w:val="auto"/>
                      <w:sz w:val="21"/>
                      <w:szCs w:val="24"/>
                      <w:lang w:val="en-US" w:eastAsia="zh-CN"/>
                    </w:rPr>
                    <w:t>铜 (Cu)</w:t>
                  </w:r>
                </w:p>
              </w:tc>
              <w:tc>
                <w:tcPr>
                  <w:tcW w:w="1243" w:type="pct"/>
                  <w:vAlign w:val="center"/>
                </w:tcPr>
                <w:p w14:paraId="5601412D">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0.0072</w:t>
                  </w:r>
                </w:p>
              </w:tc>
              <w:tc>
                <w:tcPr>
                  <w:tcW w:w="1032" w:type="pct"/>
                  <w:vAlign w:val="center"/>
                </w:tcPr>
                <w:p w14:paraId="2BAEA723">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eastAsia"/>
                      <w:color w:val="auto"/>
                      <w:sz w:val="21"/>
                      <w:szCs w:val="24"/>
                      <w:lang w:val="en-US" w:eastAsia="zh-CN"/>
                    </w:rPr>
                    <w:t>1.0</w:t>
                  </w:r>
                </w:p>
              </w:tc>
              <w:tc>
                <w:tcPr>
                  <w:tcW w:w="1007" w:type="pct"/>
                  <w:vAlign w:val="center"/>
                </w:tcPr>
                <w:p w14:paraId="44BB7559">
                  <w:pPr>
                    <w:keepNext w:val="0"/>
                    <w:keepLines w:val="0"/>
                    <w:pageBreakBefore/>
                    <w:widowControl/>
                    <w:suppressLineNumbers w:val="0"/>
                    <w:spacing w:before="0" w:beforeAutospacing="0" w:after="0" w:afterAutospacing="0" w:line="240" w:lineRule="auto"/>
                    <w:ind w:left="0" w:leftChars="0" w:right="0" w:rightChars="0" w:firstLine="420" w:firstLineChars="200"/>
                    <w:jc w:val="center"/>
                    <w:rPr>
                      <w:rFonts w:hint="eastAsia"/>
                      <w:color w:val="auto"/>
                      <w:sz w:val="21"/>
                      <w:szCs w:val="24"/>
                      <w:lang w:val="en-US" w:eastAsia="zh-CN"/>
                    </w:rPr>
                  </w:pPr>
                  <w:r>
                    <w:rPr>
                      <w:rFonts w:hint="eastAsia"/>
                      <w:color w:val="auto"/>
                      <w:sz w:val="21"/>
                      <w:szCs w:val="24"/>
                      <w:lang w:val="en-US" w:eastAsia="zh-CN"/>
                    </w:rPr>
                    <w:t>达标</w:t>
                  </w:r>
                </w:p>
              </w:tc>
            </w:tr>
            <w:tr w14:paraId="55B46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4" w:type="pct"/>
                  <w:vAlign w:val="center"/>
                </w:tcPr>
                <w:p w14:paraId="3818BC5A">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default"/>
                      <w:color w:val="auto"/>
                      <w:sz w:val="21"/>
                      <w:szCs w:val="24"/>
                      <w:lang w:val="en-US" w:eastAsia="zh-CN"/>
                    </w:rPr>
                    <w:t>6</w:t>
                  </w:r>
                </w:p>
              </w:tc>
              <w:tc>
                <w:tcPr>
                  <w:tcW w:w="1142" w:type="pct"/>
                  <w:vAlign w:val="center"/>
                </w:tcPr>
                <w:p w14:paraId="768F0F14">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eastAsia"/>
                      <w:color w:val="auto"/>
                      <w:sz w:val="21"/>
                      <w:szCs w:val="24"/>
                      <w:lang w:val="en-US" w:eastAsia="zh-CN"/>
                    </w:rPr>
                    <w:t>镍 (Ni)</w:t>
                  </w:r>
                </w:p>
              </w:tc>
              <w:tc>
                <w:tcPr>
                  <w:tcW w:w="1243" w:type="pct"/>
                  <w:vAlign w:val="center"/>
                </w:tcPr>
                <w:p w14:paraId="0AF80712">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0.0038</w:t>
                  </w:r>
                </w:p>
              </w:tc>
              <w:tc>
                <w:tcPr>
                  <w:tcW w:w="1032" w:type="pct"/>
                  <w:vAlign w:val="center"/>
                </w:tcPr>
                <w:p w14:paraId="57DA8832">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eastAsia"/>
                      <w:color w:val="auto"/>
                      <w:sz w:val="21"/>
                      <w:szCs w:val="24"/>
                      <w:lang w:val="en-US" w:eastAsia="zh-CN"/>
                    </w:rPr>
                    <w:t>0.2</w:t>
                  </w:r>
                </w:p>
              </w:tc>
              <w:tc>
                <w:tcPr>
                  <w:tcW w:w="1007" w:type="pct"/>
                  <w:vAlign w:val="center"/>
                </w:tcPr>
                <w:p w14:paraId="749AE039">
                  <w:pPr>
                    <w:keepNext w:val="0"/>
                    <w:keepLines w:val="0"/>
                    <w:pageBreakBefore/>
                    <w:widowControl/>
                    <w:suppressLineNumbers w:val="0"/>
                    <w:spacing w:before="0" w:beforeAutospacing="0" w:after="0" w:afterAutospacing="0" w:line="240" w:lineRule="auto"/>
                    <w:ind w:left="0" w:leftChars="0" w:right="0" w:rightChars="0" w:firstLine="420" w:firstLineChars="200"/>
                    <w:jc w:val="center"/>
                    <w:rPr>
                      <w:rFonts w:hint="eastAsia"/>
                      <w:color w:val="auto"/>
                      <w:sz w:val="21"/>
                      <w:szCs w:val="24"/>
                      <w:lang w:val="en-US" w:eastAsia="zh-CN"/>
                    </w:rPr>
                  </w:pPr>
                  <w:r>
                    <w:rPr>
                      <w:rFonts w:hint="eastAsia"/>
                      <w:color w:val="auto"/>
                      <w:sz w:val="21"/>
                      <w:szCs w:val="24"/>
                      <w:lang w:val="en-US" w:eastAsia="zh-CN"/>
                    </w:rPr>
                    <w:t>达标</w:t>
                  </w:r>
                </w:p>
              </w:tc>
            </w:tr>
            <w:tr w14:paraId="1A4E9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4" w:type="pct"/>
                  <w:vAlign w:val="center"/>
                </w:tcPr>
                <w:p w14:paraId="7680E0F4">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default"/>
                      <w:color w:val="auto"/>
                      <w:sz w:val="21"/>
                      <w:szCs w:val="24"/>
                      <w:lang w:val="en-US" w:eastAsia="zh-CN"/>
                    </w:rPr>
                    <w:t>7</w:t>
                  </w:r>
                </w:p>
              </w:tc>
              <w:tc>
                <w:tcPr>
                  <w:tcW w:w="1142" w:type="pct"/>
                  <w:vAlign w:val="center"/>
                </w:tcPr>
                <w:p w14:paraId="16266159">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eastAsia"/>
                      <w:color w:val="auto"/>
                      <w:sz w:val="21"/>
                      <w:szCs w:val="24"/>
                      <w:lang w:val="en-US" w:eastAsia="zh-CN"/>
                    </w:rPr>
                    <w:t>锌 (Zn)</w:t>
                  </w:r>
                </w:p>
              </w:tc>
              <w:tc>
                <w:tcPr>
                  <w:tcW w:w="1243" w:type="pct"/>
                  <w:vAlign w:val="center"/>
                </w:tcPr>
                <w:p w14:paraId="7E3523D3">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0.0064</w:t>
                  </w:r>
                </w:p>
              </w:tc>
              <w:tc>
                <w:tcPr>
                  <w:tcW w:w="1032" w:type="pct"/>
                  <w:vAlign w:val="center"/>
                </w:tcPr>
                <w:p w14:paraId="778C0426">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eastAsia"/>
                      <w:color w:val="auto"/>
                      <w:sz w:val="21"/>
                      <w:szCs w:val="24"/>
                      <w:lang w:val="en-US" w:eastAsia="zh-CN"/>
                    </w:rPr>
                  </w:pPr>
                  <w:r>
                    <w:rPr>
                      <w:rFonts w:hint="eastAsia"/>
                      <w:color w:val="auto"/>
                      <w:sz w:val="21"/>
                      <w:szCs w:val="24"/>
                      <w:lang w:val="en-US" w:eastAsia="zh-CN"/>
                    </w:rPr>
                    <w:t>1.0</w:t>
                  </w:r>
                </w:p>
              </w:tc>
              <w:tc>
                <w:tcPr>
                  <w:tcW w:w="1007" w:type="pct"/>
                  <w:vAlign w:val="center"/>
                </w:tcPr>
                <w:p w14:paraId="59BD28A3">
                  <w:pPr>
                    <w:keepNext w:val="0"/>
                    <w:keepLines w:val="0"/>
                    <w:pageBreakBefore/>
                    <w:widowControl/>
                    <w:suppressLineNumbers w:val="0"/>
                    <w:spacing w:before="0" w:beforeAutospacing="0" w:after="0" w:afterAutospacing="0" w:line="240" w:lineRule="auto"/>
                    <w:ind w:left="0" w:leftChars="0" w:right="0" w:rightChars="0" w:firstLine="420" w:firstLineChars="200"/>
                    <w:jc w:val="center"/>
                    <w:rPr>
                      <w:rFonts w:hint="eastAsia"/>
                      <w:color w:val="auto"/>
                      <w:sz w:val="21"/>
                      <w:szCs w:val="24"/>
                      <w:lang w:val="en-US" w:eastAsia="zh-CN"/>
                    </w:rPr>
                  </w:pPr>
                  <w:r>
                    <w:rPr>
                      <w:rFonts w:hint="eastAsia"/>
                      <w:color w:val="auto"/>
                      <w:sz w:val="21"/>
                      <w:szCs w:val="24"/>
                      <w:lang w:val="en-US" w:eastAsia="zh-CN"/>
                    </w:rPr>
                    <w:t>达标</w:t>
                  </w:r>
                </w:p>
              </w:tc>
            </w:tr>
            <w:tr w14:paraId="24591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4" w:type="pct"/>
                  <w:vAlign w:val="center"/>
                </w:tcPr>
                <w:p w14:paraId="5451B92C">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8</w:t>
                  </w:r>
                </w:p>
              </w:tc>
              <w:tc>
                <w:tcPr>
                  <w:tcW w:w="1142" w:type="pct"/>
                  <w:vAlign w:val="center"/>
                </w:tcPr>
                <w:p w14:paraId="2C48946D">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锰（Mn）</w:t>
                  </w:r>
                </w:p>
              </w:tc>
              <w:tc>
                <w:tcPr>
                  <w:tcW w:w="1243" w:type="pct"/>
                  <w:vAlign w:val="center"/>
                </w:tcPr>
                <w:p w14:paraId="3073E6CF">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0.0036</w:t>
                  </w:r>
                </w:p>
              </w:tc>
              <w:tc>
                <w:tcPr>
                  <w:tcW w:w="1032" w:type="pct"/>
                  <w:vAlign w:val="center"/>
                </w:tcPr>
                <w:p w14:paraId="6B88231D">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color w:val="auto"/>
                      <w:sz w:val="21"/>
                      <w:szCs w:val="24"/>
                      <w:lang w:val="en-US" w:eastAsia="zh-CN"/>
                    </w:rPr>
                  </w:pPr>
                  <w:r>
                    <w:rPr>
                      <w:rFonts w:hint="eastAsia"/>
                      <w:color w:val="auto"/>
                      <w:sz w:val="21"/>
                      <w:szCs w:val="24"/>
                      <w:lang w:val="en-US" w:eastAsia="zh-CN"/>
                    </w:rPr>
                    <w:t>1.0</w:t>
                  </w:r>
                </w:p>
              </w:tc>
              <w:tc>
                <w:tcPr>
                  <w:tcW w:w="1007" w:type="pct"/>
                  <w:vAlign w:val="center"/>
                </w:tcPr>
                <w:p w14:paraId="55C4E3DC">
                  <w:pPr>
                    <w:keepNext w:val="0"/>
                    <w:keepLines w:val="0"/>
                    <w:pageBreakBefore/>
                    <w:widowControl/>
                    <w:suppressLineNumbers w:val="0"/>
                    <w:spacing w:before="0" w:beforeAutospacing="0" w:after="0" w:afterAutospacing="0" w:line="240" w:lineRule="auto"/>
                    <w:ind w:left="0" w:leftChars="0" w:right="0" w:rightChars="0" w:firstLine="420" w:firstLineChars="200"/>
                    <w:jc w:val="center"/>
                    <w:rPr>
                      <w:rFonts w:hint="eastAsia"/>
                      <w:color w:val="auto"/>
                      <w:sz w:val="21"/>
                      <w:szCs w:val="24"/>
                      <w:lang w:val="en-US" w:eastAsia="zh-CN"/>
                    </w:rPr>
                  </w:pPr>
                  <w:r>
                    <w:rPr>
                      <w:rFonts w:hint="eastAsia"/>
                      <w:color w:val="auto"/>
                      <w:sz w:val="21"/>
                      <w:szCs w:val="24"/>
                      <w:lang w:val="en-US" w:eastAsia="zh-CN"/>
                    </w:rPr>
                    <w:t>达标</w:t>
                  </w:r>
                </w:p>
              </w:tc>
            </w:tr>
          </w:tbl>
          <w:p w14:paraId="75CECC4B">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0" w:firstLineChars="200"/>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综上，本项目通过控制原料来源，产品出厂检测等措施，可有效控制产品质量满足各相关标准要求。</w:t>
            </w:r>
          </w:p>
          <w:p w14:paraId="0D346BFB">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2" w:firstLineChars="200"/>
              <w:rPr>
                <w:rFonts w:hint="eastAsia" w:cs="Times New Roman"/>
                <w:b/>
                <w:bCs w:val="0"/>
                <w:color w:val="auto"/>
                <w:kern w:val="2"/>
                <w:sz w:val="24"/>
                <w:szCs w:val="24"/>
                <w:lang w:val="en-US" w:eastAsia="zh-CN" w:bidi="ar-SA"/>
              </w:rPr>
            </w:pPr>
            <w:r>
              <w:rPr>
                <w:rFonts w:hint="eastAsia" w:cs="Times New Roman"/>
                <w:b/>
                <w:bCs w:val="0"/>
                <w:color w:val="auto"/>
                <w:kern w:val="2"/>
                <w:sz w:val="24"/>
                <w:szCs w:val="24"/>
                <w:lang w:val="en-US" w:eastAsia="zh-CN" w:bidi="ar-SA"/>
              </w:rPr>
              <w:t>锂渣入场、生产线控制要求：</w:t>
            </w:r>
          </w:p>
          <w:p w14:paraId="0CD3CA8B">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0" w:firstLineChars="200"/>
              <w:rPr>
                <w:rFonts w:hint="default" w:cs="Times New Roman"/>
                <w:b w:val="0"/>
                <w:bCs/>
                <w:color w:val="auto"/>
                <w:kern w:val="2"/>
                <w:sz w:val="24"/>
                <w:szCs w:val="24"/>
                <w:lang w:val="en-US" w:eastAsia="zh-CN" w:bidi="ar-SA"/>
              </w:rPr>
            </w:pPr>
            <w:r>
              <w:rPr>
                <w:rFonts w:hint="default" w:ascii="Calibri" w:hAnsi="Calibri" w:cs="Calibri"/>
                <w:b w:val="0"/>
                <w:bCs/>
                <w:color w:val="auto"/>
                <w:kern w:val="2"/>
                <w:sz w:val="24"/>
                <w:szCs w:val="24"/>
                <w:lang w:val="en-US" w:eastAsia="zh-CN" w:bidi="ar-SA"/>
              </w:rPr>
              <w:t>①</w:t>
            </w:r>
            <w:r>
              <w:rPr>
                <w:rFonts w:hint="default" w:cs="Times New Roman"/>
                <w:b w:val="0"/>
                <w:bCs/>
                <w:color w:val="auto"/>
                <w:kern w:val="2"/>
                <w:sz w:val="24"/>
                <w:szCs w:val="24"/>
                <w:lang w:val="en-US" w:eastAsia="zh-CN" w:bidi="ar-SA"/>
              </w:rPr>
              <w:t>本项目使用的锂冶炼剩余物为二次提锂企业产生的水洗渣，为一般工业固体废物，根据《固体废物分类与代码目录》（公告2024年第4号），代码为900-099-S01，（</w:t>
            </w:r>
            <w:r>
              <w:rPr>
                <w:rFonts w:hint="eastAsia" w:cs="Times New Roman"/>
                <w:b w:val="0"/>
                <w:bCs/>
                <w:color w:val="auto"/>
                <w:kern w:val="2"/>
                <w:sz w:val="24"/>
                <w:szCs w:val="24"/>
                <w:lang w:val="en-US" w:eastAsia="zh-CN" w:bidi="ar-SA"/>
              </w:rPr>
              <w:t>附件十二含水率为14%，以干基检测</w:t>
            </w:r>
            <w:r>
              <w:rPr>
                <w:rFonts w:hint="default" w:cs="Times New Roman"/>
                <w:b w:val="0"/>
                <w:bCs/>
                <w:color w:val="auto"/>
                <w:kern w:val="2"/>
                <w:sz w:val="24"/>
                <w:szCs w:val="24"/>
                <w:lang w:val="en-US" w:eastAsia="zh-CN" w:bidi="ar-SA"/>
              </w:rPr>
              <w:t>），散装堆存，主要来源于研硕科技，根据《江西研硕科技研发有限公司年50万吨锂冶炼剩余物清洁化利用项目（重大变动）环境影响报告书》及其批复要求，</w:t>
            </w:r>
          </w:p>
          <w:p w14:paraId="50DB74D3">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0" w:firstLineChars="200"/>
              <w:rPr>
                <w:rFonts w:hint="default" w:cs="Times New Roman"/>
                <w:b w:val="0"/>
                <w:bCs/>
                <w:color w:val="auto"/>
                <w:kern w:val="2"/>
                <w:sz w:val="24"/>
                <w:szCs w:val="24"/>
                <w:lang w:val="en-US" w:eastAsia="zh-CN" w:bidi="ar-SA"/>
              </w:rPr>
            </w:pPr>
            <w:r>
              <w:rPr>
                <w:rFonts w:hint="default" w:cs="Times New Roman"/>
                <w:b w:val="0"/>
                <w:bCs/>
                <w:color w:val="auto"/>
                <w:kern w:val="2"/>
                <w:sz w:val="24"/>
                <w:szCs w:val="24"/>
                <w:lang w:val="en-US" w:eastAsia="zh-CN" w:bidi="ar-SA"/>
              </w:rPr>
              <w:t>②本项目要求建设单位定期对锂渣成分进行抽检，确保本项目外购的锂渣为第I（Ⅱ）类一般工业固废，若抽检出的来料成分不属于第I（Ⅱ）类一般工业固废（或为危险废物等），应立即停止生产，拒绝接收该批次来料，同一批次中已进厂的部分要求供应方联系处置单位合理合法处置，待来料锂渣抽检达到第I类一般工业固废要求后方可入厂，不得掺杂电解质、玻璃粉等任何含锂冶炼渣。</w:t>
            </w:r>
          </w:p>
          <w:p w14:paraId="7437EB21">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0" w:firstLineChars="200"/>
              <w:rPr>
                <w:rFonts w:hint="default" w:cs="Times New Roman"/>
                <w:b w:val="0"/>
                <w:bCs/>
                <w:color w:val="auto"/>
                <w:kern w:val="2"/>
                <w:sz w:val="24"/>
                <w:szCs w:val="24"/>
                <w:lang w:val="en-US" w:eastAsia="zh-CN" w:bidi="ar-SA"/>
              </w:rPr>
            </w:pPr>
            <w:r>
              <w:rPr>
                <w:rFonts w:hint="default" w:cs="Times New Roman"/>
                <w:b w:val="0"/>
                <w:bCs/>
                <w:color w:val="auto"/>
                <w:kern w:val="2"/>
                <w:sz w:val="24"/>
                <w:szCs w:val="24"/>
                <w:lang w:val="en-US" w:eastAsia="zh-CN" w:bidi="ar-SA"/>
              </w:rPr>
              <w:t>③项目运行过程中，建设单位应要求原料供应商定期对浸出渣进行鉴别，并建立锂渣原料、利用后的锂渣、浸出渣管理台账，项目不得利用经鉴别属于危险废物的锂渣为原料。</w:t>
            </w:r>
          </w:p>
          <w:p w14:paraId="2242BAC7">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0" w:firstLineChars="200"/>
              <w:rPr>
                <w:rFonts w:hint="default" w:cs="Times New Roman"/>
                <w:b w:val="0"/>
                <w:bCs/>
                <w:color w:val="auto"/>
                <w:kern w:val="2"/>
                <w:sz w:val="24"/>
                <w:szCs w:val="24"/>
                <w:lang w:val="en-US" w:eastAsia="zh-CN" w:bidi="ar-SA"/>
              </w:rPr>
            </w:pPr>
            <w:r>
              <w:rPr>
                <w:rFonts w:hint="default" w:cs="Times New Roman"/>
                <w:b w:val="0"/>
                <w:bCs/>
                <w:color w:val="auto"/>
                <w:kern w:val="2"/>
                <w:sz w:val="24"/>
                <w:szCs w:val="24"/>
                <w:lang w:val="en-US" w:eastAsia="zh-CN" w:bidi="ar-SA"/>
              </w:rPr>
              <w:t>企业后期生产过程中根据实际情况进行原料检测。结合本项目原料成分实测数据及建设单位生产经验，结合产品质量标准，提出原料入厂要求及浸出液成分控制要求，如下表所示。</w:t>
            </w:r>
          </w:p>
          <w:p w14:paraId="655C65AC">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入厂浸出液成分控制要求</w:t>
            </w:r>
          </w:p>
          <w:tbl>
            <w:tblPr>
              <w:tblStyle w:val="2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188"/>
              <w:gridCol w:w="2376"/>
              <w:gridCol w:w="2445"/>
            </w:tblGrid>
            <w:tr w14:paraId="67AE81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7DF03C5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序号</w:t>
                  </w:r>
                </w:p>
              </w:tc>
              <w:tc>
                <w:tcPr>
                  <w:tcW w:w="2185" w:type="dxa"/>
                  <w:tcBorders>
                    <w:tl2br w:val="nil"/>
                    <w:tr2bl w:val="nil"/>
                  </w:tcBorders>
                  <w:noWrap w:val="0"/>
                  <w:vAlign w:val="center"/>
                </w:tcPr>
                <w:p w14:paraId="1CCC545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项目</w:t>
                  </w:r>
                </w:p>
              </w:tc>
              <w:tc>
                <w:tcPr>
                  <w:tcW w:w="2373" w:type="dxa"/>
                  <w:tcBorders>
                    <w:tl2br w:val="nil"/>
                    <w:tr2bl w:val="nil"/>
                  </w:tcBorders>
                  <w:noWrap w:val="0"/>
                  <w:vAlign w:val="center"/>
                </w:tcPr>
                <w:p w14:paraId="1ECB1A5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限值</w:t>
                  </w:r>
                </w:p>
              </w:tc>
              <w:tc>
                <w:tcPr>
                  <w:tcW w:w="2442" w:type="dxa"/>
                  <w:tcBorders>
                    <w:tl2br w:val="nil"/>
                    <w:tr2bl w:val="nil"/>
                  </w:tcBorders>
                  <w:noWrap w:val="0"/>
                  <w:vAlign w:val="center"/>
                </w:tcPr>
                <w:p w14:paraId="2854C75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b w:val="0"/>
                      <w:bCs/>
                      <w:color w:val="auto"/>
                      <w:kern w:val="2"/>
                      <w:sz w:val="24"/>
                      <w:szCs w:val="24"/>
                      <w:lang w:val="en-US" w:eastAsia="zh-CN" w:bidi="ar-SA"/>
                    </w:rPr>
                  </w:pPr>
                  <w:r>
                    <w:rPr>
                      <w:rFonts w:hint="default" w:ascii="Times New Roman" w:hAnsi="Times New Roman" w:eastAsia="宋体" w:cs="Times New Roman"/>
                      <w:color w:val="auto"/>
                      <w:kern w:val="0"/>
                      <w:sz w:val="21"/>
                      <w:szCs w:val="21"/>
                      <w:lang w:val="en-US" w:eastAsia="zh-CN"/>
                    </w:rPr>
                    <w:t>依据</w:t>
                  </w:r>
                </w:p>
              </w:tc>
            </w:tr>
            <w:tr w14:paraId="5CB7AE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42B37A6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w:t>
                  </w:r>
                </w:p>
              </w:tc>
              <w:tc>
                <w:tcPr>
                  <w:tcW w:w="2185" w:type="dxa"/>
                  <w:tcBorders>
                    <w:tl2br w:val="nil"/>
                    <w:tr2bl w:val="nil"/>
                  </w:tcBorders>
                  <w:noWrap w:val="0"/>
                  <w:vAlign w:val="center"/>
                </w:tcPr>
                <w:p w14:paraId="4D30549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水溶性盐</w:t>
                  </w:r>
                </w:p>
              </w:tc>
              <w:tc>
                <w:tcPr>
                  <w:tcW w:w="2373" w:type="dxa"/>
                  <w:tcBorders>
                    <w:tl2br w:val="nil"/>
                    <w:tr2bl w:val="nil"/>
                  </w:tcBorders>
                  <w:noWrap w:val="0"/>
                  <w:vAlign w:val="center"/>
                </w:tcPr>
                <w:p w14:paraId="36E1AEF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&lt;5%</w:t>
                  </w:r>
                </w:p>
              </w:tc>
              <w:tc>
                <w:tcPr>
                  <w:tcW w:w="2442" w:type="dxa"/>
                  <w:vMerge w:val="restart"/>
                  <w:tcBorders>
                    <w:tl2br w:val="nil"/>
                    <w:tr2bl w:val="nil"/>
                  </w:tcBorders>
                  <w:noWrap w:val="0"/>
                  <w:vAlign w:val="center"/>
                </w:tcPr>
                <w:p w14:paraId="0A2C56D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《公路路基工程利用锂渣技术规范（试行）》（DB36/T1968-2024）表1</w:t>
                  </w:r>
                </w:p>
              </w:tc>
            </w:tr>
            <w:tr w14:paraId="20D41B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70CED08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w:t>
                  </w:r>
                </w:p>
              </w:tc>
              <w:tc>
                <w:tcPr>
                  <w:tcW w:w="2185" w:type="dxa"/>
                  <w:tcBorders>
                    <w:tl2br w:val="nil"/>
                    <w:tr2bl w:val="nil"/>
                  </w:tcBorders>
                  <w:noWrap w:val="0"/>
                  <w:vAlign w:val="center"/>
                </w:tcPr>
                <w:p w14:paraId="4CF6D65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pH</w:t>
                  </w:r>
                </w:p>
              </w:tc>
              <w:tc>
                <w:tcPr>
                  <w:tcW w:w="2373" w:type="dxa"/>
                  <w:tcBorders>
                    <w:tl2br w:val="nil"/>
                    <w:tr2bl w:val="nil"/>
                  </w:tcBorders>
                  <w:noWrap w:val="0"/>
                  <w:vAlign w:val="center"/>
                </w:tcPr>
                <w:p w14:paraId="3E3D47D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6~9</w:t>
                  </w:r>
                </w:p>
              </w:tc>
              <w:tc>
                <w:tcPr>
                  <w:tcW w:w="2442" w:type="dxa"/>
                  <w:vMerge w:val="continue"/>
                  <w:tcBorders>
                    <w:tl2br w:val="nil"/>
                    <w:tr2bl w:val="nil"/>
                  </w:tcBorders>
                  <w:noWrap w:val="0"/>
                  <w:vAlign w:val="center"/>
                </w:tcPr>
                <w:p w14:paraId="717282E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0973EC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44FE255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w:t>
                  </w:r>
                </w:p>
              </w:tc>
              <w:tc>
                <w:tcPr>
                  <w:tcW w:w="2185" w:type="dxa"/>
                  <w:tcBorders>
                    <w:tl2br w:val="nil"/>
                    <w:tr2bl w:val="nil"/>
                  </w:tcBorders>
                  <w:noWrap w:val="0"/>
                  <w:vAlign w:val="center"/>
                </w:tcPr>
                <w:p w14:paraId="0ADDD42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总镍，mg/L</w:t>
                  </w:r>
                </w:p>
              </w:tc>
              <w:tc>
                <w:tcPr>
                  <w:tcW w:w="2373" w:type="dxa"/>
                  <w:tcBorders>
                    <w:tl2br w:val="nil"/>
                    <w:tr2bl w:val="nil"/>
                  </w:tcBorders>
                  <w:noWrap w:val="0"/>
                  <w:vAlign w:val="center"/>
                </w:tcPr>
                <w:p w14:paraId="6DAF1F6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w:t>
                  </w:r>
                </w:p>
              </w:tc>
              <w:tc>
                <w:tcPr>
                  <w:tcW w:w="2442" w:type="dxa"/>
                  <w:vMerge w:val="continue"/>
                  <w:tcBorders>
                    <w:tl2br w:val="nil"/>
                    <w:tr2bl w:val="nil"/>
                  </w:tcBorders>
                  <w:noWrap w:val="0"/>
                  <w:vAlign w:val="center"/>
                </w:tcPr>
                <w:p w14:paraId="058EF96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000C20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77E8B9C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w:t>
                  </w:r>
                </w:p>
              </w:tc>
              <w:tc>
                <w:tcPr>
                  <w:tcW w:w="2185" w:type="dxa"/>
                  <w:tcBorders>
                    <w:tl2br w:val="nil"/>
                    <w:tr2bl w:val="nil"/>
                  </w:tcBorders>
                  <w:noWrap w:val="0"/>
                  <w:vAlign w:val="center"/>
                </w:tcPr>
                <w:p w14:paraId="0FFCB3D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总铜，mg/L</w:t>
                  </w:r>
                </w:p>
              </w:tc>
              <w:tc>
                <w:tcPr>
                  <w:tcW w:w="2373" w:type="dxa"/>
                  <w:tcBorders>
                    <w:tl2br w:val="nil"/>
                    <w:tr2bl w:val="nil"/>
                  </w:tcBorders>
                  <w:noWrap w:val="0"/>
                  <w:vAlign w:val="center"/>
                </w:tcPr>
                <w:p w14:paraId="7F2387C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≤0.5</w:t>
                  </w:r>
                </w:p>
              </w:tc>
              <w:tc>
                <w:tcPr>
                  <w:tcW w:w="2442" w:type="dxa"/>
                  <w:vMerge w:val="continue"/>
                  <w:tcBorders>
                    <w:tl2br w:val="nil"/>
                    <w:tr2bl w:val="nil"/>
                  </w:tcBorders>
                  <w:noWrap w:val="0"/>
                  <w:vAlign w:val="center"/>
                </w:tcPr>
                <w:p w14:paraId="2F36363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1560CD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3738FA6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w:t>
                  </w:r>
                </w:p>
              </w:tc>
              <w:tc>
                <w:tcPr>
                  <w:tcW w:w="2185" w:type="dxa"/>
                  <w:tcBorders>
                    <w:tl2br w:val="nil"/>
                    <w:tr2bl w:val="nil"/>
                  </w:tcBorders>
                  <w:noWrap w:val="0"/>
                  <w:vAlign w:val="center"/>
                </w:tcPr>
                <w:p w14:paraId="287B653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总锌，mg/L</w:t>
                  </w:r>
                </w:p>
              </w:tc>
              <w:tc>
                <w:tcPr>
                  <w:tcW w:w="2373" w:type="dxa"/>
                  <w:tcBorders>
                    <w:tl2br w:val="nil"/>
                    <w:tr2bl w:val="nil"/>
                  </w:tcBorders>
                  <w:noWrap w:val="0"/>
                  <w:vAlign w:val="center"/>
                </w:tcPr>
                <w:p w14:paraId="77212C1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≤2.0</w:t>
                  </w:r>
                </w:p>
              </w:tc>
              <w:tc>
                <w:tcPr>
                  <w:tcW w:w="2442" w:type="dxa"/>
                  <w:vMerge w:val="continue"/>
                  <w:tcBorders>
                    <w:tl2br w:val="nil"/>
                    <w:tr2bl w:val="nil"/>
                  </w:tcBorders>
                  <w:noWrap w:val="0"/>
                  <w:vAlign w:val="center"/>
                </w:tcPr>
                <w:p w14:paraId="7D4B0A7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1567A9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39A98A4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6</w:t>
                  </w:r>
                </w:p>
              </w:tc>
              <w:tc>
                <w:tcPr>
                  <w:tcW w:w="2185" w:type="dxa"/>
                  <w:tcBorders>
                    <w:tl2br w:val="nil"/>
                    <w:tr2bl w:val="nil"/>
                  </w:tcBorders>
                  <w:noWrap w:val="0"/>
                  <w:vAlign w:val="center"/>
                </w:tcPr>
                <w:p w14:paraId="2F6FD09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总镉，mg/L</w:t>
                  </w:r>
                </w:p>
              </w:tc>
              <w:tc>
                <w:tcPr>
                  <w:tcW w:w="2373" w:type="dxa"/>
                  <w:tcBorders>
                    <w:tl2br w:val="nil"/>
                    <w:tr2bl w:val="nil"/>
                  </w:tcBorders>
                  <w:noWrap w:val="0"/>
                  <w:vAlign w:val="center"/>
                </w:tcPr>
                <w:p w14:paraId="45B4C45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≤0.1</w:t>
                  </w:r>
                </w:p>
              </w:tc>
              <w:tc>
                <w:tcPr>
                  <w:tcW w:w="2442" w:type="dxa"/>
                  <w:vMerge w:val="continue"/>
                  <w:tcBorders>
                    <w:tl2br w:val="nil"/>
                    <w:tr2bl w:val="nil"/>
                  </w:tcBorders>
                  <w:noWrap w:val="0"/>
                  <w:vAlign w:val="center"/>
                </w:tcPr>
                <w:p w14:paraId="26594C4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220E03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289D908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7</w:t>
                  </w:r>
                </w:p>
              </w:tc>
              <w:tc>
                <w:tcPr>
                  <w:tcW w:w="2185" w:type="dxa"/>
                  <w:tcBorders>
                    <w:tl2br w:val="nil"/>
                    <w:tr2bl w:val="nil"/>
                  </w:tcBorders>
                  <w:noWrap w:val="0"/>
                  <w:vAlign w:val="center"/>
                </w:tcPr>
                <w:p w14:paraId="2D6B38D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总铅，mg/L</w:t>
                  </w:r>
                </w:p>
              </w:tc>
              <w:tc>
                <w:tcPr>
                  <w:tcW w:w="2373" w:type="dxa"/>
                  <w:tcBorders>
                    <w:tl2br w:val="nil"/>
                    <w:tr2bl w:val="nil"/>
                  </w:tcBorders>
                  <w:noWrap w:val="0"/>
                  <w:vAlign w:val="center"/>
                </w:tcPr>
                <w:p w14:paraId="2DD2CF8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w:t>
                  </w:r>
                </w:p>
              </w:tc>
              <w:tc>
                <w:tcPr>
                  <w:tcW w:w="2442" w:type="dxa"/>
                  <w:vMerge w:val="continue"/>
                  <w:tcBorders>
                    <w:tl2br w:val="nil"/>
                    <w:tr2bl w:val="nil"/>
                  </w:tcBorders>
                  <w:noWrap w:val="0"/>
                  <w:vAlign w:val="center"/>
                </w:tcPr>
                <w:p w14:paraId="10B2C72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28D119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11C4D41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8</w:t>
                  </w:r>
                </w:p>
              </w:tc>
              <w:tc>
                <w:tcPr>
                  <w:tcW w:w="2185" w:type="dxa"/>
                  <w:tcBorders>
                    <w:tl2br w:val="nil"/>
                    <w:tr2bl w:val="nil"/>
                  </w:tcBorders>
                  <w:noWrap w:val="0"/>
                  <w:vAlign w:val="center"/>
                </w:tcPr>
                <w:p w14:paraId="7653F40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总铬，mg/L</w:t>
                  </w:r>
                </w:p>
              </w:tc>
              <w:tc>
                <w:tcPr>
                  <w:tcW w:w="2373" w:type="dxa"/>
                  <w:tcBorders>
                    <w:tl2br w:val="nil"/>
                    <w:tr2bl w:val="nil"/>
                  </w:tcBorders>
                  <w:noWrap w:val="0"/>
                  <w:vAlign w:val="center"/>
                </w:tcPr>
                <w:p w14:paraId="2F06214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≤1.5</w:t>
                  </w:r>
                </w:p>
              </w:tc>
              <w:tc>
                <w:tcPr>
                  <w:tcW w:w="2442" w:type="dxa"/>
                  <w:vMerge w:val="continue"/>
                  <w:tcBorders>
                    <w:tl2br w:val="nil"/>
                    <w:tr2bl w:val="nil"/>
                  </w:tcBorders>
                  <w:noWrap w:val="0"/>
                  <w:vAlign w:val="center"/>
                </w:tcPr>
                <w:p w14:paraId="11F4A33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37A3FF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63E3559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9</w:t>
                  </w:r>
                </w:p>
              </w:tc>
              <w:tc>
                <w:tcPr>
                  <w:tcW w:w="2185" w:type="dxa"/>
                  <w:tcBorders>
                    <w:tl2br w:val="nil"/>
                    <w:tr2bl w:val="nil"/>
                  </w:tcBorders>
                  <w:noWrap w:val="0"/>
                  <w:vAlign w:val="center"/>
                </w:tcPr>
                <w:p w14:paraId="376FB4C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总锰，mg/L</w:t>
                  </w:r>
                </w:p>
              </w:tc>
              <w:tc>
                <w:tcPr>
                  <w:tcW w:w="2373" w:type="dxa"/>
                  <w:tcBorders>
                    <w:tl2br w:val="nil"/>
                    <w:tr2bl w:val="nil"/>
                  </w:tcBorders>
                  <w:noWrap w:val="0"/>
                  <w:vAlign w:val="center"/>
                </w:tcPr>
                <w:p w14:paraId="10C6212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≤2.0</w:t>
                  </w:r>
                </w:p>
              </w:tc>
              <w:tc>
                <w:tcPr>
                  <w:tcW w:w="2442" w:type="dxa"/>
                  <w:vMerge w:val="continue"/>
                  <w:tcBorders>
                    <w:tl2br w:val="nil"/>
                    <w:tr2bl w:val="nil"/>
                  </w:tcBorders>
                  <w:noWrap w:val="0"/>
                  <w:vAlign w:val="center"/>
                </w:tcPr>
                <w:p w14:paraId="4B28516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6C46AB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22F75E3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w:t>
                  </w:r>
                </w:p>
              </w:tc>
              <w:tc>
                <w:tcPr>
                  <w:tcW w:w="2185" w:type="dxa"/>
                  <w:tcBorders>
                    <w:tl2br w:val="nil"/>
                    <w:tr2bl w:val="nil"/>
                  </w:tcBorders>
                  <w:noWrap w:val="0"/>
                  <w:vAlign w:val="center"/>
                </w:tcPr>
                <w:p w14:paraId="0426D1D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总银，mg/L</w:t>
                  </w:r>
                </w:p>
              </w:tc>
              <w:tc>
                <w:tcPr>
                  <w:tcW w:w="2373" w:type="dxa"/>
                  <w:tcBorders>
                    <w:tl2br w:val="nil"/>
                    <w:tr2bl w:val="nil"/>
                  </w:tcBorders>
                  <w:noWrap w:val="0"/>
                  <w:vAlign w:val="center"/>
                </w:tcPr>
                <w:p w14:paraId="58A4A16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≤0.5</w:t>
                  </w:r>
                </w:p>
              </w:tc>
              <w:tc>
                <w:tcPr>
                  <w:tcW w:w="2442" w:type="dxa"/>
                  <w:vMerge w:val="continue"/>
                  <w:tcBorders>
                    <w:tl2br w:val="nil"/>
                    <w:tr2bl w:val="nil"/>
                  </w:tcBorders>
                  <w:noWrap w:val="0"/>
                  <w:vAlign w:val="center"/>
                </w:tcPr>
                <w:p w14:paraId="2E54964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633F75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5D5AD1B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11</w:t>
                  </w:r>
                </w:p>
              </w:tc>
              <w:tc>
                <w:tcPr>
                  <w:tcW w:w="2185" w:type="dxa"/>
                  <w:tcBorders>
                    <w:tl2br w:val="nil"/>
                    <w:tr2bl w:val="nil"/>
                  </w:tcBorders>
                  <w:noWrap w:val="0"/>
                  <w:vAlign w:val="center"/>
                </w:tcPr>
                <w:p w14:paraId="34B74B0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总铍，mg/L</w:t>
                  </w:r>
                </w:p>
              </w:tc>
              <w:tc>
                <w:tcPr>
                  <w:tcW w:w="2373" w:type="dxa"/>
                  <w:tcBorders>
                    <w:tl2br w:val="nil"/>
                    <w:tr2bl w:val="nil"/>
                  </w:tcBorders>
                  <w:noWrap w:val="0"/>
                  <w:vAlign w:val="center"/>
                </w:tcPr>
                <w:p w14:paraId="67298E0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≤0.005</w:t>
                  </w:r>
                </w:p>
              </w:tc>
              <w:tc>
                <w:tcPr>
                  <w:tcW w:w="2442" w:type="dxa"/>
                  <w:vMerge w:val="continue"/>
                  <w:tcBorders>
                    <w:tl2br w:val="nil"/>
                    <w:tr2bl w:val="nil"/>
                  </w:tcBorders>
                  <w:noWrap w:val="0"/>
                  <w:vAlign w:val="center"/>
                </w:tcPr>
                <w:p w14:paraId="0F86BC3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1E7078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4DCEF21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12</w:t>
                  </w:r>
                </w:p>
              </w:tc>
              <w:tc>
                <w:tcPr>
                  <w:tcW w:w="2185" w:type="dxa"/>
                  <w:tcBorders>
                    <w:tl2br w:val="nil"/>
                    <w:tr2bl w:val="nil"/>
                  </w:tcBorders>
                  <w:noWrap w:val="0"/>
                  <w:vAlign w:val="center"/>
                </w:tcPr>
                <w:p w14:paraId="4E568E5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总铊，mg/L</w:t>
                  </w:r>
                </w:p>
              </w:tc>
              <w:tc>
                <w:tcPr>
                  <w:tcW w:w="2373" w:type="dxa"/>
                  <w:tcBorders>
                    <w:tl2br w:val="nil"/>
                    <w:tr2bl w:val="nil"/>
                  </w:tcBorders>
                  <w:noWrap w:val="0"/>
                  <w:vAlign w:val="center"/>
                </w:tcPr>
                <w:p w14:paraId="17ECFFB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≤0.005</w:t>
                  </w:r>
                </w:p>
              </w:tc>
              <w:tc>
                <w:tcPr>
                  <w:tcW w:w="2442" w:type="dxa"/>
                  <w:vMerge w:val="continue"/>
                  <w:tcBorders>
                    <w:tl2br w:val="nil"/>
                    <w:tr2bl w:val="nil"/>
                  </w:tcBorders>
                  <w:noWrap w:val="0"/>
                  <w:vAlign w:val="center"/>
                </w:tcPr>
                <w:p w14:paraId="0C2E3E7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646E0F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7C7471D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13</w:t>
                  </w:r>
                </w:p>
              </w:tc>
              <w:tc>
                <w:tcPr>
                  <w:tcW w:w="2185" w:type="dxa"/>
                  <w:tcBorders>
                    <w:tl2br w:val="nil"/>
                    <w:tr2bl w:val="nil"/>
                  </w:tcBorders>
                  <w:noWrap w:val="0"/>
                  <w:vAlign w:val="center"/>
                </w:tcPr>
                <w:p w14:paraId="4870E18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总汞，mg/L</w:t>
                  </w:r>
                </w:p>
              </w:tc>
              <w:tc>
                <w:tcPr>
                  <w:tcW w:w="2373" w:type="dxa"/>
                  <w:tcBorders>
                    <w:tl2br w:val="nil"/>
                    <w:tr2bl w:val="nil"/>
                  </w:tcBorders>
                  <w:noWrap w:val="0"/>
                  <w:vAlign w:val="center"/>
                </w:tcPr>
                <w:p w14:paraId="4981B60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≤0.05</w:t>
                  </w:r>
                </w:p>
              </w:tc>
              <w:tc>
                <w:tcPr>
                  <w:tcW w:w="2442" w:type="dxa"/>
                  <w:vMerge w:val="continue"/>
                  <w:tcBorders>
                    <w:tl2br w:val="nil"/>
                    <w:tr2bl w:val="nil"/>
                  </w:tcBorders>
                  <w:noWrap w:val="0"/>
                  <w:vAlign w:val="center"/>
                </w:tcPr>
                <w:p w14:paraId="2810045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1E53FA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5B26ED0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14</w:t>
                  </w:r>
                </w:p>
              </w:tc>
              <w:tc>
                <w:tcPr>
                  <w:tcW w:w="2185" w:type="dxa"/>
                  <w:tcBorders>
                    <w:tl2br w:val="nil"/>
                    <w:tr2bl w:val="nil"/>
                  </w:tcBorders>
                  <w:noWrap w:val="0"/>
                  <w:vAlign w:val="center"/>
                </w:tcPr>
                <w:p w14:paraId="7D54909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氟化物，mg/L</w:t>
                  </w:r>
                </w:p>
              </w:tc>
              <w:tc>
                <w:tcPr>
                  <w:tcW w:w="2373" w:type="dxa"/>
                  <w:tcBorders>
                    <w:tl2br w:val="nil"/>
                    <w:tr2bl w:val="nil"/>
                  </w:tcBorders>
                  <w:noWrap w:val="0"/>
                  <w:vAlign w:val="center"/>
                </w:tcPr>
                <w:p w14:paraId="5B91D90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w:t>
                  </w:r>
                </w:p>
              </w:tc>
              <w:tc>
                <w:tcPr>
                  <w:tcW w:w="2442" w:type="dxa"/>
                  <w:vMerge w:val="continue"/>
                  <w:tcBorders>
                    <w:tl2br w:val="nil"/>
                    <w:tr2bl w:val="nil"/>
                  </w:tcBorders>
                  <w:noWrap w:val="0"/>
                  <w:vAlign w:val="center"/>
                </w:tcPr>
                <w:p w14:paraId="119D672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357AE3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0B0166D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15</w:t>
                  </w:r>
                </w:p>
              </w:tc>
              <w:tc>
                <w:tcPr>
                  <w:tcW w:w="2185" w:type="dxa"/>
                  <w:tcBorders>
                    <w:tl2br w:val="nil"/>
                    <w:tr2bl w:val="nil"/>
                  </w:tcBorders>
                  <w:noWrap w:val="0"/>
                  <w:vAlign w:val="center"/>
                </w:tcPr>
                <w:p w14:paraId="41C8F37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硫化物，mg/L</w:t>
                  </w:r>
                </w:p>
              </w:tc>
              <w:tc>
                <w:tcPr>
                  <w:tcW w:w="2373" w:type="dxa"/>
                  <w:tcBorders>
                    <w:tl2br w:val="nil"/>
                    <w:tr2bl w:val="nil"/>
                  </w:tcBorders>
                  <w:noWrap w:val="0"/>
                  <w:vAlign w:val="center"/>
                </w:tcPr>
                <w:p w14:paraId="2728D3E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w:t>
                  </w:r>
                </w:p>
              </w:tc>
              <w:tc>
                <w:tcPr>
                  <w:tcW w:w="2442" w:type="dxa"/>
                  <w:vMerge w:val="continue"/>
                  <w:tcBorders>
                    <w:tl2br w:val="nil"/>
                    <w:tr2bl w:val="nil"/>
                  </w:tcBorders>
                  <w:noWrap w:val="0"/>
                  <w:vAlign w:val="center"/>
                </w:tcPr>
                <w:p w14:paraId="103B80B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7B72A7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0429F11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16</w:t>
                  </w:r>
                </w:p>
              </w:tc>
              <w:tc>
                <w:tcPr>
                  <w:tcW w:w="2185" w:type="dxa"/>
                  <w:tcBorders>
                    <w:tl2br w:val="nil"/>
                    <w:tr2bl w:val="nil"/>
                  </w:tcBorders>
                  <w:noWrap w:val="0"/>
                  <w:vAlign w:val="center"/>
                </w:tcPr>
                <w:p w14:paraId="49F7436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总氰化物，mg/L</w:t>
                  </w:r>
                </w:p>
              </w:tc>
              <w:tc>
                <w:tcPr>
                  <w:tcW w:w="2373" w:type="dxa"/>
                  <w:tcBorders>
                    <w:tl2br w:val="nil"/>
                    <w:tr2bl w:val="nil"/>
                  </w:tcBorders>
                  <w:noWrap w:val="0"/>
                  <w:vAlign w:val="center"/>
                </w:tcPr>
                <w:p w14:paraId="3CDABE7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≤0.5</w:t>
                  </w:r>
                </w:p>
              </w:tc>
              <w:tc>
                <w:tcPr>
                  <w:tcW w:w="2442" w:type="dxa"/>
                  <w:vMerge w:val="continue"/>
                  <w:tcBorders>
                    <w:tl2br w:val="nil"/>
                    <w:tr2bl w:val="nil"/>
                  </w:tcBorders>
                  <w:noWrap w:val="0"/>
                  <w:vAlign w:val="center"/>
                </w:tcPr>
                <w:p w14:paraId="167D005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447D59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17792A3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17</w:t>
                  </w:r>
                </w:p>
              </w:tc>
              <w:tc>
                <w:tcPr>
                  <w:tcW w:w="2185" w:type="dxa"/>
                  <w:tcBorders>
                    <w:tl2br w:val="nil"/>
                    <w:tr2bl w:val="nil"/>
                  </w:tcBorders>
                  <w:noWrap w:val="0"/>
                  <w:vAlign w:val="center"/>
                </w:tcPr>
                <w:p w14:paraId="4948A65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游离甲醛</w:t>
                  </w:r>
                </w:p>
              </w:tc>
              <w:tc>
                <w:tcPr>
                  <w:tcW w:w="2373" w:type="dxa"/>
                  <w:tcBorders>
                    <w:tl2br w:val="nil"/>
                    <w:tr2bl w:val="nil"/>
                  </w:tcBorders>
                  <w:noWrap w:val="0"/>
                  <w:vAlign w:val="center"/>
                </w:tcPr>
                <w:p w14:paraId="6C5F7D7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≤0.08mg/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p>
              </w:tc>
              <w:tc>
                <w:tcPr>
                  <w:tcW w:w="2442" w:type="dxa"/>
                  <w:vMerge w:val="restart"/>
                  <w:tcBorders>
                    <w:tl2br w:val="nil"/>
                    <w:tr2bl w:val="nil"/>
                  </w:tcBorders>
                  <w:noWrap w:val="0"/>
                  <w:vAlign w:val="center"/>
                </w:tcPr>
                <w:p w14:paraId="7506EDA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《水泥基再生材料的环境安全性检测标准》</w:t>
                  </w:r>
                  <w:r>
                    <w:rPr>
                      <w:rFonts w:hint="eastAsia" w:cs="Times New Roman"/>
                      <w:color w:val="auto"/>
                      <w:kern w:val="0"/>
                      <w:sz w:val="21"/>
                      <w:szCs w:val="21"/>
                      <w:lang w:val="en-US" w:eastAsia="zh-CN"/>
                    </w:rPr>
                    <w:t>（CECS 397 : 2015)</w:t>
                  </w:r>
                </w:p>
              </w:tc>
            </w:tr>
            <w:tr w14:paraId="4D7EDC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662BF21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18</w:t>
                  </w:r>
                </w:p>
              </w:tc>
              <w:tc>
                <w:tcPr>
                  <w:tcW w:w="2185" w:type="dxa"/>
                  <w:tcBorders>
                    <w:tl2br w:val="nil"/>
                    <w:tr2bl w:val="nil"/>
                  </w:tcBorders>
                  <w:noWrap w:val="0"/>
                  <w:vAlign w:val="center"/>
                </w:tcPr>
                <w:p w14:paraId="0D32C09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苯</w:t>
                  </w:r>
                </w:p>
              </w:tc>
              <w:tc>
                <w:tcPr>
                  <w:tcW w:w="2373" w:type="dxa"/>
                  <w:tcBorders>
                    <w:tl2br w:val="nil"/>
                    <w:tr2bl w:val="nil"/>
                  </w:tcBorders>
                  <w:noWrap w:val="0"/>
                  <w:vAlign w:val="center"/>
                </w:tcPr>
                <w:p w14:paraId="33BD4DD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≤0.03mg/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p>
              </w:tc>
              <w:tc>
                <w:tcPr>
                  <w:tcW w:w="2442" w:type="dxa"/>
                  <w:vMerge w:val="continue"/>
                  <w:tcBorders>
                    <w:tl2br w:val="nil"/>
                    <w:tr2bl w:val="nil"/>
                  </w:tcBorders>
                  <w:noWrap w:val="0"/>
                  <w:vAlign w:val="center"/>
                </w:tcPr>
                <w:p w14:paraId="55701B1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2FC91B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4DEAA18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19</w:t>
                  </w:r>
                </w:p>
              </w:tc>
              <w:tc>
                <w:tcPr>
                  <w:tcW w:w="2185" w:type="dxa"/>
                  <w:tcBorders>
                    <w:tl2br w:val="nil"/>
                    <w:tr2bl w:val="nil"/>
                  </w:tcBorders>
                  <w:noWrap w:val="0"/>
                  <w:vAlign w:val="center"/>
                </w:tcPr>
                <w:p w14:paraId="7D5E08E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总挥发性有机化合物（TVOC）</w:t>
                  </w:r>
                </w:p>
              </w:tc>
              <w:tc>
                <w:tcPr>
                  <w:tcW w:w="2373" w:type="dxa"/>
                  <w:tcBorders>
                    <w:tl2br w:val="nil"/>
                    <w:tr2bl w:val="nil"/>
                  </w:tcBorders>
                  <w:noWrap w:val="0"/>
                  <w:vAlign w:val="center"/>
                </w:tcPr>
                <w:p w14:paraId="45F4EDD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≤0.4mg/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p>
              </w:tc>
              <w:tc>
                <w:tcPr>
                  <w:tcW w:w="2442" w:type="dxa"/>
                  <w:vMerge w:val="continue"/>
                  <w:tcBorders>
                    <w:tl2br w:val="nil"/>
                    <w:tr2bl w:val="nil"/>
                  </w:tcBorders>
                  <w:noWrap w:val="0"/>
                  <w:vAlign w:val="center"/>
                </w:tcPr>
                <w:p w14:paraId="01C82AD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28EC69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466FF9F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20</w:t>
                  </w:r>
                </w:p>
              </w:tc>
              <w:tc>
                <w:tcPr>
                  <w:tcW w:w="2185" w:type="dxa"/>
                  <w:tcBorders>
                    <w:tl2br w:val="nil"/>
                    <w:tr2bl w:val="nil"/>
                  </w:tcBorders>
                  <w:noWrap w:val="0"/>
                  <w:vAlign w:val="center"/>
                </w:tcPr>
                <w:p w14:paraId="3C30211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内照射指数</w:t>
                  </w:r>
                </w:p>
                <w:p w14:paraId="30868E6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外照射指数</w:t>
                  </w:r>
                </w:p>
              </w:tc>
              <w:tc>
                <w:tcPr>
                  <w:tcW w:w="2373" w:type="dxa"/>
                  <w:tcBorders>
                    <w:tl2br w:val="nil"/>
                    <w:tr2bl w:val="nil"/>
                  </w:tcBorders>
                  <w:noWrap w:val="0"/>
                  <w:vAlign w:val="center"/>
                </w:tcPr>
                <w:p w14:paraId="28F42C2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s="Times New Roman"/>
                      <w:color w:val="auto"/>
                      <w:kern w:val="0"/>
                      <w:sz w:val="21"/>
                      <w:szCs w:val="21"/>
                      <w:lang w:val="en-US" w:eastAsia="zh-CN"/>
                    </w:rPr>
                  </w:pPr>
                  <w:r>
                    <w:rPr>
                      <w:rFonts w:hint="eastAsia" w:cs="Times New Roman"/>
                      <w:color w:val="auto"/>
                      <w:kern w:val="0"/>
                      <w:sz w:val="21"/>
                      <w:szCs w:val="21"/>
                      <w:lang w:val="en-US" w:eastAsia="zh-CN"/>
                    </w:rPr>
                    <w:t>IRa≤1.0</w:t>
                  </w:r>
                </w:p>
                <w:p w14:paraId="3265AB3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Iy≤1.0</w:t>
                  </w:r>
                </w:p>
              </w:tc>
              <w:tc>
                <w:tcPr>
                  <w:tcW w:w="2442" w:type="dxa"/>
                  <w:vMerge w:val="continue"/>
                  <w:tcBorders>
                    <w:tl2br w:val="nil"/>
                    <w:tr2bl w:val="nil"/>
                  </w:tcBorders>
                  <w:noWrap w:val="0"/>
                  <w:vAlign w:val="center"/>
                </w:tcPr>
                <w:p w14:paraId="763F89D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3E55F4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7C95EFC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21</w:t>
                  </w:r>
                </w:p>
              </w:tc>
              <w:tc>
                <w:tcPr>
                  <w:tcW w:w="2185" w:type="dxa"/>
                  <w:tcBorders>
                    <w:tl2br w:val="nil"/>
                    <w:tr2bl w:val="nil"/>
                  </w:tcBorders>
                  <w:noWrap w:val="0"/>
                  <w:vAlign w:val="center"/>
                </w:tcPr>
                <w:p w14:paraId="2636F7D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氰化物（以CN-计）</w:t>
                  </w:r>
                </w:p>
              </w:tc>
              <w:tc>
                <w:tcPr>
                  <w:tcW w:w="2373" w:type="dxa"/>
                  <w:tcBorders>
                    <w:tl2br w:val="nil"/>
                    <w:tr2bl w:val="nil"/>
                  </w:tcBorders>
                  <w:noWrap w:val="0"/>
                  <w:vAlign w:val="center"/>
                </w:tcPr>
                <w:p w14:paraId="5FB35FD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≤1.0mg/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p>
              </w:tc>
              <w:tc>
                <w:tcPr>
                  <w:tcW w:w="2442" w:type="dxa"/>
                  <w:vMerge w:val="continue"/>
                  <w:tcBorders>
                    <w:tl2br w:val="nil"/>
                    <w:tr2bl w:val="nil"/>
                  </w:tcBorders>
                  <w:noWrap w:val="0"/>
                  <w:vAlign w:val="center"/>
                </w:tcPr>
                <w:p w14:paraId="34FFB5B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727563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7072437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22</w:t>
                  </w:r>
                </w:p>
              </w:tc>
              <w:tc>
                <w:tcPr>
                  <w:tcW w:w="2185" w:type="dxa"/>
                  <w:tcBorders>
                    <w:tl2br w:val="nil"/>
                    <w:tr2bl w:val="nil"/>
                  </w:tcBorders>
                  <w:noWrap w:val="0"/>
                  <w:vAlign w:val="center"/>
                </w:tcPr>
                <w:p w14:paraId="1EB451A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氟化物（不含氟化钙）</w:t>
                  </w:r>
                </w:p>
              </w:tc>
              <w:tc>
                <w:tcPr>
                  <w:tcW w:w="2373" w:type="dxa"/>
                  <w:tcBorders>
                    <w:tl2br w:val="nil"/>
                    <w:tr2bl w:val="nil"/>
                  </w:tcBorders>
                  <w:noWrap w:val="0"/>
                  <w:vAlign w:val="center"/>
                </w:tcPr>
                <w:p w14:paraId="10783A4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≤100mg/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p>
              </w:tc>
              <w:tc>
                <w:tcPr>
                  <w:tcW w:w="2442" w:type="dxa"/>
                  <w:vMerge w:val="continue"/>
                  <w:tcBorders>
                    <w:tl2br w:val="nil"/>
                    <w:tr2bl w:val="nil"/>
                  </w:tcBorders>
                  <w:noWrap w:val="0"/>
                  <w:vAlign w:val="center"/>
                </w:tcPr>
                <w:p w14:paraId="2673852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58F042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0057062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23</w:t>
                  </w:r>
                </w:p>
              </w:tc>
              <w:tc>
                <w:tcPr>
                  <w:tcW w:w="2185" w:type="dxa"/>
                  <w:tcBorders>
                    <w:tl2br w:val="nil"/>
                    <w:tr2bl w:val="nil"/>
                  </w:tcBorders>
                  <w:noWrap w:val="0"/>
                  <w:vAlign w:val="center"/>
                </w:tcPr>
                <w:p w14:paraId="60907CF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硒（总硒）</w:t>
                  </w:r>
                </w:p>
              </w:tc>
              <w:tc>
                <w:tcPr>
                  <w:tcW w:w="2373" w:type="dxa"/>
                  <w:tcBorders>
                    <w:tl2br w:val="nil"/>
                    <w:tr2bl w:val="nil"/>
                  </w:tcBorders>
                  <w:noWrap w:val="0"/>
                  <w:vAlign w:val="center"/>
                </w:tcPr>
                <w:p w14:paraId="2A3F314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≤1.0mg/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p>
              </w:tc>
              <w:tc>
                <w:tcPr>
                  <w:tcW w:w="2442" w:type="dxa"/>
                  <w:vMerge w:val="continue"/>
                  <w:tcBorders>
                    <w:tl2br w:val="nil"/>
                    <w:tr2bl w:val="nil"/>
                  </w:tcBorders>
                  <w:noWrap w:val="0"/>
                  <w:vAlign w:val="center"/>
                </w:tcPr>
                <w:p w14:paraId="0FCE461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767FC1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7A9C578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24</w:t>
                  </w:r>
                </w:p>
              </w:tc>
              <w:tc>
                <w:tcPr>
                  <w:tcW w:w="2185" w:type="dxa"/>
                  <w:tcBorders>
                    <w:tl2br w:val="nil"/>
                    <w:tr2bl w:val="nil"/>
                  </w:tcBorders>
                  <w:noWrap w:val="0"/>
                  <w:vAlign w:val="center"/>
                </w:tcPr>
                <w:p w14:paraId="45B2B11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汞（总汞）</w:t>
                  </w:r>
                </w:p>
              </w:tc>
              <w:tc>
                <w:tcPr>
                  <w:tcW w:w="2373" w:type="dxa"/>
                  <w:tcBorders>
                    <w:tl2br w:val="nil"/>
                    <w:tr2bl w:val="nil"/>
                  </w:tcBorders>
                  <w:noWrap w:val="0"/>
                  <w:vAlign w:val="center"/>
                </w:tcPr>
                <w:p w14:paraId="0B7B6C4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≤0.02mg/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p>
              </w:tc>
              <w:tc>
                <w:tcPr>
                  <w:tcW w:w="2442" w:type="dxa"/>
                  <w:vMerge w:val="continue"/>
                  <w:tcBorders>
                    <w:tl2br w:val="nil"/>
                    <w:tr2bl w:val="nil"/>
                  </w:tcBorders>
                  <w:noWrap w:val="0"/>
                  <w:vAlign w:val="center"/>
                </w:tcPr>
                <w:p w14:paraId="33B7B93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6F4CEA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618B0D7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25</w:t>
                  </w:r>
                </w:p>
              </w:tc>
              <w:tc>
                <w:tcPr>
                  <w:tcW w:w="2185" w:type="dxa"/>
                  <w:tcBorders>
                    <w:tl2br w:val="nil"/>
                    <w:tr2bl w:val="nil"/>
                  </w:tcBorders>
                  <w:noWrap w:val="0"/>
                  <w:vAlign w:val="center"/>
                </w:tcPr>
                <w:p w14:paraId="1E61CB2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铅（总铅）</w:t>
                  </w:r>
                </w:p>
              </w:tc>
              <w:tc>
                <w:tcPr>
                  <w:tcW w:w="2373" w:type="dxa"/>
                  <w:tcBorders>
                    <w:tl2br w:val="nil"/>
                    <w:tr2bl w:val="nil"/>
                  </w:tcBorders>
                  <w:noWrap w:val="0"/>
                  <w:vAlign w:val="center"/>
                </w:tcPr>
                <w:p w14:paraId="493EF0C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≤2.0mg/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p>
              </w:tc>
              <w:tc>
                <w:tcPr>
                  <w:tcW w:w="2442" w:type="dxa"/>
                  <w:vMerge w:val="continue"/>
                  <w:tcBorders>
                    <w:tl2br w:val="nil"/>
                    <w:tr2bl w:val="nil"/>
                  </w:tcBorders>
                  <w:noWrap w:val="0"/>
                  <w:vAlign w:val="center"/>
                </w:tcPr>
                <w:p w14:paraId="0E26B1C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6F6B93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41D0D3C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26</w:t>
                  </w:r>
                </w:p>
              </w:tc>
              <w:tc>
                <w:tcPr>
                  <w:tcW w:w="2185" w:type="dxa"/>
                  <w:tcBorders>
                    <w:tl2br w:val="nil"/>
                    <w:tr2bl w:val="nil"/>
                  </w:tcBorders>
                  <w:noWrap w:val="0"/>
                  <w:vAlign w:val="center"/>
                </w:tcPr>
                <w:p w14:paraId="0D25ED2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砷（总砷）</w:t>
                  </w:r>
                </w:p>
              </w:tc>
              <w:tc>
                <w:tcPr>
                  <w:tcW w:w="2373" w:type="dxa"/>
                  <w:tcBorders>
                    <w:tl2br w:val="nil"/>
                    <w:tr2bl w:val="nil"/>
                  </w:tcBorders>
                  <w:noWrap w:val="0"/>
                  <w:vAlign w:val="center"/>
                </w:tcPr>
                <w:p w14:paraId="23EDE33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≤0.6mg/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p>
              </w:tc>
              <w:tc>
                <w:tcPr>
                  <w:tcW w:w="2442" w:type="dxa"/>
                  <w:vMerge w:val="continue"/>
                  <w:tcBorders>
                    <w:tl2br w:val="nil"/>
                    <w:tr2bl w:val="nil"/>
                  </w:tcBorders>
                  <w:noWrap w:val="0"/>
                  <w:vAlign w:val="center"/>
                </w:tcPr>
                <w:p w14:paraId="37224F6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08ED14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439DA15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27</w:t>
                  </w:r>
                </w:p>
              </w:tc>
              <w:tc>
                <w:tcPr>
                  <w:tcW w:w="2185" w:type="dxa"/>
                  <w:tcBorders>
                    <w:tl2br w:val="nil"/>
                    <w:tr2bl w:val="nil"/>
                  </w:tcBorders>
                  <w:noWrap w:val="0"/>
                  <w:vAlign w:val="center"/>
                </w:tcPr>
                <w:p w14:paraId="0A7628D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镉（总镉）</w:t>
                  </w:r>
                </w:p>
              </w:tc>
              <w:tc>
                <w:tcPr>
                  <w:tcW w:w="2373" w:type="dxa"/>
                  <w:tcBorders>
                    <w:tl2br w:val="nil"/>
                    <w:tr2bl w:val="nil"/>
                  </w:tcBorders>
                  <w:noWrap w:val="0"/>
                  <w:vAlign w:val="center"/>
                </w:tcPr>
                <w:p w14:paraId="64B879E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≤0.1mg/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p>
              </w:tc>
              <w:tc>
                <w:tcPr>
                  <w:tcW w:w="2442" w:type="dxa"/>
                  <w:vMerge w:val="continue"/>
                  <w:tcBorders>
                    <w:tl2br w:val="nil"/>
                    <w:tr2bl w:val="nil"/>
                  </w:tcBorders>
                  <w:noWrap w:val="0"/>
                  <w:vAlign w:val="center"/>
                </w:tcPr>
                <w:p w14:paraId="1622DD5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5AA2F9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tcBorders>
                    <w:tl2br w:val="nil"/>
                    <w:tr2bl w:val="nil"/>
                  </w:tcBorders>
                  <w:noWrap w:val="0"/>
                  <w:vAlign w:val="center"/>
                </w:tcPr>
                <w:p w14:paraId="2BF48B5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28</w:t>
                  </w:r>
                </w:p>
              </w:tc>
              <w:tc>
                <w:tcPr>
                  <w:tcW w:w="2185" w:type="dxa"/>
                  <w:tcBorders>
                    <w:tl2br w:val="nil"/>
                    <w:tr2bl w:val="nil"/>
                  </w:tcBorders>
                  <w:noWrap w:val="0"/>
                  <w:vAlign w:val="center"/>
                </w:tcPr>
                <w:p w14:paraId="4C34201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铬（总铬）</w:t>
                  </w:r>
                </w:p>
              </w:tc>
              <w:tc>
                <w:tcPr>
                  <w:tcW w:w="2373" w:type="dxa"/>
                  <w:tcBorders>
                    <w:tl2br w:val="nil"/>
                    <w:tr2bl w:val="nil"/>
                  </w:tcBorders>
                  <w:noWrap w:val="0"/>
                  <w:vAlign w:val="center"/>
                </w:tcPr>
                <w:p w14:paraId="2E59E7A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≤1.5mg/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p>
              </w:tc>
              <w:tc>
                <w:tcPr>
                  <w:tcW w:w="2442" w:type="dxa"/>
                  <w:vMerge w:val="continue"/>
                  <w:tcBorders>
                    <w:tl2br w:val="nil"/>
                    <w:tr2bl w:val="nil"/>
                  </w:tcBorders>
                  <w:noWrap w:val="0"/>
                  <w:vAlign w:val="center"/>
                </w:tcPr>
                <w:p w14:paraId="1FB9F0E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542EF7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850" w:type="dxa"/>
                  <w:gridSpan w:val="4"/>
                  <w:tcBorders>
                    <w:tl2br w:val="nil"/>
                    <w:tr2bl w:val="nil"/>
                  </w:tcBorders>
                  <w:noWrap w:val="0"/>
                  <w:vAlign w:val="center"/>
                </w:tcPr>
                <w:p w14:paraId="0E5DAEA9">
                  <w:pPr>
                    <w:keepNext w:val="0"/>
                    <w:keepLines w:val="0"/>
                    <w:pageBreakBefore/>
                    <w:widowControl/>
                    <w:suppressLineNumbers w:val="0"/>
                    <w:spacing w:before="0" w:beforeLines="0" w:beforeAutospacing="0" w:after="0" w:afterLines="0" w:afterAutospacing="0" w:line="360" w:lineRule="exact"/>
                    <w:ind w:left="0" w:right="0" w:firstLine="0" w:firstLineChars="0"/>
                    <w:jc w:val="left"/>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注：重复限值时从严执行</w:t>
                  </w:r>
                </w:p>
              </w:tc>
            </w:tr>
          </w:tbl>
          <w:p w14:paraId="616B5922">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项目原料质量要求</w:t>
            </w:r>
          </w:p>
          <w:tbl>
            <w:tblPr>
              <w:tblStyle w:val="113"/>
              <w:tblpPr w:vertAnchor="text" w:tblpXSpec="center" w:tblpY="1"/>
              <w:tblOverlap w:val="never"/>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448"/>
              <w:gridCol w:w="1988"/>
              <w:gridCol w:w="2407"/>
              <w:gridCol w:w="2016"/>
            </w:tblGrid>
            <w:tr w14:paraId="718525B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533" w:type="dxa"/>
                  <w:gridSpan w:val="2"/>
                  <w:tcBorders>
                    <w:tl2br w:val="nil"/>
                    <w:tr2bl w:val="nil"/>
                  </w:tcBorders>
                  <w:vAlign w:val="center"/>
                </w:tcPr>
                <w:p w14:paraId="642CEFD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项目</w:t>
                  </w:r>
                </w:p>
              </w:tc>
              <w:tc>
                <w:tcPr>
                  <w:tcW w:w="2475" w:type="dxa"/>
                  <w:tcBorders>
                    <w:tl2br w:val="nil"/>
                    <w:tr2bl w:val="nil"/>
                  </w:tcBorders>
                  <w:vAlign w:val="center"/>
                </w:tcPr>
                <w:p w14:paraId="0E3361E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指标限值</w:t>
                  </w:r>
                </w:p>
              </w:tc>
              <w:tc>
                <w:tcPr>
                  <w:tcW w:w="2072" w:type="dxa"/>
                  <w:tcBorders>
                    <w:tl2br w:val="nil"/>
                    <w:tr2bl w:val="nil"/>
                  </w:tcBorders>
                  <w:vAlign w:val="center"/>
                </w:tcPr>
                <w:p w14:paraId="7A7485F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依据</w:t>
                  </w:r>
                </w:p>
              </w:tc>
            </w:tr>
            <w:tr w14:paraId="0D44D0D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533" w:type="dxa"/>
                  <w:gridSpan w:val="2"/>
                  <w:tcBorders>
                    <w:tl2br w:val="nil"/>
                    <w:tr2bl w:val="nil"/>
                  </w:tcBorders>
                  <w:vAlign w:val="center"/>
                </w:tcPr>
                <w:p w14:paraId="6C42031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密度/（g/c</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s="Times New Roman"/>
                      <w:color w:val="auto"/>
                      <w:kern w:val="0"/>
                      <w:sz w:val="21"/>
                      <w:szCs w:val="21"/>
                      <w:lang w:val="en-US" w:eastAsia="zh-CN"/>
                    </w:rPr>
                    <w:t>）</w:t>
                  </w:r>
                  <w:r>
                    <w:rPr>
                      <w:rFonts w:hint="default" w:ascii="Times New Roman" w:hAnsi="Times New Roman" w:eastAsia="宋体" w:cs="Times New Roman"/>
                      <w:color w:val="auto"/>
                      <w:kern w:val="0"/>
                      <w:sz w:val="21"/>
                      <w:szCs w:val="21"/>
                      <w:lang w:val="en-US" w:eastAsia="zh-CN"/>
                    </w:rPr>
                    <w:t>≥</w:t>
                  </w:r>
                </w:p>
              </w:tc>
              <w:tc>
                <w:tcPr>
                  <w:tcW w:w="2475" w:type="dxa"/>
                  <w:tcBorders>
                    <w:tl2br w:val="nil"/>
                    <w:tr2bl w:val="nil"/>
                  </w:tcBorders>
                  <w:vAlign w:val="center"/>
                </w:tcPr>
                <w:p w14:paraId="7137540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2.8</w:t>
                  </w:r>
                </w:p>
              </w:tc>
              <w:tc>
                <w:tcPr>
                  <w:tcW w:w="2072" w:type="dxa"/>
                  <w:vMerge w:val="restart"/>
                  <w:tcBorders>
                    <w:tl2br w:val="nil"/>
                    <w:tr2bl w:val="nil"/>
                  </w:tcBorders>
                  <w:vAlign w:val="center"/>
                </w:tcPr>
                <w:p w14:paraId="3637BFF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《用于水泥和混凝土中的锂渣粉》（YB/T4230-2010）和《用于水泥、砂浆和混凝土中的粒化高炉矿渣粉》（GB/T18046-2017）从严执行</w:t>
                  </w:r>
                </w:p>
              </w:tc>
            </w:tr>
            <w:tr w14:paraId="0D8EED4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533" w:type="dxa"/>
                  <w:gridSpan w:val="2"/>
                  <w:tcBorders>
                    <w:tl2br w:val="nil"/>
                    <w:tr2bl w:val="nil"/>
                  </w:tcBorders>
                  <w:vAlign w:val="center"/>
                </w:tcPr>
                <w:p w14:paraId="66E64D3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比表面积/（</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kern w:val="0"/>
                      <w:sz w:val="21"/>
                      <w:szCs w:val="21"/>
                      <w:lang w:val="en-US" w:eastAsia="zh-CN"/>
                    </w:rPr>
                    <w:t>/kg）≥</w:t>
                  </w:r>
                </w:p>
              </w:tc>
              <w:tc>
                <w:tcPr>
                  <w:tcW w:w="2475" w:type="dxa"/>
                  <w:tcBorders>
                    <w:tl2br w:val="nil"/>
                    <w:tr2bl w:val="nil"/>
                  </w:tcBorders>
                  <w:vAlign w:val="center"/>
                </w:tcPr>
                <w:p w14:paraId="1EBA64E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400</w:t>
                  </w:r>
                </w:p>
              </w:tc>
              <w:tc>
                <w:tcPr>
                  <w:tcW w:w="2072" w:type="dxa"/>
                  <w:vMerge w:val="continue"/>
                  <w:tcBorders>
                    <w:tl2br w:val="nil"/>
                    <w:tr2bl w:val="nil"/>
                  </w:tcBorders>
                  <w:vAlign w:val="center"/>
                </w:tcPr>
                <w:p w14:paraId="2135162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1BA4A0C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533" w:type="dxa"/>
                  <w:gridSpan w:val="2"/>
                  <w:tcBorders>
                    <w:tl2br w:val="nil"/>
                    <w:tr2bl w:val="nil"/>
                  </w:tcBorders>
                  <w:vAlign w:val="center"/>
                </w:tcPr>
                <w:p w14:paraId="5B2B044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三氧化硫含量/%≤</w:t>
                  </w:r>
                </w:p>
              </w:tc>
              <w:tc>
                <w:tcPr>
                  <w:tcW w:w="2475" w:type="dxa"/>
                  <w:tcBorders>
                    <w:tl2br w:val="nil"/>
                    <w:tr2bl w:val="nil"/>
                  </w:tcBorders>
                  <w:vAlign w:val="center"/>
                </w:tcPr>
                <w:p w14:paraId="3BB3C23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4.0</w:t>
                  </w:r>
                </w:p>
              </w:tc>
              <w:tc>
                <w:tcPr>
                  <w:tcW w:w="2072" w:type="dxa"/>
                  <w:vMerge w:val="continue"/>
                  <w:tcBorders>
                    <w:tl2br w:val="nil"/>
                    <w:tr2bl w:val="nil"/>
                  </w:tcBorders>
                  <w:vAlign w:val="center"/>
                </w:tcPr>
                <w:p w14:paraId="206433F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7158E81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533" w:type="dxa"/>
                  <w:gridSpan w:val="2"/>
                  <w:tcBorders>
                    <w:tl2br w:val="nil"/>
                    <w:tr2bl w:val="nil"/>
                  </w:tcBorders>
                  <w:vAlign w:val="center"/>
                </w:tcPr>
                <w:p w14:paraId="66D56C7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需水量比/%≤</w:t>
                  </w:r>
                </w:p>
              </w:tc>
              <w:tc>
                <w:tcPr>
                  <w:tcW w:w="2475" w:type="dxa"/>
                  <w:tcBorders>
                    <w:tl2br w:val="nil"/>
                    <w:tr2bl w:val="nil"/>
                  </w:tcBorders>
                  <w:vAlign w:val="center"/>
                </w:tcPr>
                <w:p w14:paraId="3109AC9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115</w:t>
                  </w:r>
                </w:p>
              </w:tc>
              <w:tc>
                <w:tcPr>
                  <w:tcW w:w="2072" w:type="dxa"/>
                  <w:vMerge w:val="continue"/>
                  <w:tcBorders>
                    <w:tl2br w:val="nil"/>
                    <w:tr2bl w:val="nil"/>
                  </w:tcBorders>
                  <w:vAlign w:val="center"/>
                </w:tcPr>
                <w:p w14:paraId="69D6083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0595562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489" w:type="dxa"/>
                  <w:vMerge w:val="restart"/>
                  <w:tcBorders>
                    <w:tl2br w:val="nil"/>
                    <w:tr2bl w:val="nil"/>
                  </w:tcBorders>
                  <w:vAlign w:val="center"/>
                </w:tcPr>
                <w:p w14:paraId="2C2BAE4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活性指数</w:t>
                  </w:r>
                </w:p>
              </w:tc>
              <w:tc>
                <w:tcPr>
                  <w:tcW w:w="2044" w:type="dxa"/>
                  <w:tcBorders>
                    <w:tl2br w:val="nil"/>
                    <w:tr2bl w:val="nil"/>
                  </w:tcBorders>
                  <w:vAlign w:val="center"/>
                </w:tcPr>
                <w:p w14:paraId="35970AD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7d≥</w:t>
                  </w:r>
                </w:p>
              </w:tc>
              <w:tc>
                <w:tcPr>
                  <w:tcW w:w="2475" w:type="dxa"/>
                  <w:tcBorders>
                    <w:tl2br w:val="nil"/>
                    <w:tr2bl w:val="nil"/>
                  </w:tcBorders>
                  <w:vAlign w:val="center"/>
                </w:tcPr>
                <w:p w14:paraId="172D715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70</w:t>
                  </w:r>
                </w:p>
              </w:tc>
              <w:tc>
                <w:tcPr>
                  <w:tcW w:w="2072" w:type="dxa"/>
                  <w:vMerge w:val="continue"/>
                  <w:tcBorders>
                    <w:tl2br w:val="nil"/>
                    <w:tr2bl w:val="nil"/>
                  </w:tcBorders>
                  <w:vAlign w:val="center"/>
                </w:tcPr>
                <w:p w14:paraId="562076F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59846ED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489" w:type="dxa"/>
                  <w:vMerge w:val="continue"/>
                  <w:tcBorders>
                    <w:tl2br w:val="nil"/>
                    <w:tr2bl w:val="nil"/>
                  </w:tcBorders>
                  <w:vAlign w:val="center"/>
                </w:tcPr>
                <w:p w14:paraId="513497B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c>
                <w:tcPr>
                  <w:tcW w:w="2044" w:type="dxa"/>
                  <w:tcBorders>
                    <w:tl2br w:val="nil"/>
                    <w:tr2bl w:val="nil"/>
                  </w:tcBorders>
                  <w:vAlign w:val="center"/>
                </w:tcPr>
                <w:p w14:paraId="4F06B45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28d≥</w:t>
                  </w:r>
                </w:p>
              </w:tc>
              <w:tc>
                <w:tcPr>
                  <w:tcW w:w="2475" w:type="dxa"/>
                  <w:tcBorders>
                    <w:tl2br w:val="nil"/>
                    <w:tr2bl w:val="nil"/>
                  </w:tcBorders>
                  <w:vAlign w:val="center"/>
                </w:tcPr>
                <w:p w14:paraId="6A4BE5B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95</w:t>
                  </w:r>
                </w:p>
              </w:tc>
              <w:tc>
                <w:tcPr>
                  <w:tcW w:w="2072" w:type="dxa"/>
                  <w:vMerge w:val="continue"/>
                  <w:tcBorders>
                    <w:tl2br w:val="nil"/>
                    <w:tr2bl w:val="nil"/>
                  </w:tcBorders>
                  <w:vAlign w:val="center"/>
                </w:tcPr>
                <w:p w14:paraId="03A212F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3B6A782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533" w:type="dxa"/>
                  <w:gridSpan w:val="2"/>
                  <w:tcBorders>
                    <w:tl2br w:val="nil"/>
                    <w:tr2bl w:val="nil"/>
                  </w:tcBorders>
                  <w:vAlign w:val="center"/>
                </w:tcPr>
                <w:p w14:paraId="681BE71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水浸安定性</w:t>
                  </w:r>
                </w:p>
              </w:tc>
              <w:tc>
                <w:tcPr>
                  <w:tcW w:w="2475" w:type="dxa"/>
                  <w:tcBorders>
                    <w:tl2br w:val="nil"/>
                    <w:tr2bl w:val="nil"/>
                  </w:tcBorders>
                  <w:vAlign w:val="center"/>
                </w:tcPr>
                <w:p w14:paraId="3A571FA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合格</w:t>
                  </w:r>
                </w:p>
              </w:tc>
              <w:tc>
                <w:tcPr>
                  <w:tcW w:w="2072" w:type="dxa"/>
                  <w:vMerge w:val="continue"/>
                  <w:tcBorders>
                    <w:tl2br w:val="nil"/>
                    <w:tr2bl w:val="nil"/>
                  </w:tcBorders>
                  <w:vAlign w:val="center"/>
                </w:tcPr>
                <w:p w14:paraId="60BE2C1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01C0DF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533" w:type="dxa"/>
                  <w:gridSpan w:val="2"/>
                  <w:tcBorders>
                    <w:tl2br w:val="nil"/>
                    <w:tr2bl w:val="nil"/>
                  </w:tcBorders>
                  <w:vAlign w:val="center"/>
                </w:tcPr>
                <w:p w14:paraId="18134A2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氯离子含量/%≤</w:t>
                  </w:r>
                </w:p>
              </w:tc>
              <w:tc>
                <w:tcPr>
                  <w:tcW w:w="2475" w:type="dxa"/>
                  <w:tcBorders>
                    <w:tl2br w:val="nil"/>
                    <w:tr2bl w:val="nil"/>
                  </w:tcBorders>
                  <w:vAlign w:val="center"/>
                </w:tcPr>
                <w:p w14:paraId="4C536CF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0.06</w:t>
                  </w:r>
                </w:p>
              </w:tc>
              <w:tc>
                <w:tcPr>
                  <w:tcW w:w="2072" w:type="dxa"/>
                  <w:vMerge w:val="continue"/>
                  <w:tcBorders>
                    <w:tl2br w:val="nil"/>
                    <w:tr2bl w:val="nil"/>
                  </w:tcBorders>
                  <w:vAlign w:val="center"/>
                </w:tcPr>
                <w:p w14:paraId="5646A58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r w14:paraId="4B2CB3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533" w:type="dxa"/>
                  <w:gridSpan w:val="2"/>
                  <w:tcBorders>
                    <w:tl2br w:val="nil"/>
                    <w:tr2bl w:val="nil"/>
                  </w:tcBorders>
                  <w:vAlign w:val="center"/>
                </w:tcPr>
                <w:p w14:paraId="14FD3B7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放射性</w:t>
                  </w:r>
                </w:p>
              </w:tc>
              <w:tc>
                <w:tcPr>
                  <w:tcW w:w="2475" w:type="dxa"/>
                  <w:tcBorders>
                    <w:tl2br w:val="nil"/>
                    <w:tr2bl w:val="nil"/>
                  </w:tcBorders>
                  <w:vAlign w:val="center"/>
                </w:tcPr>
                <w:p w14:paraId="06C4500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应符合GB6566规定</w:t>
                  </w:r>
                </w:p>
              </w:tc>
              <w:tc>
                <w:tcPr>
                  <w:tcW w:w="2072" w:type="dxa"/>
                  <w:vMerge w:val="continue"/>
                  <w:tcBorders>
                    <w:tl2br w:val="nil"/>
                    <w:tr2bl w:val="nil"/>
                  </w:tcBorders>
                  <w:vAlign w:val="center"/>
                </w:tcPr>
                <w:p w14:paraId="28A2260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r>
          </w:tbl>
          <w:p w14:paraId="34A0A247">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2" w:firstLineChars="200"/>
              <w:rPr>
                <w:rFonts w:hint="default" w:ascii="Times New Roman" w:hAnsi="Times New Roman" w:cs="Times New Roman"/>
                <w:b w:val="0"/>
                <w:bCs/>
                <w:color w:val="auto"/>
                <w:kern w:val="2"/>
                <w:sz w:val="24"/>
                <w:szCs w:val="24"/>
                <w:lang w:val="en-US" w:eastAsia="zh-CN" w:bidi="ar-SA"/>
              </w:rPr>
            </w:pPr>
            <w:r>
              <w:rPr>
                <w:rFonts w:hint="default" w:ascii="Times New Roman" w:hAnsi="Times New Roman" w:cs="Times New Roman"/>
                <w:b/>
                <w:bCs w:val="0"/>
                <w:color w:val="auto"/>
                <w:kern w:val="2"/>
                <w:sz w:val="24"/>
                <w:szCs w:val="24"/>
                <w:lang w:val="en-US" w:eastAsia="zh-CN" w:bidi="ar-SA"/>
              </w:rPr>
              <w:t>包装、存储</w:t>
            </w:r>
            <w:r>
              <w:rPr>
                <w:rFonts w:hint="eastAsia" w:ascii="Times New Roman" w:hAnsi="Times New Roman" w:cs="Times New Roman"/>
                <w:b/>
                <w:bCs w:val="0"/>
                <w:color w:val="auto"/>
                <w:kern w:val="2"/>
                <w:sz w:val="24"/>
                <w:szCs w:val="24"/>
                <w:lang w:val="en-US" w:eastAsia="zh-CN" w:bidi="ar-SA"/>
              </w:rPr>
              <w:t>、检查</w:t>
            </w:r>
            <w:r>
              <w:rPr>
                <w:rFonts w:hint="default" w:ascii="Times New Roman" w:hAnsi="Times New Roman" w:cs="Times New Roman"/>
                <w:b/>
                <w:bCs w:val="0"/>
                <w:color w:val="auto"/>
                <w:kern w:val="2"/>
                <w:sz w:val="24"/>
                <w:szCs w:val="24"/>
                <w:lang w:val="en-US" w:eastAsia="zh-CN" w:bidi="ar-SA"/>
              </w:rPr>
              <w:t>设施及运输方式：</w:t>
            </w:r>
            <w:r>
              <w:rPr>
                <w:rFonts w:hint="default" w:ascii="Times New Roman" w:hAnsi="Times New Roman" w:cs="Times New Roman"/>
                <w:b w:val="0"/>
                <w:bCs/>
                <w:color w:val="auto"/>
                <w:kern w:val="2"/>
                <w:sz w:val="24"/>
                <w:szCs w:val="24"/>
                <w:lang w:val="en-US" w:eastAsia="zh-CN" w:bidi="ar-SA"/>
              </w:rPr>
              <w:t>项目原料锂渣要求袋装入场堆放。项目锂渣主要存储在厂区锂渣仓库内。产品及其他原料需与锂渣分不同车间、仓库储存。锂渣仓库：应按照防风雨，防渗漏等要求建设，参照重点防渗执行。运输方式：厂内运输以密闭传送带运输为主要周转方式，项目设置厂区内部管廊架，明管敷设给排水管、消防水管等，符合环保要求，厂内固体料的运输通过气流在密闭传送带上输送，又车、推板车为辅；厂外运输以槽车、货车为主。运输车辆全部篷布遮盖，减少运输扬尘。</w:t>
            </w:r>
          </w:p>
          <w:p w14:paraId="27D13B61">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2" w:firstLineChars="200"/>
              <w:rPr>
                <w:rFonts w:hint="default" w:ascii="Times New Roman" w:hAnsi="Times New Roman" w:cs="Times New Roman"/>
                <w:b w:val="0"/>
                <w:bCs/>
                <w:color w:val="auto"/>
                <w:kern w:val="2"/>
                <w:sz w:val="24"/>
                <w:szCs w:val="24"/>
                <w:lang w:val="en-US" w:eastAsia="zh-CN" w:bidi="ar-SA"/>
              </w:rPr>
            </w:pPr>
            <w:r>
              <w:rPr>
                <w:rFonts w:hint="default" w:ascii="Times New Roman" w:hAnsi="Times New Roman" w:cs="Times New Roman"/>
                <w:b/>
                <w:bCs w:val="0"/>
                <w:color w:val="auto"/>
                <w:kern w:val="2"/>
                <w:sz w:val="24"/>
                <w:szCs w:val="24"/>
                <w:lang w:val="en-US" w:eastAsia="zh-CN" w:bidi="ar-SA"/>
              </w:rPr>
              <w:t>运输线路：</w:t>
            </w:r>
            <w:r>
              <w:rPr>
                <w:rFonts w:hint="default" w:ascii="Times New Roman" w:hAnsi="Times New Roman" w:cs="Times New Roman"/>
                <w:b w:val="0"/>
                <w:bCs/>
                <w:color w:val="auto"/>
                <w:kern w:val="2"/>
                <w:sz w:val="24"/>
                <w:szCs w:val="24"/>
                <w:lang w:val="en-US" w:eastAsia="zh-CN" w:bidi="ar-SA"/>
              </w:rPr>
              <w:t>锂渣及产品运输路线原则上应尽量避开人员密集区、水源保护区，避开交通拥堵道路，车速适中，并选用路线短、对沿路影响小的运输路线，尽可能减少经过河流水系的次数，避免在运途中产生二次污染。运输时需配备专职人员，并制定合理的运输计划和应急预案，统筹安排运输车辆，优化车辆运输路线。运输路线应尽可能选择国道或省道，力求线路简短，与城镇集中居住区、商业区、文化区等保持一定距离，并远离饮用水源地。</w:t>
            </w:r>
          </w:p>
          <w:p w14:paraId="5B940DDD">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2" w:firstLineChars="200"/>
              <w:rPr>
                <w:rFonts w:hint="eastAsia" w:ascii="Times New Roman" w:hAnsi="Times New Roman" w:cs="Times New Roman"/>
                <w:b w:val="0"/>
                <w:bCs/>
                <w:color w:val="auto"/>
                <w:kern w:val="2"/>
                <w:sz w:val="24"/>
                <w:szCs w:val="24"/>
                <w:lang w:val="en-US" w:eastAsia="zh-CN" w:bidi="ar-SA"/>
              </w:rPr>
            </w:pPr>
            <w:r>
              <w:rPr>
                <w:rFonts w:hint="eastAsia" w:ascii="Times New Roman" w:hAnsi="Times New Roman" w:cs="Times New Roman"/>
                <w:b/>
                <w:bCs w:val="0"/>
                <w:color w:val="auto"/>
                <w:kern w:val="2"/>
                <w:sz w:val="24"/>
                <w:szCs w:val="24"/>
                <w:lang w:val="en-US" w:eastAsia="zh-CN" w:bidi="ar-SA"/>
              </w:rPr>
              <w:t>检查仪器：</w:t>
            </w:r>
            <w:r>
              <w:rPr>
                <w:rFonts w:hint="default" w:ascii="Times New Roman" w:hAnsi="Times New Roman" w:cs="Times New Roman"/>
                <w:b w:val="0"/>
                <w:bCs/>
                <w:color w:val="auto"/>
                <w:kern w:val="2"/>
                <w:sz w:val="24"/>
                <w:szCs w:val="24"/>
                <w:lang w:val="en-US" w:eastAsia="zh-CN" w:bidi="ar-SA"/>
              </w:rPr>
              <w:t>手持式LIBS分析仪</w:t>
            </w:r>
            <w:r>
              <w:rPr>
                <w:rFonts w:hint="eastAsia" w:ascii="Times New Roman" w:hAnsi="Times New Roman" w:cs="Times New Roman"/>
                <w:b w:val="0"/>
                <w:bCs/>
                <w:color w:val="auto"/>
                <w:kern w:val="2"/>
                <w:sz w:val="24"/>
                <w:szCs w:val="24"/>
                <w:lang w:val="en-US" w:eastAsia="zh-CN" w:bidi="ar-SA"/>
              </w:rPr>
              <w:t>，现场快速定性或半定量分析元素，用于原料初筛、分选或过程监控。</w:t>
            </w:r>
          </w:p>
          <w:p w14:paraId="766F2630">
            <w:pPr>
              <w:keepNext w:val="0"/>
              <w:keepLines w:val="0"/>
              <w:pageBreakBefore/>
              <w:widowControl/>
              <w:suppressLineNumbers w:val="0"/>
              <w:spacing w:before="0" w:beforeLines="0" w:beforeAutospacing="0" w:after="0" w:afterLines="0" w:afterAutospacing="0"/>
              <w:ind w:left="0" w:right="0" w:firstLine="482"/>
              <w:rPr>
                <w:rFonts w:hint="eastAsia"/>
                <w:b/>
                <w:color w:val="auto"/>
                <w:sz w:val="24"/>
                <w:szCs w:val="24"/>
              </w:rPr>
            </w:pPr>
            <w:r>
              <w:rPr>
                <w:rFonts w:hint="eastAsia"/>
                <w:b/>
                <w:color w:val="auto"/>
                <w:sz w:val="24"/>
                <w:szCs w:val="24"/>
                <w:lang w:val="en-US" w:eastAsia="zh-CN"/>
              </w:rPr>
              <w:t>7、</w:t>
            </w:r>
            <w:r>
              <w:rPr>
                <w:rFonts w:hint="eastAsia"/>
                <w:b/>
                <w:color w:val="auto"/>
                <w:sz w:val="24"/>
                <w:szCs w:val="24"/>
              </w:rPr>
              <w:t>主要生产设备</w:t>
            </w:r>
          </w:p>
          <w:p w14:paraId="494B9517">
            <w:pPr>
              <w:keepNext w:val="0"/>
              <w:keepLines w:val="0"/>
              <w:pageBreakBefore/>
              <w:widowControl/>
              <w:suppressLineNumbers w:val="0"/>
              <w:spacing w:before="0" w:beforeLines="0" w:beforeAutospacing="0" w:after="0" w:afterLines="0" w:afterAutospacing="0"/>
              <w:ind w:left="0" w:right="0"/>
              <w:rPr>
                <w:rFonts w:hint="default"/>
                <w:color w:val="auto"/>
                <w:sz w:val="24"/>
                <w:szCs w:val="24"/>
              </w:rPr>
            </w:pPr>
            <w:r>
              <w:rPr>
                <w:rFonts w:hint="eastAsia"/>
                <w:color w:val="auto"/>
                <w:sz w:val="24"/>
                <w:szCs w:val="24"/>
              </w:rPr>
              <w:t>本项目所用主要设备</w:t>
            </w:r>
            <w:r>
              <w:rPr>
                <w:rFonts w:hint="eastAsia"/>
                <w:color w:val="auto"/>
                <w:sz w:val="24"/>
                <w:szCs w:val="24"/>
                <w:lang w:eastAsia="zh-CN"/>
              </w:rPr>
              <w:t>见下</w:t>
            </w:r>
            <w:r>
              <w:rPr>
                <w:rFonts w:hint="eastAsia"/>
                <w:color w:val="auto"/>
                <w:sz w:val="24"/>
                <w:szCs w:val="24"/>
              </w:rPr>
              <w:t>表。</w:t>
            </w:r>
          </w:p>
          <w:p w14:paraId="0300BC30">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本项目主要设备一览表</w:t>
            </w:r>
          </w:p>
          <w:tbl>
            <w:tblPr>
              <w:tblStyle w:val="28"/>
              <w:tblW w:w="4984"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642"/>
              <w:gridCol w:w="1868"/>
              <w:gridCol w:w="1860"/>
              <w:gridCol w:w="2577"/>
              <w:gridCol w:w="882"/>
            </w:tblGrid>
            <w:tr w14:paraId="3FF1F38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tblHeader/>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8DBBCC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序号</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08AE30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设备名称</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BEF4C3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数量（台）</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316C01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型号</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031481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变化情况</w:t>
                  </w:r>
                </w:p>
              </w:tc>
            </w:tr>
            <w:tr w14:paraId="35C4CD9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5000" w:type="pct"/>
                  <w:gridSpan w:val="5"/>
                  <w:tcBorders>
                    <w:top w:val="single" w:color="auto" w:sz="2" w:space="0"/>
                    <w:left w:val="single" w:color="auto" w:sz="2" w:space="0"/>
                    <w:bottom w:val="single" w:color="auto" w:sz="2" w:space="0"/>
                    <w:right w:val="single" w:color="auto" w:sz="2" w:space="0"/>
                    <w:tl2br w:val="nil"/>
                    <w:tr2bl w:val="nil"/>
                  </w:tcBorders>
                  <w:noWrap w:val="0"/>
                  <w:vAlign w:val="center"/>
                </w:tcPr>
                <w:p w14:paraId="2E8CDE3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rPr>
                    <w:t>预处理</w:t>
                  </w:r>
                  <w:r>
                    <w:rPr>
                      <w:rFonts w:hint="eastAsia"/>
                      <w:color w:val="auto"/>
                      <w:kern w:val="0"/>
                      <w:sz w:val="21"/>
                      <w:szCs w:val="21"/>
                      <w:lang w:eastAsia="zh-CN"/>
                    </w:rPr>
                    <w:t>（</w:t>
                  </w:r>
                  <w:r>
                    <w:rPr>
                      <w:rFonts w:hint="eastAsia"/>
                      <w:color w:val="auto"/>
                      <w:kern w:val="0"/>
                      <w:sz w:val="21"/>
                      <w:szCs w:val="21"/>
                      <w:lang w:val="en-US" w:eastAsia="zh-CN"/>
                    </w:rPr>
                    <w:t>建筑废料）生产设备</w:t>
                  </w:r>
                </w:p>
              </w:tc>
            </w:tr>
            <w:tr w14:paraId="35B5AFA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9F1457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default"/>
                      <w:color w:val="auto"/>
                      <w:kern w:val="0"/>
                      <w:sz w:val="21"/>
                      <w:szCs w:val="21"/>
                    </w:rPr>
                    <w:t>1</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1653E1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泥石分离机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00DF03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A230AC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1240</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28B3D8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不变</w:t>
                  </w:r>
                </w:p>
              </w:tc>
            </w:tr>
            <w:tr w14:paraId="485D2EB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39C5B0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default"/>
                      <w:color w:val="auto"/>
                      <w:kern w:val="0"/>
                      <w:sz w:val="21"/>
                      <w:szCs w:val="21"/>
                    </w:rPr>
                    <w:t>2</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31B89B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颚频式破碎机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CD11C1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FEF51D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69</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E3CE94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不变</w:t>
                  </w:r>
                </w:p>
              </w:tc>
            </w:tr>
            <w:tr w14:paraId="006E0FA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52D5B7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default"/>
                      <w:color w:val="auto"/>
                      <w:kern w:val="0"/>
                      <w:sz w:val="21"/>
                      <w:szCs w:val="21"/>
                    </w:rPr>
                    <w:t>3</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C425D3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反击破碎机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C25EA1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749816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1214型</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8F6665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不变</w:t>
                  </w:r>
                </w:p>
              </w:tc>
            </w:tr>
            <w:tr w14:paraId="48A99C7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212D0C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4</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B35C64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对滚机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FE85B5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393CB2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1210</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03761C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不变</w:t>
                  </w:r>
                </w:p>
              </w:tc>
            </w:tr>
            <w:tr w14:paraId="2E0B775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E149DE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5</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C7C009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锤式破碎机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303068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F1AFA3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1214</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A462BE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不变</w:t>
                  </w:r>
                </w:p>
              </w:tc>
            </w:tr>
            <w:tr w14:paraId="578F690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E64436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6</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AA104E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振动筛选机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7B8B91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2</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84A916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2470</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5BBD94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不变</w:t>
                  </w:r>
                </w:p>
              </w:tc>
            </w:tr>
            <w:tr w14:paraId="487A16B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611621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7</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886177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给料机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019B00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4BBA75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1038</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F3AC5C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不变</w:t>
                  </w:r>
                </w:p>
              </w:tc>
            </w:tr>
            <w:tr w14:paraId="061D40C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E561CA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8</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F2D5A6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螺旋输送器</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94016C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FFDE8E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219</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264E1B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不变</w:t>
                  </w:r>
                </w:p>
              </w:tc>
            </w:tr>
            <w:tr w14:paraId="70F911B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C51438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9</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A0E4C1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振动筛（磁选机）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E54CAE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66A03A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E694B0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不变</w:t>
                  </w:r>
                </w:p>
              </w:tc>
            </w:tr>
            <w:tr w14:paraId="656CBF6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5000" w:type="pct"/>
                  <w:gridSpan w:val="5"/>
                  <w:tcBorders>
                    <w:top w:val="single" w:color="auto" w:sz="2" w:space="0"/>
                    <w:left w:val="single" w:color="auto" w:sz="2" w:space="0"/>
                    <w:bottom w:val="single" w:color="auto" w:sz="2" w:space="0"/>
                    <w:right w:val="single" w:color="auto" w:sz="2" w:space="0"/>
                    <w:tl2br w:val="nil"/>
                    <w:tr2bl w:val="nil"/>
                  </w:tcBorders>
                  <w:noWrap w:val="0"/>
                  <w:vAlign w:val="center"/>
                </w:tcPr>
                <w:p w14:paraId="440E7E9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rPr>
                    <w:t>免烧砖（环保砖）</w:t>
                  </w:r>
                  <w:r>
                    <w:rPr>
                      <w:rFonts w:hint="eastAsia" w:ascii="Times New Roman" w:hAnsi="Times New Roman" w:eastAsia="宋体" w:cs="Times New Roman"/>
                      <w:color w:val="auto"/>
                      <w:kern w:val="0"/>
                      <w:sz w:val="21"/>
                      <w:szCs w:val="21"/>
                      <w:lang w:val="en-US" w:eastAsia="zh-CN"/>
                    </w:rPr>
                    <w:t>生产设备</w:t>
                  </w:r>
                </w:p>
              </w:tc>
            </w:tr>
            <w:tr w14:paraId="60B021A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EE3140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9</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79E7CC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自动配料机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4448E7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31A528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8650×2000×2900</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3007AC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不变</w:t>
                  </w:r>
                </w:p>
              </w:tc>
            </w:tr>
            <w:tr w14:paraId="18D24C6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51B2DC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10</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BE9CAD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水泥</w:t>
                  </w:r>
                  <w:r>
                    <w:rPr>
                      <w:rFonts w:hint="eastAsia"/>
                      <w:color w:val="auto"/>
                      <w:kern w:val="0"/>
                      <w:sz w:val="21"/>
                      <w:szCs w:val="21"/>
                      <w:lang w:eastAsia="zh-CN"/>
                    </w:rPr>
                    <w:t>秤</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89463C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CD3E09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2500</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43A7AB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不变</w:t>
                  </w:r>
                </w:p>
              </w:tc>
            </w:tr>
            <w:tr w14:paraId="5DD70CD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47AF41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11</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DE8FB9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自动搅拌系统</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0701C1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F6FAB4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rPr>
                    <w:t>MP75</w:t>
                  </w:r>
                  <w:r>
                    <w:rPr>
                      <w:rFonts w:hint="eastAsia"/>
                      <w:color w:val="auto"/>
                      <w:kern w:val="0"/>
                      <w:sz w:val="21"/>
                      <w:szCs w:val="21"/>
                      <w:lang w:val="en-US" w:eastAsia="zh-CN"/>
                    </w:rPr>
                    <w:t>0</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50533F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不变</w:t>
                  </w:r>
                </w:p>
              </w:tc>
            </w:tr>
            <w:tr w14:paraId="43EB20F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943ACE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12</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18B867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成型系统</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01EFB4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837355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DACC3E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不变</w:t>
                  </w:r>
                </w:p>
              </w:tc>
            </w:tr>
            <w:tr w14:paraId="5AA3BD2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58906D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13</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FAA8D3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码垛系统</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9B5CF3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16640D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1200×1200×1200mm</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C8AAC9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不变</w:t>
                  </w:r>
                </w:p>
              </w:tc>
            </w:tr>
            <w:tr w14:paraId="59D9F74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43F60E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14</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908CFA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免烧砖模具</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26F957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30套</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4FC4C8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375266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不变</w:t>
                  </w:r>
                </w:p>
              </w:tc>
            </w:tr>
            <w:tr w14:paraId="7C0E60D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5000" w:type="pct"/>
                  <w:gridSpan w:val="5"/>
                  <w:tcBorders>
                    <w:top w:val="single" w:color="auto" w:sz="2" w:space="0"/>
                    <w:left w:val="single" w:color="auto" w:sz="2" w:space="0"/>
                    <w:bottom w:val="single" w:color="auto" w:sz="2" w:space="0"/>
                    <w:right w:val="single" w:color="auto" w:sz="2" w:space="0"/>
                    <w:tl2br w:val="nil"/>
                    <w:tr2bl w:val="nil"/>
                  </w:tcBorders>
                  <w:noWrap w:val="0"/>
                  <w:vAlign w:val="center"/>
                </w:tcPr>
                <w:p w14:paraId="20D6A88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rPr>
                    <w:t>再生道路复合稳定料</w:t>
                  </w:r>
                  <w:r>
                    <w:rPr>
                      <w:rFonts w:hint="eastAsia" w:ascii="Times New Roman" w:hAnsi="Times New Roman" w:eastAsia="宋体" w:cs="Times New Roman"/>
                      <w:color w:val="auto"/>
                      <w:kern w:val="0"/>
                      <w:sz w:val="21"/>
                      <w:szCs w:val="21"/>
                      <w:lang w:val="en-US" w:eastAsia="zh-CN"/>
                    </w:rPr>
                    <w:t>生产设备</w:t>
                  </w:r>
                </w:p>
              </w:tc>
            </w:tr>
            <w:tr w14:paraId="404ABC8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D5C48E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15</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C8B9A6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自动搅拌系统</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C7BE19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2</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50618C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MP750</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831B61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不变</w:t>
                  </w:r>
                </w:p>
              </w:tc>
            </w:tr>
            <w:tr w14:paraId="3FBE8CA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829A22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16</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4A205C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水泥</w:t>
                  </w:r>
                  <w:r>
                    <w:rPr>
                      <w:rFonts w:hint="eastAsia"/>
                      <w:color w:val="auto"/>
                      <w:kern w:val="0"/>
                      <w:sz w:val="21"/>
                      <w:szCs w:val="21"/>
                      <w:lang w:eastAsia="zh-CN"/>
                    </w:rPr>
                    <w:t>秤</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251279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E0871D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2500</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1538C4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不变</w:t>
                  </w:r>
                </w:p>
              </w:tc>
            </w:tr>
            <w:tr w14:paraId="56E0F83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E185D2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17</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B498DF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自动配料机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0BDBC8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A093DA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8650×2000×2900</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91C741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不变</w:t>
                  </w:r>
                </w:p>
              </w:tc>
            </w:tr>
            <w:tr w14:paraId="5C4BDD2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733A73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18</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DF0013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水泥储存仓</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0D3429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1D3274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300t</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B4253D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rPr>
                    <w:t>不变</w:t>
                  </w:r>
                </w:p>
              </w:tc>
            </w:tr>
            <w:tr w14:paraId="14C2529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BC4335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19</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E3E104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lang w:val="en-US" w:eastAsia="zh-CN"/>
                    </w:rPr>
                    <w:t>手持式LIBS分析仪</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749476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D6468C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8147D0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新增</w:t>
                  </w:r>
                </w:p>
              </w:tc>
            </w:tr>
          </w:tbl>
          <w:p w14:paraId="68C0A073">
            <w:pPr>
              <w:keepNext w:val="0"/>
              <w:keepLines w:val="0"/>
              <w:pageBreakBefore/>
              <w:widowControl/>
              <w:suppressLineNumbers w:val="0"/>
              <w:spacing w:before="0" w:beforeLines="0" w:beforeAutospacing="0" w:after="0" w:afterLines="0" w:afterAutospacing="0"/>
              <w:ind w:left="0" w:right="0" w:firstLine="482"/>
              <w:rPr>
                <w:rFonts w:hint="default"/>
                <w:b/>
                <w:color w:val="auto"/>
                <w:sz w:val="24"/>
                <w:szCs w:val="24"/>
              </w:rPr>
            </w:pPr>
            <w:r>
              <w:rPr>
                <w:rFonts w:hint="eastAsia"/>
                <w:b/>
                <w:color w:val="auto"/>
                <w:sz w:val="24"/>
                <w:szCs w:val="24"/>
                <w:lang w:val="en-US" w:eastAsia="zh-CN"/>
              </w:rPr>
              <w:t>8、</w:t>
            </w:r>
            <w:r>
              <w:rPr>
                <w:rFonts w:hint="eastAsia"/>
                <w:b/>
                <w:color w:val="auto"/>
                <w:sz w:val="24"/>
                <w:szCs w:val="24"/>
              </w:rPr>
              <w:t>产能匹配性分析：</w:t>
            </w:r>
          </w:p>
          <w:p w14:paraId="48B62503">
            <w:pPr>
              <w:keepNext w:val="0"/>
              <w:keepLines w:val="0"/>
              <w:pageBreakBefore/>
              <w:widowControl/>
              <w:suppressLineNumbers w:val="0"/>
              <w:spacing w:before="0" w:beforeLines="0" w:beforeAutospacing="0" w:after="0" w:afterLines="0" w:afterAutospacing="0"/>
              <w:ind w:left="0" w:right="0"/>
              <w:rPr>
                <w:rFonts w:hint="eastAsia"/>
                <w:color w:val="auto"/>
                <w:sz w:val="24"/>
                <w:szCs w:val="24"/>
              </w:rPr>
            </w:pPr>
            <w:r>
              <w:rPr>
                <w:rFonts w:hint="eastAsia"/>
                <w:color w:val="auto"/>
                <w:sz w:val="24"/>
                <w:szCs w:val="24"/>
              </w:rPr>
              <w:t>本项目主要生产设备处理能力匹配性分析情况详见下表。</w:t>
            </w:r>
          </w:p>
          <w:p w14:paraId="34C05C69">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本项目关键设备产能匹配性分析</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2"/>
              <w:gridCol w:w="1059"/>
              <w:gridCol w:w="450"/>
              <w:gridCol w:w="981"/>
              <w:gridCol w:w="1543"/>
              <w:gridCol w:w="25"/>
              <w:gridCol w:w="1053"/>
              <w:gridCol w:w="1213"/>
            </w:tblGrid>
            <w:tr w14:paraId="26668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97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B32AAC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主要设备名称</w:t>
                  </w:r>
                </w:p>
              </w:tc>
              <w:tc>
                <w:tcPr>
                  <w:tcW w:w="67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6C1334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单台处理能力</w:t>
                  </w:r>
                </w:p>
              </w:tc>
              <w:tc>
                <w:tcPr>
                  <w:tcW w:w="28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AFCC9E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数量</w:t>
                  </w:r>
                </w:p>
              </w:tc>
              <w:tc>
                <w:tcPr>
                  <w:tcW w:w="62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5ADC75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运行时间</w:t>
                  </w:r>
                </w:p>
              </w:tc>
              <w:tc>
                <w:tcPr>
                  <w:tcW w:w="98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933646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设计最大处理能力</w:t>
                  </w:r>
                </w:p>
              </w:tc>
              <w:tc>
                <w:tcPr>
                  <w:tcW w:w="687" w:type="pct"/>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AFEFA7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需处理物料量</w:t>
                  </w:r>
                </w:p>
              </w:tc>
              <w:tc>
                <w:tcPr>
                  <w:tcW w:w="771"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31C018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是否满足生产需求</w:t>
                  </w:r>
                </w:p>
              </w:tc>
            </w:tr>
            <w:tr w14:paraId="197C5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000" w:type="pct"/>
                  <w:gridSpan w:val="8"/>
                  <w:tcBorders>
                    <w:top w:val="single" w:color="auto" w:sz="4" w:space="0"/>
                    <w:left w:val="single" w:color="auto" w:sz="4" w:space="0"/>
                    <w:bottom w:val="single" w:color="auto" w:sz="4" w:space="0"/>
                    <w:right w:val="single" w:color="auto" w:sz="4" w:space="0"/>
                    <w:tl2br w:val="nil"/>
                    <w:tr2bl w:val="nil"/>
                  </w:tcBorders>
                  <w:noWrap w:val="0"/>
                  <w:vAlign w:val="center"/>
                </w:tcPr>
                <w:p w14:paraId="08A9D3F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破碎工序</w:t>
                  </w:r>
                </w:p>
              </w:tc>
            </w:tr>
            <w:tr w14:paraId="7A099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97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D9F7265">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eastAsia="宋体"/>
                      <w:color w:val="auto"/>
                      <w:kern w:val="0"/>
                      <w:sz w:val="21"/>
                      <w:szCs w:val="21"/>
                      <w:lang w:val="en-US" w:eastAsia="zh-CN"/>
                    </w:rPr>
                  </w:pPr>
                  <w:r>
                    <w:rPr>
                      <w:rFonts w:hint="eastAsia"/>
                      <w:color w:val="auto"/>
                      <w:kern w:val="0"/>
                      <w:sz w:val="21"/>
                      <w:szCs w:val="21"/>
                    </w:rPr>
                    <w:t>颚频式破碎机</w:t>
                  </w:r>
                </w:p>
              </w:tc>
              <w:tc>
                <w:tcPr>
                  <w:tcW w:w="67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A80D5F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130h/t</w:t>
                  </w:r>
                </w:p>
              </w:tc>
              <w:tc>
                <w:tcPr>
                  <w:tcW w:w="28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66A197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1</w:t>
                  </w:r>
                </w:p>
              </w:tc>
              <w:tc>
                <w:tcPr>
                  <w:tcW w:w="62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D3A838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4800</w:t>
                  </w:r>
                </w:p>
              </w:tc>
              <w:tc>
                <w:tcPr>
                  <w:tcW w:w="98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F0E697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2080t/d</w:t>
                  </w:r>
                </w:p>
              </w:tc>
              <w:tc>
                <w:tcPr>
                  <w:tcW w:w="687" w:type="pct"/>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4A82EB3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1933t/h</w:t>
                  </w:r>
                </w:p>
              </w:tc>
              <w:tc>
                <w:tcPr>
                  <w:tcW w:w="771"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8BAD812">
                  <w:pPr>
                    <w:keepNext w:val="0"/>
                    <w:keepLines w:val="0"/>
                    <w:pageBreakBefore/>
                    <w:widowControl/>
                    <w:suppressLineNumbers w:val="0"/>
                    <w:spacing w:before="0" w:beforeLines="0" w:beforeAutospacing="0" w:after="0" w:afterLines="0" w:afterAutospacing="0" w:line="360" w:lineRule="exact"/>
                    <w:ind w:left="0" w:leftChars="0" w:right="0" w:firstLine="0" w:firstLineChars="0"/>
                    <w:jc w:val="center"/>
                    <w:rPr>
                      <w:rFonts w:hint="eastAsia"/>
                      <w:color w:val="auto"/>
                      <w:kern w:val="0"/>
                      <w:sz w:val="21"/>
                      <w:szCs w:val="21"/>
                    </w:rPr>
                  </w:pPr>
                  <w:r>
                    <w:rPr>
                      <w:rFonts w:hint="eastAsia"/>
                      <w:color w:val="auto"/>
                      <w:kern w:val="0"/>
                      <w:sz w:val="21"/>
                      <w:szCs w:val="21"/>
                    </w:rPr>
                    <w:t>满足</w:t>
                  </w:r>
                </w:p>
              </w:tc>
            </w:tr>
            <w:tr w14:paraId="06274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97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DBC0695">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olor w:val="auto"/>
                      <w:kern w:val="0"/>
                      <w:sz w:val="21"/>
                      <w:szCs w:val="21"/>
                      <w:lang w:val="en-US" w:eastAsia="zh-CN"/>
                    </w:rPr>
                  </w:pPr>
                  <w:r>
                    <w:rPr>
                      <w:rFonts w:hint="eastAsia"/>
                      <w:color w:val="auto"/>
                      <w:kern w:val="0"/>
                      <w:sz w:val="21"/>
                      <w:szCs w:val="21"/>
                    </w:rPr>
                    <w:t>锤式破碎机</w:t>
                  </w:r>
                </w:p>
              </w:tc>
              <w:tc>
                <w:tcPr>
                  <w:tcW w:w="67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B045AB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62.5h/t</w:t>
                  </w:r>
                </w:p>
              </w:tc>
              <w:tc>
                <w:tcPr>
                  <w:tcW w:w="28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2A227C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1</w:t>
                  </w:r>
                </w:p>
              </w:tc>
              <w:tc>
                <w:tcPr>
                  <w:tcW w:w="62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72398B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4800</w:t>
                  </w:r>
                </w:p>
              </w:tc>
              <w:tc>
                <w:tcPr>
                  <w:tcW w:w="98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0246B0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1000t/d</w:t>
                  </w:r>
                </w:p>
              </w:tc>
              <w:tc>
                <w:tcPr>
                  <w:tcW w:w="687" w:type="pct"/>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B4CC3A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966.5t/h</w:t>
                  </w:r>
                </w:p>
              </w:tc>
              <w:tc>
                <w:tcPr>
                  <w:tcW w:w="771"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F5865B7">
                  <w:pPr>
                    <w:keepNext w:val="0"/>
                    <w:keepLines w:val="0"/>
                    <w:pageBreakBefore/>
                    <w:widowControl/>
                    <w:suppressLineNumbers w:val="0"/>
                    <w:spacing w:before="0" w:beforeLines="0" w:beforeAutospacing="0" w:after="0" w:afterLines="0" w:afterAutospacing="0" w:line="360" w:lineRule="exact"/>
                    <w:ind w:left="0" w:leftChars="0" w:right="0" w:firstLine="0" w:firstLineChars="0"/>
                    <w:jc w:val="center"/>
                    <w:rPr>
                      <w:rFonts w:hint="eastAsia"/>
                      <w:color w:val="auto"/>
                      <w:kern w:val="0"/>
                      <w:sz w:val="21"/>
                      <w:szCs w:val="21"/>
                    </w:rPr>
                  </w:pPr>
                  <w:r>
                    <w:rPr>
                      <w:rFonts w:hint="eastAsia"/>
                      <w:color w:val="auto"/>
                      <w:kern w:val="0"/>
                      <w:sz w:val="21"/>
                      <w:szCs w:val="21"/>
                    </w:rPr>
                    <w:t>满足</w:t>
                  </w:r>
                </w:p>
              </w:tc>
            </w:tr>
            <w:tr w14:paraId="23E2F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97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A8F3666">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olor w:val="auto"/>
                      <w:kern w:val="0"/>
                      <w:sz w:val="21"/>
                      <w:szCs w:val="21"/>
                      <w:lang w:val="en-US" w:eastAsia="zh-CN"/>
                    </w:rPr>
                  </w:pPr>
                  <w:r>
                    <w:rPr>
                      <w:rFonts w:hint="eastAsia"/>
                      <w:color w:val="auto"/>
                      <w:kern w:val="0"/>
                      <w:sz w:val="21"/>
                      <w:szCs w:val="21"/>
                    </w:rPr>
                    <w:t>反击式破碎机</w:t>
                  </w:r>
                </w:p>
              </w:tc>
              <w:tc>
                <w:tcPr>
                  <w:tcW w:w="67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AFD03F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default" w:eastAsia="宋体"/>
                      <w:color w:val="auto"/>
                      <w:kern w:val="0"/>
                      <w:sz w:val="21"/>
                      <w:szCs w:val="21"/>
                      <w:lang w:val="en-US" w:eastAsia="zh-CN"/>
                    </w:rPr>
                    <w:t>62.5h/t</w:t>
                  </w:r>
                </w:p>
              </w:tc>
              <w:tc>
                <w:tcPr>
                  <w:tcW w:w="28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F338BF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1</w:t>
                  </w:r>
                </w:p>
              </w:tc>
              <w:tc>
                <w:tcPr>
                  <w:tcW w:w="62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AB6807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4800</w:t>
                  </w:r>
                </w:p>
              </w:tc>
              <w:tc>
                <w:tcPr>
                  <w:tcW w:w="98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FF5CB6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1000t/d</w:t>
                  </w:r>
                </w:p>
              </w:tc>
              <w:tc>
                <w:tcPr>
                  <w:tcW w:w="687" w:type="pct"/>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F8B283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966.5t/h</w:t>
                  </w:r>
                </w:p>
              </w:tc>
              <w:tc>
                <w:tcPr>
                  <w:tcW w:w="771"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C3F571E">
                  <w:pPr>
                    <w:keepNext w:val="0"/>
                    <w:keepLines w:val="0"/>
                    <w:pageBreakBefore/>
                    <w:widowControl/>
                    <w:suppressLineNumbers w:val="0"/>
                    <w:spacing w:before="0" w:beforeLines="0" w:beforeAutospacing="0" w:after="0" w:afterLines="0" w:afterAutospacing="0" w:line="360" w:lineRule="exact"/>
                    <w:ind w:left="0" w:leftChars="0" w:right="0" w:firstLine="0" w:firstLineChars="0"/>
                    <w:jc w:val="center"/>
                    <w:rPr>
                      <w:rFonts w:hint="eastAsia"/>
                      <w:color w:val="auto"/>
                      <w:kern w:val="0"/>
                      <w:sz w:val="21"/>
                      <w:szCs w:val="21"/>
                    </w:rPr>
                  </w:pPr>
                  <w:r>
                    <w:rPr>
                      <w:rFonts w:hint="eastAsia"/>
                      <w:color w:val="auto"/>
                      <w:kern w:val="0"/>
                      <w:sz w:val="21"/>
                      <w:szCs w:val="21"/>
                    </w:rPr>
                    <w:t>满足</w:t>
                  </w:r>
                </w:p>
              </w:tc>
            </w:tr>
            <w:tr w14:paraId="266DD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000" w:type="pct"/>
                  <w:gridSpan w:val="8"/>
                  <w:tcBorders>
                    <w:top w:val="single" w:color="auto" w:sz="4" w:space="0"/>
                    <w:left w:val="single" w:color="auto" w:sz="4" w:space="0"/>
                    <w:bottom w:val="single" w:color="auto" w:sz="4" w:space="0"/>
                    <w:right w:val="single" w:color="auto" w:sz="4" w:space="0"/>
                    <w:tl2br w:val="nil"/>
                    <w:tr2bl w:val="nil"/>
                  </w:tcBorders>
                  <w:noWrap w:val="0"/>
                  <w:vAlign w:val="center"/>
                </w:tcPr>
                <w:p w14:paraId="20760F3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rPr>
                    <w:t>免烧砖</w:t>
                  </w:r>
                  <w:r>
                    <w:rPr>
                      <w:rFonts w:hint="eastAsia"/>
                      <w:color w:val="auto"/>
                      <w:kern w:val="0"/>
                      <w:sz w:val="21"/>
                      <w:szCs w:val="21"/>
                      <w:lang w:val="en-US" w:eastAsia="zh-CN"/>
                    </w:rPr>
                    <w:t>搅拌成型工序</w:t>
                  </w:r>
                </w:p>
              </w:tc>
            </w:tr>
            <w:tr w14:paraId="10D06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97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B6ABE3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自动搅拌系统</w:t>
                  </w:r>
                </w:p>
              </w:tc>
              <w:tc>
                <w:tcPr>
                  <w:tcW w:w="67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4461F5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lang w:val="en-US" w:eastAsia="zh-CN"/>
                    </w:rPr>
                    <w:t>45</w:t>
                  </w:r>
                  <w:r>
                    <w:rPr>
                      <w:rFonts w:hint="eastAsia"/>
                      <w:color w:val="auto"/>
                      <w:kern w:val="0"/>
                      <w:sz w:val="21"/>
                      <w:szCs w:val="21"/>
                    </w:rPr>
                    <w:t>吨/h</w:t>
                  </w:r>
                </w:p>
              </w:tc>
              <w:tc>
                <w:tcPr>
                  <w:tcW w:w="28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AF19A4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62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2A4967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4800</w:t>
                  </w:r>
                </w:p>
              </w:tc>
              <w:tc>
                <w:tcPr>
                  <w:tcW w:w="999" w:type="pct"/>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289224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lang w:val="en-US" w:eastAsia="zh-CN"/>
                    </w:rPr>
                    <w:t>720</w:t>
                  </w:r>
                  <w:r>
                    <w:rPr>
                      <w:rFonts w:hint="eastAsia"/>
                      <w:color w:val="auto"/>
                      <w:kern w:val="0"/>
                      <w:sz w:val="21"/>
                      <w:szCs w:val="21"/>
                    </w:rPr>
                    <w:t>t/d</w:t>
                  </w:r>
                </w:p>
              </w:tc>
              <w:tc>
                <w:tcPr>
                  <w:tcW w:w="671"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A11833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lang w:val="en-US" w:eastAsia="zh-CN"/>
                    </w:rPr>
                    <w:t>666.7</w:t>
                  </w:r>
                  <w:r>
                    <w:rPr>
                      <w:rFonts w:hint="eastAsia"/>
                      <w:color w:val="auto"/>
                      <w:kern w:val="0"/>
                      <w:sz w:val="21"/>
                      <w:szCs w:val="21"/>
                    </w:rPr>
                    <w:t>t/d</w:t>
                  </w:r>
                </w:p>
              </w:tc>
              <w:tc>
                <w:tcPr>
                  <w:tcW w:w="771"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82DCE9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满足</w:t>
                  </w:r>
                </w:p>
              </w:tc>
            </w:tr>
            <w:tr w14:paraId="5EB53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97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D23919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成型系统</w:t>
                  </w:r>
                </w:p>
              </w:tc>
              <w:tc>
                <w:tcPr>
                  <w:tcW w:w="67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3702B7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45</w:t>
                  </w:r>
                  <w:r>
                    <w:rPr>
                      <w:rFonts w:hint="eastAsia"/>
                      <w:color w:val="auto"/>
                      <w:kern w:val="0"/>
                      <w:sz w:val="21"/>
                      <w:szCs w:val="21"/>
                    </w:rPr>
                    <w:t>吨/h</w:t>
                  </w:r>
                </w:p>
              </w:tc>
              <w:tc>
                <w:tcPr>
                  <w:tcW w:w="28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D96F68A">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olor w:val="auto"/>
                      <w:kern w:val="0"/>
                      <w:sz w:val="21"/>
                      <w:szCs w:val="21"/>
                    </w:rPr>
                  </w:pPr>
                  <w:r>
                    <w:rPr>
                      <w:rFonts w:hint="eastAsia"/>
                      <w:color w:val="auto"/>
                      <w:kern w:val="0"/>
                      <w:sz w:val="21"/>
                      <w:szCs w:val="21"/>
                    </w:rPr>
                    <w:t>1</w:t>
                  </w:r>
                </w:p>
              </w:tc>
              <w:tc>
                <w:tcPr>
                  <w:tcW w:w="62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7413C6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olor w:val="auto"/>
                      <w:kern w:val="0"/>
                      <w:sz w:val="21"/>
                      <w:szCs w:val="21"/>
                    </w:rPr>
                  </w:pPr>
                  <w:r>
                    <w:rPr>
                      <w:rFonts w:hint="eastAsia"/>
                      <w:color w:val="auto"/>
                      <w:kern w:val="0"/>
                      <w:sz w:val="21"/>
                      <w:szCs w:val="21"/>
                    </w:rPr>
                    <w:t>4800</w:t>
                  </w:r>
                </w:p>
              </w:tc>
              <w:tc>
                <w:tcPr>
                  <w:tcW w:w="999" w:type="pct"/>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448FA70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720</w:t>
                  </w:r>
                  <w:r>
                    <w:rPr>
                      <w:rFonts w:hint="eastAsia"/>
                      <w:color w:val="auto"/>
                      <w:kern w:val="0"/>
                      <w:sz w:val="21"/>
                      <w:szCs w:val="21"/>
                    </w:rPr>
                    <w:t>t/d</w:t>
                  </w:r>
                </w:p>
              </w:tc>
              <w:tc>
                <w:tcPr>
                  <w:tcW w:w="671"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63ED5B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666.7</w:t>
                  </w:r>
                  <w:r>
                    <w:rPr>
                      <w:rFonts w:hint="eastAsia"/>
                      <w:color w:val="auto"/>
                      <w:kern w:val="0"/>
                      <w:sz w:val="21"/>
                      <w:szCs w:val="21"/>
                    </w:rPr>
                    <w:t>t/d</w:t>
                  </w:r>
                </w:p>
              </w:tc>
              <w:tc>
                <w:tcPr>
                  <w:tcW w:w="771"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E6852E0">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olor w:val="auto"/>
                      <w:kern w:val="0"/>
                      <w:sz w:val="21"/>
                      <w:szCs w:val="21"/>
                    </w:rPr>
                  </w:pPr>
                  <w:r>
                    <w:rPr>
                      <w:rFonts w:hint="eastAsia"/>
                      <w:color w:val="auto"/>
                      <w:kern w:val="0"/>
                      <w:sz w:val="21"/>
                      <w:szCs w:val="21"/>
                    </w:rPr>
                    <w:t>满足</w:t>
                  </w:r>
                </w:p>
              </w:tc>
            </w:tr>
            <w:tr w14:paraId="65BF4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000" w:type="pct"/>
                  <w:gridSpan w:val="8"/>
                  <w:tcBorders>
                    <w:top w:val="single" w:color="auto" w:sz="4" w:space="0"/>
                    <w:left w:val="single" w:color="auto" w:sz="4" w:space="0"/>
                    <w:bottom w:val="single" w:color="auto" w:sz="4" w:space="0"/>
                    <w:right w:val="single" w:color="auto" w:sz="4" w:space="0"/>
                    <w:tl2br w:val="nil"/>
                    <w:tr2bl w:val="nil"/>
                  </w:tcBorders>
                  <w:noWrap w:val="0"/>
                  <w:vAlign w:val="center"/>
                </w:tcPr>
                <w:p w14:paraId="623626E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rPr>
                    <w:t>再生道路复合稳定料</w:t>
                  </w:r>
                  <w:r>
                    <w:rPr>
                      <w:rFonts w:hint="eastAsia"/>
                      <w:color w:val="auto"/>
                      <w:kern w:val="0"/>
                      <w:sz w:val="21"/>
                      <w:szCs w:val="21"/>
                      <w:lang w:val="en-US" w:eastAsia="zh-CN"/>
                    </w:rPr>
                    <w:t>搅拌工序</w:t>
                  </w:r>
                </w:p>
              </w:tc>
            </w:tr>
            <w:tr w14:paraId="124EB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97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AA8760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自动搅拌系统</w:t>
                  </w:r>
                </w:p>
              </w:tc>
              <w:tc>
                <w:tcPr>
                  <w:tcW w:w="67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C2EDCE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75吨/h</w:t>
                  </w:r>
                </w:p>
              </w:tc>
              <w:tc>
                <w:tcPr>
                  <w:tcW w:w="28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CBA79C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2</w:t>
                  </w:r>
                </w:p>
              </w:tc>
              <w:tc>
                <w:tcPr>
                  <w:tcW w:w="62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152166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4800</w:t>
                  </w:r>
                </w:p>
              </w:tc>
              <w:tc>
                <w:tcPr>
                  <w:tcW w:w="999" w:type="pct"/>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8E8C3A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3600t/d</w:t>
                  </w:r>
                </w:p>
              </w:tc>
              <w:tc>
                <w:tcPr>
                  <w:tcW w:w="671"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13C652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3500t/d</w:t>
                  </w:r>
                </w:p>
              </w:tc>
              <w:tc>
                <w:tcPr>
                  <w:tcW w:w="771"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56B027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满足</w:t>
                  </w:r>
                </w:p>
              </w:tc>
            </w:tr>
          </w:tbl>
          <w:p w14:paraId="5B98225E">
            <w:pPr>
              <w:keepNext w:val="0"/>
              <w:keepLines w:val="0"/>
              <w:pageBreakBefore/>
              <w:widowControl/>
              <w:suppressLineNumbers w:val="0"/>
              <w:spacing w:before="0" w:beforeLines="0" w:beforeAutospacing="0" w:after="0" w:afterLines="0" w:afterAutospacing="0"/>
              <w:ind w:left="0" w:leftChars="0" w:right="0" w:firstLine="482" w:firstLineChars="200"/>
              <w:rPr>
                <w:rFonts w:hint="default"/>
                <w:b/>
                <w:color w:val="auto"/>
                <w:sz w:val="24"/>
                <w:szCs w:val="24"/>
              </w:rPr>
            </w:pPr>
            <w:r>
              <w:rPr>
                <w:rFonts w:hint="eastAsia"/>
                <w:b/>
                <w:color w:val="auto"/>
                <w:sz w:val="24"/>
                <w:szCs w:val="24"/>
                <w:lang w:val="en-US" w:eastAsia="zh-CN"/>
              </w:rPr>
              <w:t>9、</w:t>
            </w:r>
            <w:r>
              <w:rPr>
                <w:rFonts w:hint="eastAsia"/>
                <w:b/>
                <w:color w:val="auto"/>
                <w:sz w:val="24"/>
                <w:szCs w:val="24"/>
              </w:rPr>
              <w:t>劳动定员及工作制度</w:t>
            </w:r>
          </w:p>
          <w:p w14:paraId="361FFC33">
            <w:pPr>
              <w:keepNext w:val="0"/>
              <w:keepLines w:val="0"/>
              <w:pageBreakBefore/>
              <w:widowControl/>
              <w:suppressLineNumbers w:val="0"/>
              <w:spacing w:before="0" w:beforeLines="0" w:beforeAutospacing="0" w:after="0" w:afterLines="0" w:afterAutospacing="0"/>
              <w:ind w:left="0" w:right="0"/>
              <w:rPr>
                <w:rFonts w:hint="default"/>
                <w:color w:val="auto"/>
                <w:sz w:val="24"/>
                <w:szCs w:val="24"/>
              </w:rPr>
            </w:pPr>
            <w:r>
              <w:rPr>
                <w:rFonts w:hint="eastAsia"/>
                <w:color w:val="auto"/>
                <w:sz w:val="24"/>
                <w:szCs w:val="24"/>
              </w:rPr>
              <w:t>本</w:t>
            </w:r>
            <w:r>
              <w:rPr>
                <w:rFonts w:hint="eastAsia"/>
                <w:color w:val="auto"/>
                <w:sz w:val="24"/>
                <w:szCs w:val="24"/>
                <w:lang w:eastAsia="zh-CN"/>
              </w:rPr>
              <w:t>次变更</w:t>
            </w:r>
            <w:r>
              <w:rPr>
                <w:rFonts w:hint="eastAsia"/>
                <w:color w:val="auto"/>
                <w:sz w:val="24"/>
                <w:szCs w:val="24"/>
              </w:rPr>
              <w:t>项目</w:t>
            </w:r>
            <w:r>
              <w:rPr>
                <w:rFonts w:hint="eastAsia"/>
                <w:color w:val="auto"/>
                <w:sz w:val="24"/>
                <w:szCs w:val="24"/>
                <w:lang w:eastAsia="zh-CN"/>
              </w:rPr>
              <w:t>不新增劳动定员，</w:t>
            </w:r>
            <w:r>
              <w:rPr>
                <w:rFonts w:hint="eastAsia"/>
                <w:color w:val="auto"/>
                <w:sz w:val="24"/>
                <w:szCs w:val="24"/>
              </w:rPr>
              <w:t>项目员工人数为50人，</w:t>
            </w:r>
            <w:r>
              <w:rPr>
                <w:rFonts w:hint="eastAsia"/>
                <w:color w:val="auto"/>
                <w:sz w:val="24"/>
                <w:szCs w:val="24"/>
                <w:lang w:val="en-US" w:eastAsia="zh-CN"/>
              </w:rPr>
              <w:t>均不在厂内住宿</w:t>
            </w:r>
            <w:r>
              <w:rPr>
                <w:rFonts w:hint="eastAsia"/>
                <w:color w:val="auto"/>
                <w:sz w:val="24"/>
                <w:szCs w:val="24"/>
              </w:rPr>
              <w:t>。年工作</w:t>
            </w:r>
            <w:r>
              <w:rPr>
                <w:rFonts w:hint="default"/>
                <w:color w:val="auto"/>
                <w:sz w:val="24"/>
                <w:szCs w:val="24"/>
              </w:rPr>
              <w:t>3</w:t>
            </w:r>
            <w:r>
              <w:rPr>
                <w:rFonts w:hint="eastAsia"/>
                <w:color w:val="auto"/>
                <w:sz w:val="24"/>
                <w:szCs w:val="24"/>
              </w:rPr>
              <w:t>0</w:t>
            </w:r>
            <w:r>
              <w:rPr>
                <w:rFonts w:hint="default"/>
                <w:color w:val="auto"/>
                <w:sz w:val="24"/>
                <w:szCs w:val="24"/>
              </w:rPr>
              <w:t>0</w:t>
            </w:r>
            <w:r>
              <w:rPr>
                <w:rFonts w:hint="eastAsia"/>
                <w:color w:val="auto"/>
                <w:sz w:val="24"/>
                <w:szCs w:val="24"/>
              </w:rPr>
              <w:t>d，每天2班制，每班8h。</w:t>
            </w:r>
          </w:p>
          <w:p w14:paraId="70EE9F26">
            <w:pPr>
              <w:keepNext w:val="0"/>
              <w:keepLines w:val="0"/>
              <w:pageBreakBefore/>
              <w:widowControl/>
              <w:suppressLineNumbers w:val="0"/>
              <w:spacing w:before="0" w:beforeLines="0" w:beforeAutospacing="0" w:after="0" w:afterLines="0" w:afterAutospacing="0"/>
              <w:ind w:left="0" w:right="0" w:firstLine="482"/>
              <w:rPr>
                <w:rFonts w:hint="eastAsia"/>
                <w:b/>
                <w:color w:val="auto"/>
                <w:sz w:val="24"/>
                <w:szCs w:val="24"/>
              </w:rPr>
            </w:pPr>
            <w:r>
              <w:rPr>
                <w:rFonts w:hint="eastAsia"/>
                <w:b/>
                <w:color w:val="auto"/>
                <w:sz w:val="24"/>
                <w:szCs w:val="24"/>
                <w:lang w:val="en-US" w:eastAsia="zh-CN"/>
              </w:rPr>
              <w:t>10、</w:t>
            </w:r>
            <w:r>
              <w:rPr>
                <w:rFonts w:hint="eastAsia"/>
                <w:b/>
                <w:color w:val="auto"/>
                <w:sz w:val="24"/>
                <w:szCs w:val="24"/>
              </w:rPr>
              <w:t>公用工程</w:t>
            </w:r>
          </w:p>
          <w:p w14:paraId="4D45E0D6">
            <w:pPr>
              <w:keepNext w:val="0"/>
              <w:keepLines w:val="0"/>
              <w:pageBreakBefore/>
              <w:widowControl/>
              <w:suppressLineNumbers w:val="0"/>
              <w:spacing w:before="0" w:beforeLines="0" w:beforeAutospacing="0" w:after="0" w:afterLines="0" w:afterAutospacing="0"/>
              <w:ind w:left="0" w:right="0"/>
              <w:rPr>
                <w:rFonts w:hint="eastAsia"/>
                <w:color w:val="auto"/>
                <w:sz w:val="24"/>
                <w:szCs w:val="24"/>
              </w:rPr>
            </w:pPr>
            <w:r>
              <w:rPr>
                <w:rFonts w:hint="eastAsia"/>
                <w:color w:val="auto"/>
                <w:sz w:val="24"/>
                <w:szCs w:val="24"/>
              </w:rPr>
              <w:t>（1）供水</w:t>
            </w:r>
          </w:p>
          <w:p w14:paraId="60390AF7">
            <w:pPr>
              <w:keepNext w:val="0"/>
              <w:keepLines w:val="0"/>
              <w:pageBreakBefore/>
              <w:widowControl/>
              <w:suppressLineNumbers w:val="0"/>
              <w:spacing w:before="0" w:beforeLines="0" w:beforeAutospacing="0" w:after="0" w:afterLines="0" w:afterAutospacing="0"/>
              <w:ind w:left="0" w:right="0"/>
              <w:rPr>
                <w:rFonts w:hint="eastAsia"/>
                <w:color w:val="auto"/>
                <w:sz w:val="24"/>
                <w:szCs w:val="24"/>
              </w:rPr>
            </w:pPr>
            <w:r>
              <w:rPr>
                <w:rFonts w:hint="eastAsia"/>
                <w:color w:val="auto"/>
                <w:sz w:val="24"/>
                <w:szCs w:val="24"/>
              </w:rPr>
              <w:t>本项目用水为职工生活用水，运输车辆冲洗用水，喷淋用水及道路抑尘用水。</w:t>
            </w:r>
            <w:r>
              <w:rPr>
                <w:rFonts w:hint="eastAsia"/>
                <w:color w:val="auto"/>
                <w:sz w:val="24"/>
                <w:szCs w:val="24"/>
                <w:lang w:val="en-US" w:eastAsia="zh-CN"/>
              </w:rPr>
              <w:t>本次变更不新增排水。</w:t>
            </w:r>
          </w:p>
          <w:p w14:paraId="551305E1">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rPr>
                <w:rFonts w:hint="eastAsia"/>
                <w:color w:val="auto"/>
                <w:sz w:val="24"/>
                <w:szCs w:val="24"/>
              </w:rPr>
            </w:pPr>
            <w:r>
              <w:rPr>
                <w:rFonts w:hint="eastAsia"/>
                <w:color w:val="auto"/>
                <w:sz w:val="24"/>
                <w:szCs w:val="24"/>
              </w:rPr>
              <w:t>1）生活用水</w:t>
            </w:r>
          </w:p>
          <w:p w14:paraId="4129EE69">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rPr>
                <w:rFonts w:hint="eastAsia"/>
                <w:color w:val="auto"/>
                <w:sz w:val="24"/>
                <w:szCs w:val="24"/>
              </w:rPr>
            </w:pPr>
            <w:r>
              <w:rPr>
                <w:rFonts w:hint="eastAsia"/>
                <w:color w:val="auto"/>
                <w:sz w:val="24"/>
                <w:szCs w:val="24"/>
                <w:lang w:eastAsia="zh-CN"/>
              </w:rPr>
              <w:t>项目员工人数为50人，均不在厂内住宿</w:t>
            </w:r>
            <w:r>
              <w:rPr>
                <w:rFonts w:hint="eastAsia"/>
                <w:color w:val="auto"/>
                <w:sz w:val="24"/>
                <w:szCs w:val="24"/>
                <w:lang w:val="en-US" w:eastAsia="zh-CN"/>
              </w:rPr>
              <w:t>，生活用水量参考江西省地方标准《生活及服务业用水定额第1部分：公共机构》（DB36/T1827.1-2023），机关单位无食堂生活用水量按18m/a·人计，</w:t>
            </w:r>
            <w:r>
              <w:rPr>
                <w:rFonts w:hint="eastAsia"/>
                <w:color w:val="auto"/>
                <w:sz w:val="24"/>
                <w:szCs w:val="24"/>
                <w:lang w:eastAsia="zh-CN"/>
              </w:rPr>
              <w:t>则全年生活用水量为</w:t>
            </w:r>
            <w:r>
              <w:rPr>
                <w:rFonts w:hint="eastAsia"/>
                <w:color w:val="auto"/>
                <w:sz w:val="24"/>
                <w:szCs w:val="24"/>
                <w:lang w:val="en-US" w:eastAsia="zh-CN"/>
              </w:rPr>
              <w:t>900</w:t>
            </w:r>
            <w:r>
              <w:rPr>
                <w:rFonts w:hint="eastAsia"/>
                <w:color w:val="auto"/>
                <w:sz w:val="24"/>
                <w:szCs w:val="24"/>
                <w:lang w:eastAsia="zh-CN"/>
              </w:rPr>
              <w:t>m³</w:t>
            </w:r>
            <w:r>
              <w:rPr>
                <w:rFonts w:hint="eastAsia"/>
                <w:color w:val="auto"/>
                <w:sz w:val="24"/>
                <w:szCs w:val="24"/>
                <w:lang w:val="en-US" w:eastAsia="zh-CN"/>
              </w:rPr>
              <w:t>/a，</w:t>
            </w:r>
            <w:r>
              <w:rPr>
                <w:rFonts w:hint="eastAsia"/>
                <w:color w:val="auto"/>
                <w:sz w:val="24"/>
                <w:szCs w:val="24"/>
                <w:lang w:eastAsia="zh-CN"/>
              </w:rPr>
              <w:t>本项目折污系数为0.8</w:t>
            </w:r>
            <w:r>
              <w:rPr>
                <w:rFonts w:hint="eastAsia"/>
                <w:color w:val="auto"/>
                <w:sz w:val="24"/>
                <w:szCs w:val="24"/>
                <w:lang w:val="en-US" w:eastAsia="zh-CN"/>
              </w:rPr>
              <w:t>计</w:t>
            </w:r>
            <w:r>
              <w:rPr>
                <w:rFonts w:hint="eastAsia"/>
                <w:color w:val="auto"/>
                <w:sz w:val="24"/>
                <w:szCs w:val="24"/>
                <w:lang w:eastAsia="zh-CN"/>
              </w:rPr>
              <w:t>，则生活污水产生量为</w:t>
            </w:r>
            <w:r>
              <w:rPr>
                <w:rFonts w:hint="eastAsia"/>
                <w:color w:val="auto"/>
                <w:sz w:val="24"/>
                <w:szCs w:val="24"/>
                <w:lang w:val="en-US" w:eastAsia="zh-CN"/>
              </w:rPr>
              <w:t>720</w:t>
            </w:r>
            <w:r>
              <w:rPr>
                <w:rFonts w:hint="eastAsia"/>
                <w:color w:val="auto"/>
                <w:sz w:val="24"/>
                <w:szCs w:val="24"/>
                <w:lang w:eastAsia="zh-CN"/>
              </w:rPr>
              <w:t>m³/a</w:t>
            </w:r>
            <w:r>
              <w:rPr>
                <w:rFonts w:hint="eastAsia"/>
                <w:color w:val="auto"/>
                <w:sz w:val="24"/>
                <w:szCs w:val="24"/>
              </w:rPr>
              <w:t>。</w:t>
            </w:r>
          </w:p>
          <w:p w14:paraId="6699D6FA">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rPr>
                <w:rFonts w:hint="eastAsia"/>
                <w:color w:val="auto"/>
                <w:sz w:val="24"/>
                <w:szCs w:val="24"/>
              </w:rPr>
            </w:pPr>
            <w:r>
              <w:rPr>
                <w:rFonts w:hint="eastAsia"/>
                <w:color w:val="auto"/>
                <w:sz w:val="24"/>
                <w:szCs w:val="24"/>
                <w:lang w:val="en-US" w:eastAsia="zh-CN"/>
              </w:rPr>
              <w:t>2</w:t>
            </w:r>
            <w:r>
              <w:rPr>
                <w:rFonts w:hint="eastAsia"/>
                <w:color w:val="auto"/>
                <w:sz w:val="24"/>
                <w:szCs w:val="24"/>
              </w:rPr>
              <w:t>）喷淋用水及道路抑尘用水</w:t>
            </w:r>
          </w:p>
          <w:p w14:paraId="55951921">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rPr>
                <w:rFonts w:hint="eastAsia"/>
                <w:color w:val="auto"/>
                <w:sz w:val="24"/>
                <w:szCs w:val="24"/>
              </w:rPr>
            </w:pPr>
            <w:r>
              <w:rPr>
                <w:rFonts w:hint="eastAsia"/>
                <w:color w:val="auto"/>
                <w:sz w:val="24"/>
                <w:szCs w:val="24"/>
              </w:rPr>
              <w:t>用水量按照</w:t>
            </w:r>
            <w:r>
              <w:rPr>
                <w:rFonts w:hint="eastAsia"/>
                <w:color w:val="auto"/>
                <w:sz w:val="24"/>
                <w:szCs w:val="24"/>
                <w:lang w:val="en-US" w:eastAsia="zh-CN"/>
              </w:rPr>
              <w:t>14</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sz w:val="24"/>
                <w:szCs w:val="24"/>
              </w:rPr>
              <w:t>/d计，项目年工作300天，项目用水量为</w:t>
            </w:r>
            <w:r>
              <w:rPr>
                <w:rFonts w:hint="eastAsia"/>
                <w:color w:val="auto"/>
                <w:sz w:val="24"/>
                <w:szCs w:val="24"/>
                <w:lang w:val="en-US" w:eastAsia="zh-CN"/>
              </w:rPr>
              <w:t>42</w:t>
            </w:r>
            <w:r>
              <w:rPr>
                <w:rFonts w:hint="eastAsia"/>
                <w:color w:val="auto"/>
                <w:sz w:val="24"/>
                <w:szCs w:val="24"/>
              </w:rPr>
              <w:t>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sz w:val="24"/>
                <w:szCs w:val="24"/>
              </w:rPr>
              <w:t>/a。喷雾除尘用水全部蒸发，不产生外排废水。</w:t>
            </w:r>
          </w:p>
          <w:p w14:paraId="601EF382">
            <w:pPr>
              <w:keepNext w:val="0"/>
              <w:keepLines w:val="0"/>
              <w:pageBreakBefore/>
              <w:widowControl/>
              <w:suppressLineNumbers w:val="0"/>
              <w:spacing w:before="0" w:beforeLines="0" w:beforeAutospacing="0" w:after="0" w:afterLines="0" w:afterAutospacing="0"/>
              <w:ind w:left="0" w:right="0"/>
              <w:rPr>
                <w:rFonts w:hint="eastAsia"/>
                <w:color w:val="auto"/>
                <w:sz w:val="24"/>
                <w:szCs w:val="24"/>
              </w:rPr>
            </w:pPr>
            <w:r>
              <w:rPr>
                <w:rFonts w:hint="eastAsia"/>
                <w:color w:val="auto"/>
                <w:sz w:val="24"/>
                <w:szCs w:val="24"/>
                <w:lang w:val="en-US" w:eastAsia="zh-CN"/>
              </w:rPr>
              <w:t>3</w:t>
            </w:r>
            <w:r>
              <w:rPr>
                <w:rFonts w:hint="eastAsia"/>
                <w:color w:val="auto"/>
                <w:sz w:val="24"/>
                <w:szCs w:val="24"/>
              </w:rPr>
              <w:t>）运输车辆冲洗用水</w:t>
            </w:r>
          </w:p>
          <w:p w14:paraId="34FF295A">
            <w:pPr>
              <w:keepNext w:val="0"/>
              <w:keepLines w:val="0"/>
              <w:pageBreakBefore/>
              <w:widowControl/>
              <w:suppressLineNumbers w:val="0"/>
              <w:spacing w:before="0" w:beforeLines="0" w:beforeAutospacing="0" w:after="0" w:afterLines="0" w:afterAutospacing="0"/>
              <w:ind w:left="0" w:right="0"/>
              <w:rPr>
                <w:rFonts w:hint="eastAsia" w:eastAsia="宋体"/>
                <w:color w:val="auto"/>
                <w:sz w:val="24"/>
                <w:szCs w:val="24"/>
                <w:lang w:eastAsia="zh-CN"/>
              </w:rPr>
            </w:pPr>
            <w:r>
              <w:rPr>
                <w:rFonts w:hint="eastAsia"/>
                <w:color w:val="auto"/>
                <w:sz w:val="24"/>
                <w:szCs w:val="24"/>
              </w:rPr>
              <w:t>企业运输量约</w:t>
            </w:r>
            <w:r>
              <w:rPr>
                <w:rFonts w:hint="eastAsia"/>
                <w:color w:val="auto"/>
                <w:sz w:val="24"/>
                <w:szCs w:val="24"/>
                <w:lang w:val="en-US" w:eastAsia="zh-CN"/>
              </w:rPr>
              <w:t>18</w:t>
            </w:r>
            <w:r>
              <w:rPr>
                <w:rFonts w:hint="eastAsia"/>
                <w:color w:val="auto"/>
                <w:sz w:val="24"/>
                <w:szCs w:val="24"/>
              </w:rPr>
              <w:t>0万吨，每辆可运输</w:t>
            </w:r>
            <w:r>
              <w:rPr>
                <w:rFonts w:hint="eastAsia"/>
                <w:color w:val="auto"/>
                <w:sz w:val="24"/>
                <w:szCs w:val="24"/>
                <w:lang w:val="en-US" w:eastAsia="zh-CN"/>
              </w:rPr>
              <w:t>4</w:t>
            </w:r>
            <w:r>
              <w:rPr>
                <w:rFonts w:hint="eastAsia"/>
                <w:color w:val="auto"/>
                <w:sz w:val="24"/>
                <w:szCs w:val="24"/>
              </w:rPr>
              <w:t>0吨货物，运输车出厂次数约为</w:t>
            </w:r>
            <w:r>
              <w:rPr>
                <w:rFonts w:hint="eastAsia"/>
                <w:color w:val="auto"/>
                <w:sz w:val="24"/>
                <w:szCs w:val="24"/>
                <w:lang w:val="en-US" w:eastAsia="zh-CN"/>
              </w:rPr>
              <w:t>150</w:t>
            </w:r>
            <w:r>
              <w:rPr>
                <w:rFonts w:hint="eastAsia"/>
                <w:color w:val="auto"/>
                <w:sz w:val="24"/>
                <w:szCs w:val="24"/>
              </w:rPr>
              <w:t>辆次/1天，每车用喷淋水约100L/辆・次。全天车身冲洗水量为</w:t>
            </w:r>
            <w:r>
              <w:rPr>
                <w:rFonts w:hint="eastAsia"/>
                <w:color w:val="auto"/>
                <w:sz w:val="24"/>
                <w:szCs w:val="24"/>
                <w:lang w:val="en-US" w:eastAsia="zh-CN"/>
              </w:rPr>
              <w:t>15</w:t>
            </w:r>
            <w:r>
              <w:rPr>
                <w:rFonts w:hint="eastAsia"/>
                <w:color w:val="auto"/>
                <w:sz w:val="24"/>
                <w:szCs w:val="24"/>
              </w:rPr>
              <w:t>t/d，年用水量为</w:t>
            </w:r>
            <w:r>
              <w:rPr>
                <w:rFonts w:hint="eastAsia"/>
                <w:color w:val="auto"/>
                <w:sz w:val="24"/>
                <w:szCs w:val="24"/>
                <w:lang w:val="en-US" w:eastAsia="zh-CN"/>
              </w:rPr>
              <w:t>3000</w:t>
            </w:r>
            <w:r>
              <w:rPr>
                <w:rFonts w:hint="eastAsia"/>
                <w:color w:val="auto"/>
                <w:sz w:val="24"/>
                <w:szCs w:val="24"/>
              </w:rPr>
              <w:t>t/a（按200天晴天计）。废水排放系数按0.9计，则运输车辆冲洗废水产生量为</w:t>
            </w:r>
            <w:r>
              <w:rPr>
                <w:rFonts w:hint="eastAsia"/>
                <w:color w:val="auto"/>
                <w:sz w:val="24"/>
                <w:szCs w:val="24"/>
                <w:lang w:val="en-US" w:eastAsia="zh-CN"/>
              </w:rPr>
              <w:t>2700</w:t>
            </w:r>
            <w:r>
              <w:rPr>
                <w:rFonts w:hint="eastAsia"/>
                <w:color w:val="auto"/>
                <w:sz w:val="24"/>
                <w:szCs w:val="24"/>
              </w:rPr>
              <w:t>t/a。运输车辆冲洗废水收集</w:t>
            </w:r>
            <w:r>
              <w:rPr>
                <w:rFonts w:hint="eastAsia"/>
                <w:color w:val="auto"/>
                <w:sz w:val="24"/>
                <w:szCs w:val="24"/>
                <w:lang w:val="en-US" w:eastAsia="zh-CN"/>
              </w:rPr>
              <w:t>后</w:t>
            </w:r>
            <w:r>
              <w:rPr>
                <w:rFonts w:hint="eastAsia"/>
                <w:color w:val="auto"/>
                <w:sz w:val="24"/>
                <w:szCs w:val="24"/>
              </w:rPr>
              <w:t>经沉淀池处理后回用于运输车辆冲洗</w:t>
            </w:r>
            <w:r>
              <w:rPr>
                <w:rFonts w:hint="eastAsia"/>
                <w:color w:val="auto"/>
                <w:sz w:val="24"/>
                <w:szCs w:val="24"/>
                <w:lang w:eastAsia="zh-CN"/>
              </w:rPr>
              <w:t>。</w:t>
            </w:r>
          </w:p>
          <w:p w14:paraId="4DD82E42">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0" w:firstLineChars="200"/>
              <w:rPr>
                <w:rFonts w:hint="eastAsia" w:eastAsia="宋体"/>
                <w:color w:val="auto"/>
                <w:sz w:val="24"/>
                <w:szCs w:val="24"/>
                <w:lang w:eastAsia="zh-CN"/>
              </w:rPr>
            </w:pPr>
            <w:r>
              <w:rPr>
                <w:rFonts w:hint="eastAsia" w:ascii="Times New Roman" w:hAnsi="Times New Roman" w:eastAsia="宋体" w:cs="Times New Roman"/>
                <w:color w:val="auto"/>
                <w:kern w:val="2"/>
                <w:sz w:val="24"/>
                <w:szCs w:val="24"/>
                <w:lang w:val="en-US" w:eastAsia="zh-CN" w:bidi="ar-SA"/>
              </w:rPr>
              <w:t>4）</w:t>
            </w:r>
            <w:r>
              <w:rPr>
                <w:rFonts w:hint="eastAsia"/>
                <w:color w:val="auto"/>
                <w:sz w:val="24"/>
                <w:szCs w:val="24"/>
              </w:rPr>
              <w:t>生产用水：</w:t>
            </w:r>
            <w:r>
              <w:rPr>
                <w:rFonts w:hint="eastAsia"/>
                <w:color w:val="auto"/>
                <w:sz w:val="24"/>
                <w:szCs w:val="24"/>
                <w:lang w:val="en-US" w:eastAsia="zh-CN"/>
              </w:rPr>
              <w:t>在搅拌过程中需要加入一定的水，根据物料平衡</w:t>
            </w:r>
            <w:r>
              <w:rPr>
                <w:rFonts w:hint="eastAsia"/>
                <w:color w:val="auto"/>
                <w:sz w:val="24"/>
                <w:szCs w:val="24"/>
              </w:rPr>
              <w:t>再生道路复合稳定料湿度调节用水量为</w:t>
            </w:r>
            <w:r>
              <w:rPr>
                <w:rFonts w:hint="eastAsia"/>
                <w:color w:val="auto"/>
                <w:sz w:val="24"/>
                <w:szCs w:val="24"/>
                <w:lang w:val="en-US" w:eastAsia="zh-CN"/>
              </w:rPr>
              <w:t>154.13</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sz w:val="24"/>
                <w:szCs w:val="24"/>
              </w:rPr>
              <w:t>/d</w:t>
            </w:r>
            <w:r>
              <w:rPr>
                <w:rFonts w:hint="eastAsia"/>
                <w:color w:val="auto"/>
                <w:sz w:val="24"/>
                <w:szCs w:val="24"/>
                <w:lang w:eastAsia="zh-CN"/>
              </w:rPr>
              <w:t>，</w:t>
            </w:r>
            <w:r>
              <w:rPr>
                <w:rFonts w:hint="eastAsia"/>
                <w:color w:val="auto"/>
                <w:sz w:val="24"/>
                <w:szCs w:val="24"/>
                <w:lang w:val="en-US" w:eastAsia="zh-CN"/>
              </w:rPr>
              <w:t>蒸发量为1t/d其余由产品带走</w:t>
            </w:r>
            <w:r>
              <w:rPr>
                <w:rFonts w:hint="eastAsia"/>
                <w:color w:val="auto"/>
                <w:sz w:val="24"/>
                <w:szCs w:val="24"/>
              </w:rPr>
              <w:t>，免烧砖湿度调节用水量为</w:t>
            </w:r>
            <w:r>
              <w:rPr>
                <w:rFonts w:hint="eastAsia"/>
                <w:color w:val="auto"/>
                <w:sz w:val="24"/>
                <w:szCs w:val="24"/>
                <w:lang w:val="en-US" w:eastAsia="zh-CN"/>
              </w:rPr>
              <w:t>49.8</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sz w:val="24"/>
                <w:szCs w:val="24"/>
              </w:rPr>
              <w:t>/d，</w:t>
            </w:r>
            <w:r>
              <w:rPr>
                <w:rFonts w:hint="eastAsia"/>
                <w:color w:val="auto"/>
                <w:sz w:val="24"/>
                <w:szCs w:val="24"/>
                <w:lang w:val="en-US" w:eastAsia="zh-CN"/>
              </w:rPr>
              <w:t>在养护的过程中全部蒸发，</w:t>
            </w:r>
            <w:r>
              <w:rPr>
                <w:rFonts w:hint="eastAsia"/>
                <w:color w:val="auto"/>
                <w:sz w:val="24"/>
                <w:szCs w:val="24"/>
              </w:rPr>
              <w:t>不外排</w:t>
            </w:r>
            <w:r>
              <w:rPr>
                <w:rFonts w:hint="eastAsia"/>
                <w:color w:val="auto"/>
                <w:sz w:val="24"/>
                <w:szCs w:val="24"/>
                <w:lang w:eastAsia="zh-CN"/>
              </w:rPr>
              <w:t>。</w:t>
            </w:r>
          </w:p>
          <w:p w14:paraId="0AB6C7C8">
            <w:pPr>
              <w:keepNext w:val="0"/>
              <w:keepLines w:val="0"/>
              <w:numPr>
                <w:ilvl w:val="0"/>
                <w:numId w:val="0"/>
              </w:numPr>
              <w:suppressLineNumbers w:val="0"/>
              <w:spacing w:before="0" w:beforeAutospacing="0" w:after="0" w:afterAutospacing="0"/>
              <w:ind w:left="0" w:right="0" w:firstLine="480" w:firstLineChars="200"/>
              <w:rPr>
                <w:rFonts w:hint="eastAsia"/>
                <w:color w:val="auto"/>
                <w:lang w:val="en-US" w:eastAsia="zh-CN"/>
              </w:rPr>
            </w:pPr>
            <w:r>
              <w:rPr>
                <w:rFonts w:hint="eastAsia" w:cs="Times New Roman"/>
                <w:color w:val="auto"/>
                <w:kern w:val="2"/>
                <w:sz w:val="24"/>
                <w:szCs w:val="24"/>
                <w:lang w:val="en-US" w:eastAsia="zh-CN" w:bidi="ar-SA"/>
              </w:rPr>
              <w:t>5</w:t>
            </w:r>
            <w:r>
              <w:rPr>
                <w:rFonts w:hint="eastAsia" w:ascii="Times New Roman" w:hAnsi="Times New Roman" w:eastAsia="宋体" w:cs="Times New Roman"/>
                <w:color w:val="auto"/>
                <w:kern w:val="2"/>
                <w:sz w:val="24"/>
                <w:szCs w:val="24"/>
                <w:lang w:val="en-US" w:eastAsia="zh-CN" w:bidi="ar-SA"/>
              </w:rPr>
              <w:t>）</w:t>
            </w:r>
            <w:r>
              <w:rPr>
                <w:rFonts w:hint="eastAsia"/>
                <w:color w:val="auto"/>
                <w:lang w:val="en-US" w:eastAsia="zh-CN"/>
              </w:rPr>
              <w:t>设备清洗与地面清洗用水</w:t>
            </w:r>
          </w:p>
          <w:p w14:paraId="3C629AD4">
            <w:pPr>
              <w:keepNext w:val="0"/>
              <w:keepLines w:val="0"/>
              <w:pageBreakBefore/>
              <w:widowControl/>
              <w:suppressLineNumbers w:val="0"/>
              <w:spacing w:before="0" w:beforeLines="0" w:beforeAutospacing="0" w:after="0" w:afterLines="0" w:afterAutospacing="0"/>
              <w:ind w:left="0" w:right="0"/>
              <w:rPr>
                <w:rFonts w:hint="eastAsia"/>
                <w:color w:val="auto"/>
                <w:sz w:val="24"/>
                <w:szCs w:val="24"/>
                <w:lang w:val="en-US" w:eastAsia="zh-CN"/>
              </w:rPr>
            </w:pPr>
            <w:r>
              <w:rPr>
                <w:rFonts w:hint="eastAsia"/>
                <w:color w:val="auto"/>
                <w:sz w:val="24"/>
                <w:szCs w:val="24"/>
                <w:lang w:val="en-US" w:eastAsia="zh-CN"/>
              </w:rPr>
              <w:t>项目拟对厂区进出道路与设备进行冲洗（采用人工清扫+清水冲洗），频率为3天一次，每次约为4t，用水量约400t/a，排水系数按0.8计算，产生量约为1.07t/d。道路冲洗废水收集至沉淀池经絮凝沉淀处理后回用于道路冲洗。</w:t>
            </w:r>
          </w:p>
          <w:p w14:paraId="17C7D282">
            <w:pPr>
              <w:keepNext w:val="0"/>
              <w:keepLines w:val="0"/>
              <w:pageBreakBefore/>
              <w:widowControl/>
              <w:suppressLineNumbers w:val="0"/>
              <w:spacing w:before="0" w:beforeLines="0" w:beforeAutospacing="0" w:after="0" w:afterLines="0" w:afterAutospacing="0"/>
              <w:ind w:left="0" w:right="0"/>
              <w:rPr>
                <w:rFonts w:hint="eastAsia"/>
                <w:color w:val="auto"/>
                <w:sz w:val="24"/>
                <w:szCs w:val="24"/>
                <w:lang w:val="en-US" w:eastAsia="zh-CN"/>
              </w:rPr>
            </w:pPr>
            <w:r>
              <w:rPr>
                <w:rFonts w:hint="eastAsia"/>
                <w:color w:val="auto"/>
                <w:sz w:val="24"/>
                <w:szCs w:val="24"/>
                <w:lang w:val="en-US" w:eastAsia="zh-CN"/>
              </w:rPr>
              <w:t>6）渗滤液（原料带入）</w:t>
            </w:r>
          </w:p>
          <w:p w14:paraId="59E03B10">
            <w:pPr>
              <w:keepNext w:val="0"/>
              <w:keepLines w:val="0"/>
              <w:pageBreakBefore/>
              <w:widowControl/>
              <w:suppressLineNumbers w:val="0"/>
              <w:spacing w:before="0" w:beforeLines="0" w:beforeAutospacing="0" w:after="0" w:afterLines="0" w:afterAutospacing="0"/>
              <w:ind w:left="0" w:right="0"/>
              <w:rPr>
                <w:rFonts w:hint="eastAsia"/>
                <w:color w:val="auto"/>
                <w:sz w:val="24"/>
                <w:szCs w:val="24"/>
                <w:lang w:val="en-US" w:eastAsia="zh-CN"/>
              </w:rPr>
            </w:pPr>
            <w:r>
              <w:rPr>
                <w:rFonts w:hint="eastAsia"/>
                <w:color w:val="auto"/>
                <w:sz w:val="24"/>
                <w:szCs w:val="24"/>
                <w:lang w:val="en-US" w:eastAsia="zh-CN"/>
              </w:rPr>
              <w:t>本项目锂渣在仓库堆放自然晾干时会产生渗滤液，根据业主提供资料，在仓库自然晾干的锂渣含水率由14%降至10%，本项目锂渣的年用量为280000t/a，则渗滤液的产生量为28000t/a（93.33t/d），其中20%损耗，80%由导流槽收集至渗滤液池，随后回用于产品生产，则渗滤液收集量为22400t/a（74.67t/d），本项目设置容积为90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sz w:val="24"/>
                <w:szCs w:val="24"/>
                <w:lang w:val="en-US" w:eastAsia="zh-CN"/>
              </w:rPr>
              <w:t>的渗滤液池一个，位于锂渣仓库西南角，锂渣仓库四周设导流槽，渗滤液通过导流槽进入渗滤液池然后回用于搅拌用水，渗滤液池防渗要求依据《危险废物贮存污染控制标准》GB18597-2023要求，渗透系数≤10-10cm/s；本项目渗滤液收集量为74.67t/d，因此渗滤液池容积可行。</w:t>
            </w:r>
          </w:p>
          <w:p w14:paraId="49AC0C25">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0" w:firstLineChars="200"/>
              <w:rPr>
                <w:rFonts w:hint="eastAsia"/>
                <w:color w:val="auto"/>
                <w:sz w:val="24"/>
                <w:szCs w:val="24"/>
                <w:lang w:val="en-US" w:eastAsia="zh-CN"/>
              </w:rPr>
            </w:pPr>
            <w:r>
              <w:rPr>
                <w:rFonts w:hint="eastAsia" w:ascii="Times New Roman" w:hAnsi="Times New Roman" w:eastAsia="宋体" w:cs="Times New Roman"/>
                <w:color w:val="auto"/>
                <w:kern w:val="2"/>
                <w:sz w:val="24"/>
                <w:szCs w:val="24"/>
                <w:lang w:val="en-US" w:eastAsia="zh-CN" w:bidi="ar-SA"/>
              </w:rPr>
              <w:t>7）</w:t>
            </w:r>
            <w:r>
              <w:rPr>
                <w:rFonts w:hint="eastAsia"/>
                <w:color w:val="auto"/>
                <w:sz w:val="24"/>
                <w:szCs w:val="24"/>
                <w:lang w:val="en-US" w:eastAsia="zh-CN"/>
              </w:rPr>
              <w:t>养护用水：环保免烧砖养护过程需要养护用水，根据业主提供资料，养护用水量约为240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sz w:val="24"/>
                <w:szCs w:val="24"/>
                <w:lang w:val="en-US" w:eastAsia="zh-CN"/>
              </w:rPr>
              <w:t>/a（0.8</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sz w:val="24"/>
                <w:szCs w:val="24"/>
                <w:lang w:val="en-US" w:eastAsia="zh-CN"/>
              </w:rPr>
              <w:t>/d），养护过程中约80%的水蒸发损耗，约产生20%的养护废水48</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sz w:val="24"/>
                <w:szCs w:val="24"/>
                <w:lang w:val="en-US" w:eastAsia="zh-CN"/>
              </w:rPr>
              <w:t>/a（0.16</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sz w:val="24"/>
                <w:szCs w:val="24"/>
                <w:lang w:val="en-US" w:eastAsia="zh-CN"/>
              </w:rPr>
              <w:t>/d），养护区四周设有导流槽，养护废水通过导流槽进入沉淀池沉淀，沉淀后达到《城市污水再生利用工业用水水质》（GB/T19923-2024）中洗涤水标准、《无机化学工业污染物排放标准》（GB31573-2015）和《工业废水铊污染物排放标准》（DB36/1149-2019）标准中较严值后，回用于抑尘用水不外排。</w:t>
            </w:r>
          </w:p>
          <w:p w14:paraId="56E23C29">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0" w:firstLineChars="200"/>
              <w:rPr>
                <w:rFonts w:hint="eastAsia"/>
                <w:color w:val="auto"/>
                <w:sz w:val="24"/>
                <w:szCs w:val="24"/>
                <w:lang w:val="en-US" w:eastAsia="zh-CN"/>
              </w:rPr>
            </w:pPr>
            <w:r>
              <w:rPr>
                <w:rFonts w:hint="eastAsia" w:ascii="Times New Roman" w:hAnsi="Times New Roman" w:eastAsia="宋体" w:cs="Times New Roman"/>
                <w:color w:val="auto"/>
                <w:kern w:val="2"/>
                <w:sz w:val="24"/>
                <w:szCs w:val="24"/>
                <w:lang w:val="en-US" w:eastAsia="zh-CN" w:bidi="ar-SA"/>
              </w:rPr>
              <w:t>8）</w:t>
            </w:r>
            <w:r>
              <w:rPr>
                <w:rFonts w:hint="eastAsia"/>
                <w:color w:val="auto"/>
                <w:sz w:val="24"/>
                <w:szCs w:val="24"/>
                <w:lang w:val="en-US" w:eastAsia="zh-CN"/>
              </w:rPr>
              <w:t>本环评考虑生产区域收集初期雨水，本项目占地面积约为12000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eastAsia"/>
                <w:color w:val="auto"/>
                <w:sz w:val="24"/>
                <w:szCs w:val="24"/>
                <w:lang w:val="en-US" w:eastAsia="zh-CN"/>
              </w:rPr>
              <w:t>，参考《石油化工给水排水系统设计规范》（SH/T3015-2019），初期雨水按降水量与污染区面积的乘积计算，本项目初期雨水产生量按30mm计算，初期雨水一次产生量为360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sz w:val="24"/>
                <w:szCs w:val="24"/>
                <w:lang w:val="en-US" w:eastAsia="zh-CN"/>
              </w:rPr>
              <w:t>，全年按10次计算，初期雨水产生量3600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sz w:val="24"/>
                <w:szCs w:val="24"/>
                <w:lang w:val="en-US" w:eastAsia="zh-CN"/>
              </w:rPr>
              <w:t>/a（12</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sz w:val="24"/>
                <w:szCs w:val="24"/>
                <w:lang w:val="en-US" w:eastAsia="zh-CN"/>
              </w:rPr>
              <w:t>/d）。本项目依托现有项目的初期雨水池一座，容积为960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sz w:val="24"/>
                <w:szCs w:val="24"/>
                <w:lang w:val="en-US" w:eastAsia="zh-CN"/>
              </w:rPr>
              <w:t>，位于1#厂房外东北侧，建设单位需对初期雨水进行收集和处理，以减少对周围地表水的不利影响，通过对租赁厂房四周设置围堰仅收集租赁厂房初期雨水，再经氧化+除铊除氟+絮凝沉淀后达到《城市污水再生利用工业用水水质》（GB/T19923-2024）、《无机化学工业污染物排放标准》（GB31573-2015）和《工业废水铊污染物排放标准》（DB36/1149-2019）标准中的较严值后，回用于抑尘用水。</w:t>
            </w:r>
          </w:p>
          <w:p w14:paraId="02A84127">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0" w:firstLineChars="200"/>
              <w:rPr>
                <w:rFonts w:hint="eastAsia"/>
                <w:color w:val="auto"/>
                <w:sz w:val="24"/>
                <w:szCs w:val="24"/>
                <w:lang w:val="en-US" w:eastAsia="zh-CN"/>
              </w:rPr>
            </w:pPr>
            <w:r>
              <w:rPr>
                <w:rFonts w:hint="eastAsia"/>
                <w:color w:val="auto"/>
                <w:sz w:val="24"/>
                <w:szCs w:val="24"/>
                <w:lang w:val="en-US" w:eastAsia="zh-CN"/>
              </w:rPr>
              <w:t>根据宜春市生态环境保护委员会办公室出具了《碳酸锂生产行业生态环境监管标准（试行）》（宜环委办字〔2023〕2号）文，初期雨水收集池按照厂区面积不低于每公顷300立方米的标准建设，本项目占地面积1.2公顷，在满足一次收集量的情况下，需要建设不低于360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sz w:val="24"/>
                <w:szCs w:val="24"/>
                <w:lang w:val="en-US" w:eastAsia="zh-CN"/>
              </w:rPr>
              <w:t>的初期雨水池。现有项目有一个960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sz w:val="24"/>
                <w:szCs w:val="24"/>
                <w:lang w:val="en-US" w:eastAsia="zh-CN"/>
              </w:rPr>
              <w:t>的初期雨水池，能满足要求。</w:t>
            </w:r>
          </w:p>
          <w:p w14:paraId="6E3F23F2">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0" w:firstLineChars="200"/>
              <w:rPr>
                <w:rFonts w:hint="eastAsia"/>
                <w:color w:val="auto"/>
                <w:sz w:val="24"/>
                <w:szCs w:val="24"/>
                <w:lang w:val="en-US" w:eastAsia="zh-CN"/>
              </w:rPr>
            </w:pPr>
            <w:r>
              <w:rPr>
                <w:rFonts w:hint="eastAsia"/>
                <w:color w:val="auto"/>
                <w:sz w:val="24"/>
                <w:szCs w:val="24"/>
                <w:lang w:val="en-US" w:eastAsia="zh-CN"/>
              </w:rPr>
              <w:t>项目排水实行雨污分流制。项目后期雨水排放时自动监测铊、氟化物含量，排入园区雨水管网，铊预警限值浓度为5μg/L（参照《工业废水铊污染物排放标准》（DB36/1149-2019）标准限值），氟化物预警限值浓度为2mg/L（参照《无机化学工业污染物排放标准》（GB31573-2015）的水污染物排放限值），超过预警限值浓度后立即停止排放。</w:t>
            </w:r>
          </w:p>
          <w:p w14:paraId="79DACB36">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项目用水平衡一览表t/d</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2156"/>
              <w:gridCol w:w="839"/>
              <w:gridCol w:w="806"/>
              <w:gridCol w:w="810"/>
              <w:gridCol w:w="879"/>
              <w:gridCol w:w="795"/>
              <w:gridCol w:w="614"/>
            </w:tblGrid>
            <w:tr w14:paraId="08E63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978" w:type="pct"/>
                  <w:gridSpan w:val="2"/>
                  <w:vMerge w:val="restart"/>
                  <w:shd w:val="clear" w:color="auto" w:fill="auto"/>
                  <w:vAlign w:val="center"/>
                </w:tcPr>
                <w:p w14:paraId="4295544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用水项目</w:t>
                  </w:r>
                </w:p>
              </w:tc>
              <w:tc>
                <w:tcPr>
                  <w:tcW w:w="1563" w:type="pct"/>
                  <w:gridSpan w:val="3"/>
                  <w:shd w:val="clear" w:color="auto" w:fill="auto"/>
                  <w:vAlign w:val="center"/>
                </w:tcPr>
                <w:p w14:paraId="5F8E5D3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给水</w:t>
                  </w:r>
                </w:p>
              </w:tc>
              <w:tc>
                <w:tcPr>
                  <w:tcW w:w="1457" w:type="pct"/>
                  <w:gridSpan w:val="3"/>
                  <w:shd w:val="clear" w:color="auto" w:fill="auto"/>
                  <w:vAlign w:val="center"/>
                </w:tcPr>
                <w:p w14:paraId="385A97E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排水</w:t>
                  </w:r>
                </w:p>
              </w:tc>
            </w:tr>
            <w:tr w14:paraId="34410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978" w:type="pct"/>
                  <w:gridSpan w:val="2"/>
                  <w:vMerge w:val="continue"/>
                  <w:shd w:val="clear" w:color="auto" w:fill="auto"/>
                  <w:vAlign w:val="center"/>
                </w:tcPr>
                <w:p w14:paraId="59F7741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p>
              </w:tc>
              <w:tc>
                <w:tcPr>
                  <w:tcW w:w="534" w:type="pct"/>
                  <w:shd w:val="clear" w:color="auto" w:fill="auto"/>
                  <w:vAlign w:val="center"/>
                </w:tcPr>
                <w:p w14:paraId="2B37ACA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新鲜水</w:t>
                  </w:r>
                </w:p>
              </w:tc>
              <w:tc>
                <w:tcPr>
                  <w:tcW w:w="513" w:type="pct"/>
                  <w:shd w:val="clear" w:color="auto" w:fill="auto"/>
                  <w:vAlign w:val="center"/>
                </w:tcPr>
                <w:p w14:paraId="5D27741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循环水</w:t>
                  </w:r>
                </w:p>
              </w:tc>
              <w:tc>
                <w:tcPr>
                  <w:tcW w:w="515" w:type="pct"/>
                  <w:shd w:val="clear" w:color="auto" w:fill="auto"/>
                  <w:vAlign w:val="center"/>
                </w:tcPr>
                <w:p w14:paraId="3098E7D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原料带入</w:t>
                  </w:r>
                </w:p>
              </w:tc>
              <w:tc>
                <w:tcPr>
                  <w:tcW w:w="559" w:type="pct"/>
                  <w:shd w:val="clear" w:color="auto" w:fill="auto"/>
                  <w:vAlign w:val="center"/>
                </w:tcPr>
                <w:p w14:paraId="611DC1D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回用</w:t>
                  </w:r>
                </w:p>
              </w:tc>
              <w:tc>
                <w:tcPr>
                  <w:tcW w:w="506" w:type="pct"/>
                  <w:shd w:val="clear" w:color="auto" w:fill="auto"/>
                  <w:vAlign w:val="center"/>
                </w:tcPr>
                <w:p w14:paraId="786836C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损耗</w:t>
                  </w:r>
                </w:p>
              </w:tc>
              <w:tc>
                <w:tcPr>
                  <w:tcW w:w="391" w:type="pct"/>
                  <w:shd w:val="clear" w:color="auto" w:fill="auto"/>
                  <w:vAlign w:val="center"/>
                </w:tcPr>
                <w:p w14:paraId="5DA7E05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排放</w:t>
                  </w:r>
                </w:p>
              </w:tc>
            </w:tr>
            <w:tr w14:paraId="052BE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605" w:type="pct"/>
                  <w:vMerge w:val="restart"/>
                  <w:shd w:val="clear" w:color="auto" w:fill="auto"/>
                  <w:vAlign w:val="center"/>
                </w:tcPr>
                <w:p w14:paraId="5B3C420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生产用水</w:t>
                  </w:r>
                </w:p>
              </w:tc>
              <w:tc>
                <w:tcPr>
                  <w:tcW w:w="1373" w:type="pct"/>
                  <w:shd w:val="clear" w:color="auto" w:fill="auto"/>
                  <w:vAlign w:val="center"/>
                </w:tcPr>
                <w:p w14:paraId="1762C77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免烧砖</w:t>
                  </w:r>
                </w:p>
              </w:tc>
              <w:tc>
                <w:tcPr>
                  <w:tcW w:w="534" w:type="pct"/>
                  <w:shd w:val="clear" w:color="auto" w:fill="auto"/>
                  <w:vAlign w:val="center"/>
                </w:tcPr>
                <w:p w14:paraId="49C4B24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49.8</w:t>
                  </w:r>
                </w:p>
              </w:tc>
              <w:tc>
                <w:tcPr>
                  <w:tcW w:w="513" w:type="pct"/>
                  <w:shd w:val="clear" w:color="auto" w:fill="auto"/>
                  <w:vAlign w:val="center"/>
                </w:tcPr>
                <w:p w14:paraId="14B6EFC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c>
                <w:tcPr>
                  <w:tcW w:w="515" w:type="pct"/>
                  <w:shd w:val="clear" w:color="auto" w:fill="auto"/>
                  <w:vAlign w:val="center"/>
                </w:tcPr>
                <w:p w14:paraId="4D11886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c>
                <w:tcPr>
                  <w:tcW w:w="559" w:type="pct"/>
                  <w:shd w:val="clear" w:color="auto" w:fill="auto"/>
                  <w:vAlign w:val="center"/>
                </w:tcPr>
                <w:p w14:paraId="690602A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c>
                <w:tcPr>
                  <w:tcW w:w="506" w:type="pct"/>
                  <w:shd w:val="clear" w:color="auto" w:fill="auto"/>
                  <w:vAlign w:val="center"/>
                </w:tcPr>
                <w:p w14:paraId="107E0AF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49.8</w:t>
                  </w:r>
                </w:p>
              </w:tc>
              <w:tc>
                <w:tcPr>
                  <w:tcW w:w="391" w:type="pct"/>
                  <w:shd w:val="clear" w:color="auto" w:fill="auto"/>
                  <w:vAlign w:val="center"/>
                </w:tcPr>
                <w:p w14:paraId="592FA69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r>
            <w:tr w14:paraId="1CF48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05" w:type="pct"/>
                  <w:vMerge w:val="continue"/>
                  <w:shd w:val="clear" w:color="auto" w:fill="auto"/>
                  <w:vAlign w:val="center"/>
                </w:tcPr>
                <w:p w14:paraId="4139126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p>
              </w:tc>
              <w:tc>
                <w:tcPr>
                  <w:tcW w:w="1373" w:type="pct"/>
                  <w:shd w:val="clear" w:color="auto" w:fill="auto"/>
                  <w:vAlign w:val="center"/>
                </w:tcPr>
                <w:p w14:paraId="3BF19BD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再生</w:t>
                  </w:r>
                  <w:r>
                    <w:rPr>
                      <w:rFonts w:hint="eastAsia" w:cs="Times New Roman"/>
                      <w:color w:val="auto"/>
                      <w:kern w:val="0"/>
                      <w:sz w:val="21"/>
                      <w:szCs w:val="21"/>
                      <w:lang w:val="en-US" w:eastAsia="zh-CN"/>
                    </w:rPr>
                    <w:t>复合</w:t>
                  </w:r>
                  <w:r>
                    <w:rPr>
                      <w:rFonts w:hint="eastAsia" w:ascii="Times New Roman" w:hAnsi="Times New Roman" w:eastAsia="宋体" w:cs="Times New Roman"/>
                      <w:color w:val="auto"/>
                      <w:kern w:val="0"/>
                      <w:sz w:val="21"/>
                      <w:szCs w:val="21"/>
                      <w:lang w:val="en-US" w:eastAsia="zh-CN"/>
                    </w:rPr>
                    <w:t>道路</w:t>
                  </w:r>
                </w:p>
              </w:tc>
              <w:tc>
                <w:tcPr>
                  <w:tcW w:w="534" w:type="pct"/>
                  <w:shd w:val="clear" w:color="auto" w:fill="auto"/>
                  <w:vAlign w:val="center"/>
                </w:tcPr>
                <w:p w14:paraId="53D50B1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79.46</w:t>
                  </w:r>
                </w:p>
              </w:tc>
              <w:tc>
                <w:tcPr>
                  <w:tcW w:w="513" w:type="pct"/>
                  <w:shd w:val="clear" w:color="auto" w:fill="auto"/>
                  <w:vAlign w:val="center"/>
                </w:tcPr>
                <w:p w14:paraId="1286773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74.67</w:t>
                  </w:r>
                </w:p>
              </w:tc>
              <w:tc>
                <w:tcPr>
                  <w:tcW w:w="515" w:type="pct"/>
                  <w:shd w:val="clear" w:color="auto" w:fill="auto"/>
                  <w:vAlign w:val="center"/>
                </w:tcPr>
                <w:p w14:paraId="674B9DE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c>
                <w:tcPr>
                  <w:tcW w:w="559" w:type="pct"/>
                  <w:shd w:val="clear" w:color="auto" w:fill="auto"/>
                  <w:vAlign w:val="center"/>
                </w:tcPr>
                <w:p w14:paraId="3A8ED78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c>
                <w:tcPr>
                  <w:tcW w:w="506" w:type="pct"/>
                  <w:shd w:val="clear" w:color="auto" w:fill="auto"/>
                  <w:vAlign w:val="center"/>
                </w:tcPr>
                <w:p w14:paraId="498D763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154.13</w:t>
                  </w:r>
                </w:p>
              </w:tc>
              <w:tc>
                <w:tcPr>
                  <w:tcW w:w="391" w:type="pct"/>
                  <w:shd w:val="clear" w:color="auto" w:fill="auto"/>
                  <w:vAlign w:val="center"/>
                </w:tcPr>
                <w:p w14:paraId="6DBB8ED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r>
            <w:tr w14:paraId="2CDEE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978" w:type="pct"/>
                  <w:gridSpan w:val="2"/>
                  <w:shd w:val="clear" w:color="auto" w:fill="auto"/>
                  <w:vAlign w:val="center"/>
                </w:tcPr>
                <w:p w14:paraId="233BD5C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设备清洗与地面清洗用水</w:t>
                  </w:r>
                </w:p>
              </w:tc>
              <w:tc>
                <w:tcPr>
                  <w:tcW w:w="534" w:type="pct"/>
                  <w:shd w:val="clear" w:color="auto" w:fill="auto"/>
                  <w:vAlign w:val="center"/>
                </w:tcPr>
                <w:p w14:paraId="7807C36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0.26</w:t>
                  </w:r>
                </w:p>
              </w:tc>
              <w:tc>
                <w:tcPr>
                  <w:tcW w:w="513" w:type="pct"/>
                  <w:shd w:val="clear" w:color="auto" w:fill="auto"/>
                  <w:vAlign w:val="center"/>
                </w:tcPr>
                <w:p w14:paraId="44438E4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1.07</w:t>
                  </w:r>
                </w:p>
              </w:tc>
              <w:tc>
                <w:tcPr>
                  <w:tcW w:w="515" w:type="pct"/>
                  <w:shd w:val="clear" w:color="auto" w:fill="auto"/>
                  <w:vAlign w:val="center"/>
                </w:tcPr>
                <w:p w14:paraId="451D808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c>
                <w:tcPr>
                  <w:tcW w:w="559" w:type="pct"/>
                  <w:shd w:val="clear" w:color="auto" w:fill="auto"/>
                  <w:vAlign w:val="center"/>
                </w:tcPr>
                <w:p w14:paraId="7B03519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1.07</w:t>
                  </w:r>
                </w:p>
              </w:tc>
              <w:tc>
                <w:tcPr>
                  <w:tcW w:w="506" w:type="pct"/>
                  <w:shd w:val="clear" w:color="auto" w:fill="auto"/>
                  <w:vAlign w:val="center"/>
                </w:tcPr>
                <w:p w14:paraId="07BB692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0.26</w:t>
                  </w:r>
                </w:p>
              </w:tc>
              <w:tc>
                <w:tcPr>
                  <w:tcW w:w="391" w:type="pct"/>
                  <w:shd w:val="clear" w:color="auto" w:fill="auto"/>
                  <w:vAlign w:val="center"/>
                </w:tcPr>
                <w:p w14:paraId="75BF2F9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r>
            <w:tr w14:paraId="69DAA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978" w:type="pct"/>
                  <w:gridSpan w:val="2"/>
                  <w:shd w:val="clear" w:color="auto" w:fill="auto"/>
                  <w:vAlign w:val="center"/>
                </w:tcPr>
                <w:p w14:paraId="793E2A5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运输车辆冲洗用水</w:t>
                  </w:r>
                </w:p>
              </w:tc>
              <w:tc>
                <w:tcPr>
                  <w:tcW w:w="534" w:type="pct"/>
                  <w:shd w:val="clear" w:color="auto" w:fill="auto"/>
                  <w:vAlign w:val="center"/>
                </w:tcPr>
                <w:p w14:paraId="1547DC6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1.5</w:t>
                  </w:r>
                </w:p>
              </w:tc>
              <w:tc>
                <w:tcPr>
                  <w:tcW w:w="513" w:type="pct"/>
                  <w:shd w:val="clear" w:color="auto" w:fill="auto"/>
                  <w:vAlign w:val="center"/>
                </w:tcPr>
                <w:p w14:paraId="5326B2A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13.5</w:t>
                  </w:r>
                </w:p>
              </w:tc>
              <w:tc>
                <w:tcPr>
                  <w:tcW w:w="515" w:type="pct"/>
                  <w:shd w:val="clear" w:color="auto" w:fill="auto"/>
                  <w:vAlign w:val="center"/>
                </w:tcPr>
                <w:p w14:paraId="3D7459F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c>
                <w:tcPr>
                  <w:tcW w:w="559" w:type="pct"/>
                  <w:shd w:val="clear" w:color="auto" w:fill="auto"/>
                  <w:vAlign w:val="center"/>
                </w:tcPr>
                <w:p w14:paraId="0CB4604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13.5</w:t>
                  </w:r>
                </w:p>
              </w:tc>
              <w:tc>
                <w:tcPr>
                  <w:tcW w:w="506" w:type="pct"/>
                  <w:shd w:val="clear" w:color="auto" w:fill="auto"/>
                  <w:vAlign w:val="center"/>
                </w:tcPr>
                <w:p w14:paraId="2176F19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1.5</w:t>
                  </w:r>
                </w:p>
              </w:tc>
              <w:tc>
                <w:tcPr>
                  <w:tcW w:w="391" w:type="pct"/>
                  <w:shd w:val="clear" w:color="auto" w:fill="auto"/>
                  <w:vAlign w:val="center"/>
                </w:tcPr>
                <w:p w14:paraId="5F2F70B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r>
            <w:tr w14:paraId="060B0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978" w:type="pct"/>
                  <w:gridSpan w:val="2"/>
                  <w:shd w:val="clear" w:color="auto" w:fill="auto"/>
                  <w:vAlign w:val="center"/>
                </w:tcPr>
                <w:p w14:paraId="210D908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喷淋用水及道路抑尘用水</w:t>
                  </w:r>
                </w:p>
              </w:tc>
              <w:tc>
                <w:tcPr>
                  <w:tcW w:w="534" w:type="pct"/>
                  <w:shd w:val="clear" w:color="auto" w:fill="auto"/>
                  <w:vAlign w:val="center"/>
                </w:tcPr>
                <w:p w14:paraId="355C48D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2</w:t>
                  </w:r>
                </w:p>
              </w:tc>
              <w:tc>
                <w:tcPr>
                  <w:tcW w:w="513" w:type="pct"/>
                  <w:shd w:val="clear" w:color="auto" w:fill="auto"/>
                  <w:vAlign w:val="center"/>
                </w:tcPr>
                <w:p w14:paraId="39F56E0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12</w:t>
                  </w:r>
                </w:p>
              </w:tc>
              <w:tc>
                <w:tcPr>
                  <w:tcW w:w="515" w:type="pct"/>
                  <w:shd w:val="clear" w:color="auto" w:fill="auto"/>
                  <w:vAlign w:val="center"/>
                </w:tcPr>
                <w:p w14:paraId="270FFE8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c>
                <w:tcPr>
                  <w:tcW w:w="559" w:type="pct"/>
                  <w:shd w:val="clear" w:color="auto" w:fill="auto"/>
                  <w:vAlign w:val="center"/>
                </w:tcPr>
                <w:p w14:paraId="4216EA2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c>
                <w:tcPr>
                  <w:tcW w:w="506" w:type="pct"/>
                  <w:shd w:val="clear" w:color="auto" w:fill="auto"/>
                  <w:vAlign w:val="center"/>
                </w:tcPr>
                <w:p w14:paraId="7D4357B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12</w:t>
                  </w:r>
                </w:p>
              </w:tc>
              <w:tc>
                <w:tcPr>
                  <w:tcW w:w="391" w:type="pct"/>
                  <w:shd w:val="clear" w:color="auto" w:fill="auto"/>
                  <w:vAlign w:val="center"/>
                </w:tcPr>
                <w:p w14:paraId="4C31587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r>
            <w:tr w14:paraId="50EE3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978" w:type="pct"/>
                  <w:gridSpan w:val="2"/>
                  <w:shd w:val="clear" w:color="auto" w:fill="auto"/>
                  <w:vAlign w:val="center"/>
                </w:tcPr>
                <w:p w14:paraId="6F2FF42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生活用水</w:t>
                  </w:r>
                </w:p>
              </w:tc>
              <w:tc>
                <w:tcPr>
                  <w:tcW w:w="534" w:type="pct"/>
                  <w:shd w:val="clear" w:color="auto" w:fill="auto"/>
                  <w:vAlign w:val="center"/>
                </w:tcPr>
                <w:p w14:paraId="0132EA3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w:t>
                  </w:r>
                </w:p>
              </w:tc>
              <w:tc>
                <w:tcPr>
                  <w:tcW w:w="513" w:type="pct"/>
                  <w:shd w:val="clear" w:color="auto" w:fill="auto"/>
                  <w:vAlign w:val="center"/>
                </w:tcPr>
                <w:p w14:paraId="56C0635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c>
                <w:tcPr>
                  <w:tcW w:w="515" w:type="pct"/>
                  <w:shd w:val="clear" w:color="auto" w:fill="auto"/>
                  <w:vAlign w:val="center"/>
                </w:tcPr>
                <w:p w14:paraId="1BEE7FF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c>
                <w:tcPr>
                  <w:tcW w:w="559" w:type="pct"/>
                  <w:shd w:val="clear" w:color="auto" w:fill="auto"/>
                  <w:vAlign w:val="center"/>
                </w:tcPr>
                <w:p w14:paraId="2589E0D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c>
                <w:tcPr>
                  <w:tcW w:w="506" w:type="pct"/>
                  <w:shd w:val="clear" w:color="auto" w:fill="auto"/>
                  <w:vAlign w:val="center"/>
                </w:tcPr>
                <w:p w14:paraId="79B8839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0.6</w:t>
                  </w:r>
                </w:p>
              </w:tc>
              <w:tc>
                <w:tcPr>
                  <w:tcW w:w="391" w:type="pct"/>
                  <w:shd w:val="clear" w:color="auto" w:fill="auto"/>
                  <w:vAlign w:val="center"/>
                </w:tcPr>
                <w:p w14:paraId="3A70585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2.4</w:t>
                  </w:r>
                </w:p>
              </w:tc>
            </w:tr>
            <w:tr w14:paraId="3CB2A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978" w:type="pct"/>
                  <w:gridSpan w:val="2"/>
                  <w:shd w:val="clear" w:color="auto" w:fill="auto"/>
                  <w:vAlign w:val="center"/>
                </w:tcPr>
                <w:p w14:paraId="5D6F69A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渗滤液</w:t>
                  </w:r>
                </w:p>
              </w:tc>
              <w:tc>
                <w:tcPr>
                  <w:tcW w:w="534" w:type="pct"/>
                  <w:shd w:val="clear" w:color="auto" w:fill="auto"/>
                  <w:vAlign w:val="center"/>
                </w:tcPr>
                <w:p w14:paraId="0C792F7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c>
                <w:tcPr>
                  <w:tcW w:w="513" w:type="pct"/>
                  <w:shd w:val="clear" w:color="auto" w:fill="auto"/>
                  <w:vAlign w:val="center"/>
                </w:tcPr>
                <w:p w14:paraId="76F1797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c>
                <w:tcPr>
                  <w:tcW w:w="515" w:type="pct"/>
                  <w:shd w:val="clear" w:color="auto" w:fill="auto"/>
                  <w:vAlign w:val="center"/>
                </w:tcPr>
                <w:p w14:paraId="701647D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93.33</w:t>
                  </w:r>
                </w:p>
              </w:tc>
              <w:tc>
                <w:tcPr>
                  <w:tcW w:w="559" w:type="pct"/>
                  <w:shd w:val="clear" w:color="auto" w:fill="auto"/>
                  <w:vAlign w:val="center"/>
                </w:tcPr>
                <w:p w14:paraId="52EA23A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74.67</w:t>
                  </w:r>
                </w:p>
              </w:tc>
              <w:tc>
                <w:tcPr>
                  <w:tcW w:w="506" w:type="pct"/>
                  <w:shd w:val="clear" w:color="auto" w:fill="auto"/>
                  <w:vAlign w:val="center"/>
                </w:tcPr>
                <w:p w14:paraId="6338E7D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18.66</w:t>
                  </w:r>
                </w:p>
              </w:tc>
              <w:tc>
                <w:tcPr>
                  <w:tcW w:w="391" w:type="pct"/>
                  <w:shd w:val="clear" w:color="auto" w:fill="auto"/>
                  <w:vAlign w:val="center"/>
                </w:tcPr>
                <w:p w14:paraId="3BE8E40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r>
            <w:tr w14:paraId="287DA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78" w:type="pct"/>
                  <w:gridSpan w:val="2"/>
                  <w:shd w:val="clear" w:color="auto" w:fill="auto"/>
                  <w:vAlign w:val="center"/>
                </w:tcPr>
                <w:p w14:paraId="4BDF770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养护用水</w:t>
                  </w:r>
                </w:p>
              </w:tc>
              <w:tc>
                <w:tcPr>
                  <w:tcW w:w="534" w:type="pct"/>
                  <w:shd w:val="clear" w:color="auto" w:fill="auto"/>
                  <w:vAlign w:val="center"/>
                </w:tcPr>
                <w:p w14:paraId="6F772F3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0.8</w:t>
                  </w:r>
                </w:p>
              </w:tc>
              <w:tc>
                <w:tcPr>
                  <w:tcW w:w="513" w:type="pct"/>
                  <w:shd w:val="clear" w:color="auto" w:fill="auto"/>
                  <w:vAlign w:val="center"/>
                </w:tcPr>
                <w:p w14:paraId="4A6EE6D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c>
                <w:tcPr>
                  <w:tcW w:w="515" w:type="pct"/>
                  <w:shd w:val="clear" w:color="auto" w:fill="auto"/>
                  <w:vAlign w:val="center"/>
                </w:tcPr>
                <w:p w14:paraId="5097ACF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p>
              </w:tc>
              <w:tc>
                <w:tcPr>
                  <w:tcW w:w="559" w:type="pct"/>
                  <w:shd w:val="clear" w:color="auto" w:fill="auto"/>
                  <w:vAlign w:val="center"/>
                </w:tcPr>
                <w:p w14:paraId="4B25D3C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p>
              </w:tc>
              <w:tc>
                <w:tcPr>
                  <w:tcW w:w="506" w:type="pct"/>
                  <w:shd w:val="clear" w:color="auto" w:fill="auto"/>
                  <w:vAlign w:val="center"/>
                </w:tcPr>
                <w:p w14:paraId="045BAC5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0.8</w:t>
                  </w:r>
                </w:p>
              </w:tc>
              <w:tc>
                <w:tcPr>
                  <w:tcW w:w="391" w:type="pct"/>
                  <w:shd w:val="clear" w:color="auto" w:fill="auto"/>
                  <w:vAlign w:val="center"/>
                </w:tcPr>
                <w:p w14:paraId="1BCF559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p>
              </w:tc>
            </w:tr>
            <w:tr w14:paraId="0383E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978" w:type="pct"/>
                  <w:gridSpan w:val="2"/>
                  <w:shd w:val="clear" w:color="auto" w:fill="auto"/>
                  <w:vAlign w:val="center"/>
                </w:tcPr>
                <w:p w14:paraId="667C85D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初期雨水</w:t>
                  </w:r>
                </w:p>
              </w:tc>
              <w:tc>
                <w:tcPr>
                  <w:tcW w:w="534" w:type="pct"/>
                  <w:shd w:val="clear" w:color="auto" w:fill="auto"/>
                  <w:vAlign w:val="center"/>
                </w:tcPr>
                <w:p w14:paraId="50AA23C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c>
                <w:tcPr>
                  <w:tcW w:w="513" w:type="pct"/>
                  <w:shd w:val="clear" w:color="auto" w:fill="auto"/>
                  <w:vAlign w:val="center"/>
                </w:tcPr>
                <w:p w14:paraId="11E7A29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c>
                <w:tcPr>
                  <w:tcW w:w="515" w:type="pct"/>
                  <w:shd w:val="clear" w:color="auto" w:fill="auto"/>
                  <w:vAlign w:val="center"/>
                </w:tcPr>
                <w:p w14:paraId="6DFE53B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12</w:t>
                  </w:r>
                </w:p>
              </w:tc>
              <w:tc>
                <w:tcPr>
                  <w:tcW w:w="559" w:type="pct"/>
                  <w:shd w:val="clear" w:color="auto" w:fill="auto"/>
                  <w:vAlign w:val="center"/>
                </w:tcPr>
                <w:p w14:paraId="3E40417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12</w:t>
                  </w:r>
                </w:p>
              </w:tc>
              <w:tc>
                <w:tcPr>
                  <w:tcW w:w="506" w:type="pct"/>
                  <w:shd w:val="clear" w:color="auto" w:fill="auto"/>
                  <w:vAlign w:val="center"/>
                </w:tcPr>
                <w:p w14:paraId="4CC240C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c>
                <w:tcPr>
                  <w:tcW w:w="391" w:type="pct"/>
                  <w:shd w:val="clear" w:color="auto" w:fill="auto"/>
                  <w:vAlign w:val="center"/>
                </w:tcPr>
                <w:p w14:paraId="5BD8B8C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r>
            <w:tr w14:paraId="65C11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978" w:type="pct"/>
                  <w:gridSpan w:val="2"/>
                  <w:shd w:val="clear" w:color="auto" w:fill="auto"/>
                  <w:vAlign w:val="center"/>
                </w:tcPr>
                <w:p w14:paraId="29233AD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小计</w:t>
                  </w:r>
                </w:p>
              </w:tc>
              <w:tc>
                <w:tcPr>
                  <w:tcW w:w="839" w:type="dxa"/>
                  <w:shd w:val="clear" w:color="auto" w:fill="auto"/>
                  <w:vAlign w:val="center"/>
                </w:tcPr>
                <w:p w14:paraId="646364E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136.82</w:t>
                  </w:r>
                </w:p>
              </w:tc>
              <w:tc>
                <w:tcPr>
                  <w:tcW w:w="806" w:type="dxa"/>
                  <w:shd w:val="clear" w:color="auto" w:fill="auto"/>
                  <w:vAlign w:val="center"/>
                </w:tcPr>
                <w:p w14:paraId="27FB0DB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101.24</w:t>
                  </w:r>
                </w:p>
              </w:tc>
              <w:tc>
                <w:tcPr>
                  <w:tcW w:w="810" w:type="dxa"/>
                  <w:shd w:val="clear" w:color="auto" w:fill="auto"/>
                  <w:vAlign w:val="center"/>
                </w:tcPr>
                <w:p w14:paraId="5D8ABEE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105.33</w:t>
                  </w:r>
                </w:p>
              </w:tc>
              <w:tc>
                <w:tcPr>
                  <w:tcW w:w="879" w:type="dxa"/>
                  <w:shd w:val="clear" w:color="auto" w:fill="auto"/>
                  <w:vAlign w:val="center"/>
                </w:tcPr>
                <w:p w14:paraId="24B9303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101.24</w:t>
                  </w:r>
                </w:p>
              </w:tc>
              <w:tc>
                <w:tcPr>
                  <w:tcW w:w="795" w:type="dxa"/>
                  <w:shd w:val="clear" w:color="auto" w:fill="auto"/>
                  <w:vAlign w:val="center"/>
                </w:tcPr>
                <w:p w14:paraId="6A77903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239.75</w:t>
                  </w:r>
                </w:p>
              </w:tc>
              <w:tc>
                <w:tcPr>
                  <w:tcW w:w="614" w:type="dxa"/>
                  <w:shd w:val="clear" w:color="auto" w:fill="auto"/>
                  <w:vAlign w:val="center"/>
                </w:tcPr>
                <w:p w14:paraId="6DE058B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2.4</w:t>
                  </w:r>
                </w:p>
              </w:tc>
            </w:tr>
            <w:tr w14:paraId="2F901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978" w:type="pct"/>
                  <w:gridSpan w:val="2"/>
                  <w:shd w:val="clear" w:color="auto" w:fill="auto"/>
                  <w:vAlign w:val="center"/>
                </w:tcPr>
                <w:p w14:paraId="6E044ED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合计</w:t>
                  </w:r>
                </w:p>
              </w:tc>
              <w:tc>
                <w:tcPr>
                  <w:tcW w:w="2455" w:type="dxa"/>
                  <w:gridSpan w:val="3"/>
                  <w:shd w:val="clear" w:color="auto" w:fill="auto"/>
                  <w:vAlign w:val="center"/>
                </w:tcPr>
                <w:p w14:paraId="497B1AD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343.39</w:t>
                  </w:r>
                </w:p>
              </w:tc>
              <w:tc>
                <w:tcPr>
                  <w:tcW w:w="2288" w:type="dxa"/>
                  <w:gridSpan w:val="3"/>
                  <w:shd w:val="clear" w:color="auto" w:fill="auto"/>
                  <w:vAlign w:val="center"/>
                </w:tcPr>
                <w:p w14:paraId="7FB81BC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343.39</w:t>
                  </w:r>
                </w:p>
              </w:tc>
            </w:tr>
          </w:tbl>
          <w:p w14:paraId="77007A60">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eastAsia="宋体"/>
                <w:color w:val="auto"/>
                <w:sz w:val="24"/>
                <w:szCs w:val="24"/>
                <w:lang w:eastAsia="zh-CN"/>
              </w:rPr>
            </w:pPr>
            <w:r>
              <w:rPr>
                <w:rFonts w:hint="eastAsia" w:eastAsia="宋体"/>
                <w:color w:val="auto"/>
                <w:sz w:val="24"/>
                <w:szCs w:val="24"/>
                <w:lang w:eastAsia="zh-CN"/>
              </w:rPr>
              <w:drawing>
                <wp:inline distT="0" distB="0" distL="114300" distR="114300">
                  <wp:extent cx="4032250" cy="3943350"/>
                  <wp:effectExtent l="0" t="0" r="6350" b="3810"/>
                  <wp:docPr id="8" name="F360BE8B-6686-4F3D-AEAF-501FE73E4058-1" descr="C:/Users/zxh/AppData/Local/Temp/绘图1(28).png绘图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360BE8B-6686-4F3D-AEAF-501FE73E4058-1" descr="C:/Users/zxh/AppData/Local/Temp/绘图1(28).png绘图1(28)"/>
                          <pic:cNvPicPr>
                            <a:picLocks noChangeAspect="1"/>
                          </pic:cNvPicPr>
                        </pic:nvPicPr>
                        <pic:blipFill>
                          <a:blip r:embed="rId9"/>
                          <a:stretch>
                            <a:fillRect/>
                          </a:stretch>
                        </pic:blipFill>
                        <pic:spPr>
                          <a:xfrm>
                            <a:off x="0" y="0"/>
                            <a:ext cx="4032250" cy="3943350"/>
                          </a:xfrm>
                          <a:prstGeom prst="rect">
                            <a:avLst/>
                          </a:prstGeom>
                        </pic:spPr>
                      </pic:pic>
                    </a:graphicData>
                  </a:graphic>
                </wp:inline>
              </w:drawing>
            </w:r>
          </w:p>
          <w:p w14:paraId="07061FDF">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b/>
                <w:color w:val="auto"/>
                <w:sz w:val="21"/>
                <w:szCs w:val="21"/>
              </w:rPr>
            </w:pPr>
            <w:r>
              <w:rPr>
                <w:rFonts w:hint="eastAsia"/>
                <w:b/>
                <w:color w:val="auto"/>
                <w:sz w:val="21"/>
                <w:szCs w:val="21"/>
              </w:rPr>
              <w:t xml:space="preserve">图2-1 </w:t>
            </w:r>
            <w:r>
              <w:rPr>
                <w:rFonts w:hint="eastAsia"/>
                <w:b/>
                <w:color w:val="auto"/>
                <w:sz w:val="21"/>
                <w:szCs w:val="21"/>
                <w:lang w:val="en-US" w:eastAsia="zh-CN"/>
              </w:rPr>
              <w:t xml:space="preserve">  </w:t>
            </w:r>
            <w:r>
              <w:rPr>
                <w:rFonts w:hint="eastAsia"/>
                <w:b/>
                <w:color w:val="auto"/>
                <w:sz w:val="21"/>
                <w:szCs w:val="21"/>
              </w:rPr>
              <w:t>水平衡图（单位：t/d）</w:t>
            </w:r>
          </w:p>
          <w:p w14:paraId="25EA132F">
            <w:pPr>
              <w:keepNext w:val="0"/>
              <w:keepLines w:val="0"/>
              <w:pageBreakBefore/>
              <w:widowControl/>
              <w:suppressLineNumbers w:val="0"/>
              <w:spacing w:before="0" w:beforeLines="0" w:beforeAutospacing="0" w:after="0" w:afterLines="0" w:afterAutospacing="0"/>
              <w:ind w:left="0" w:right="0"/>
              <w:rPr>
                <w:rFonts w:hint="default"/>
                <w:color w:val="auto"/>
                <w:sz w:val="24"/>
                <w:szCs w:val="24"/>
              </w:rPr>
            </w:pPr>
            <w:r>
              <w:rPr>
                <w:rFonts w:hint="eastAsia"/>
                <w:color w:val="auto"/>
                <w:sz w:val="24"/>
                <w:szCs w:val="24"/>
              </w:rPr>
              <w:t>（2）排水</w:t>
            </w:r>
          </w:p>
          <w:p w14:paraId="4C20FE43">
            <w:pPr>
              <w:keepNext w:val="0"/>
              <w:keepLines w:val="0"/>
              <w:pageBreakBefore/>
              <w:widowControl/>
              <w:suppressLineNumbers w:val="0"/>
              <w:spacing w:before="0" w:beforeLines="0" w:beforeAutospacing="0" w:after="0" w:afterLines="0" w:afterAutospacing="0"/>
              <w:ind w:left="0" w:right="0"/>
              <w:rPr>
                <w:rFonts w:hint="eastAsia"/>
                <w:color w:val="auto"/>
                <w:sz w:val="24"/>
                <w:szCs w:val="24"/>
                <w:lang w:val="zh-CN"/>
              </w:rPr>
            </w:pPr>
            <w:r>
              <w:rPr>
                <w:rFonts w:hint="eastAsia"/>
                <w:color w:val="auto"/>
                <w:sz w:val="24"/>
                <w:szCs w:val="24"/>
                <w:lang w:val="zh-CN"/>
              </w:rPr>
              <w:t>本项目生活污水经化粪池预处理后，达</w:t>
            </w:r>
            <w:r>
              <w:rPr>
                <w:rFonts w:hint="eastAsia"/>
                <w:color w:val="auto"/>
                <w:sz w:val="24"/>
                <w:szCs w:val="24"/>
                <w:lang w:val="en-US" w:eastAsia="zh-CN"/>
              </w:rPr>
              <w:t>到</w:t>
            </w:r>
            <w:r>
              <w:rPr>
                <w:rFonts w:hint="eastAsia"/>
                <w:color w:val="auto"/>
                <w:sz w:val="24"/>
                <w:szCs w:val="24"/>
                <w:lang w:val="zh-CN"/>
              </w:rPr>
              <w:t>建筑陶瓷产业园污水处理厂接管标准后，通过市政污水管网排入建筑陶瓷产业园污水处理厂处理达到《城镇污水处理厂污染物排放标准》（GB18918-2002）一级A标准后排入肖江。</w:t>
            </w:r>
          </w:p>
          <w:p w14:paraId="5B279A6E">
            <w:pPr>
              <w:keepNext w:val="0"/>
              <w:keepLines w:val="0"/>
              <w:pageBreakBefore/>
              <w:widowControl/>
              <w:suppressLineNumbers w:val="0"/>
              <w:spacing w:before="0" w:beforeLines="0" w:beforeAutospacing="0" w:after="0" w:afterLines="0" w:afterAutospacing="0"/>
              <w:ind w:left="0" w:right="0"/>
              <w:rPr>
                <w:rFonts w:hint="default"/>
                <w:color w:val="auto"/>
                <w:sz w:val="24"/>
                <w:szCs w:val="24"/>
                <w:lang w:val="zh-CN"/>
              </w:rPr>
            </w:pPr>
            <w:r>
              <w:rPr>
                <w:rFonts w:hint="default"/>
                <w:color w:val="auto"/>
                <w:sz w:val="24"/>
                <w:szCs w:val="24"/>
                <w:lang w:val="zh-CN" w:eastAsia="zh-CN"/>
              </w:rPr>
              <w:t>初期雨水经企业</w:t>
            </w:r>
            <w:r>
              <w:rPr>
                <w:rFonts w:hint="eastAsia"/>
                <w:color w:val="auto"/>
                <w:sz w:val="24"/>
                <w:szCs w:val="24"/>
                <w:lang w:val="en-US" w:eastAsia="zh-CN"/>
              </w:rPr>
              <w:t>自建</w:t>
            </w:r>
            <w:r>
              <w:rPr>
                <w:rFonts w:hint="default"/>
                <w:color w:val="auto"/>
                <w:sz w:val="24"/>
                <w:szCs w:val="24"/>
                <w:lang w:val="zh-CN" w:eastAsia="zh-CN"/>
              </w:rPr>
              <w:t>初期雨水池沉淀处理后回用于厂区降尘</w:t>
            </w:r>
            <w:r>
              <w:rPr>
                <w:rFonts w:hint="eastAsia"/>
                <w:color w:val="auto"/>
                <w:sz w:val="24"/>
                <w:szCs w:val="24"/>
                <w:lang w:val="zh-CN" w:eastAsia="zh-CN"/>
              </w:rPr>
              <w:t>。</w:t>
            </w:r>
          </w:p>
          <w:p w14:paraId="1426CB13">
            <w:pPr>
              <w:keepNext w:val="0"/>
              <w:keepLines w:val="0"/>
              <w:pageBreakBefore/>
              <w:widowControl/>
              <w:suppressLineNumbers w:val="0"/>
              <w:spacing w:before="0" w:beforeLines="0" w:beforeAutospacing="0" w:after="0" w:afterLines="0" w:afterAutospacing="0"/>
              <w:ind w:left="0" w:right="0"/>
              <w:rPr>
                <w:rFonts w:hint="default"/>
                <w:color w:val="auto"/>
                <w:sz w:val="24"/>
                <w:szCs w:val="24"/>
              </w:rPr>
            </w:pPr>
            <w:r>
              <w:rPr>
                <w:rFonts w:hint="eastAsia"/>
                <w:color w:val="auto"/>
                <w:sz w:val="24"/>
                <w:szCs w:val="24"/>
              </w:rPr>
              <w:t>（3）供电</w:t>
            </w:r>
          </w:p>
          <w:p w14:paraId="0C90B663">
            <w:pPr>
              <w:keepNext w:val="0"/>
              <w:keepLines w:val="0"/>
              <w:pageBreakBefore/>
              <w:widowControl/>
              <w:suppressLineNumbers w:val="0"/>
              <w:spacing w:before="0" w:beforeLines="0" w:beforeAutospacing="0" w:after="0" w:afterLines="0" w:afterAutospacing="0"/>
              <w:ind w:left="0" w:right="0"/>
              <w:rPr>
                <w:rFonts w:hint="default"/>
                <w:color w:val="auto"/>
                <w:sz w:val="24"/>
                <w:szCs w:val="24"/>
              </w:rPr>
            </w:pPr>
            <w:r>
              <w:rPr>
                <w:rFonts w:hint="eastAsia"/>
                <w:color w:val="auto"/>
                <w:sz w:val="24"/>
                <w:szCs w:val="24"/>
              </w:rPr>
              <w:t>本项目用电由市政电管网供应，年用电量60万</w:t>
            </w:r>
            <w:r>
              <w:rPr>
                <w:rFonts w:hint="eastAsia"/>
                <w:color w:val="auto"/>
                <w:sz w:val="24"/>
                <w:szCs w:val="24"/>
                <w:lang w:eastAsia="zh-CN"/>
              </w:rPr>
              <w:t>kW</w:t>
            </w:r>
            <w:r>
              <w:rPr>
                <w:rFonts w:hint="eastAsia"/>
                <w:color w:val="auto"/>
                <w:sz w:val="24"/>
                <w:szCs w:val="24"/>
              </w:rPr>
              <w:t>.h。</w:t>
            </w:r>
          </w:p>
          <w:p w14:paraId="1048238C">
            <w:pPr>
              <w:keepNext w:val="0"/>
              <w:keepLines w:val="0"/>
              <w:pageBreakBefore/>
              <w:widowControl/>
              <w:suppressLineNumbers w:val="0"/>
              <w:spacing w:before="0" w:beforeLines="0" w:beforeAutospacing="0" w:after="0" w:afterLines="0" w:afterAutospacing="0"/>
              <w:ind w:left="0" w:right="0" w:firstLine="482"/>
              <w:rPr>
                <w:rFonts w:hint="default"/>
                <w:b/>
                <w:color w:val="auto"/>
                <w:sz w:val="24"/>
                <w:szCs w:val="24"/>
              </w:rPr>
            </w:pPr>
            <w:r>
              <w:rPr>
                <w:rFonts w:hint="eastAsia"/>
                <w:b/>
                <w:color w:val="auto"/>
                <w:sz w:val="24"/>
                <w:szCs w:val="24"/>
              </w:rPr>
              <w:t>8.厂区平面布置</w:t>
            </w:r>
          </w:p>
          <w:p w14:paraId="7120BFF7">
            <w:pPr>
              <w:keepNext w:val="0"/>
              <w:keepLines w:val="0"/>
              <w:pageBreakBefore/>
              <w:widowControl/>
              <w:suppressLineNumbers w:val="0"/>
              <w:spacing w:before="0" w:beforeLines="0" w:beforeAutospacing="0" w:after="0" w:afterLines="0" w:afterAutospacing="0"/>
              <w:ind w:left="0" w:right="0" w:firstLine="480" w:firstLineChars="200"/>
              <w:rPr>
                <w:rFonts w:hint="eastAsia" w:ascii="黑体" w:hAnsi="黑体" w:eastAsia="黑体" w:cs="Times New Roman"/>
                <w:snapToGrid w:val="0"/>
                <w:color w:val="auto"/>
                <w:sz w:val="30"/>
                <w:szCs w:val="30"/>
                <w:vertAlign w:val="baseline"/>
              </w:rPr>
            </w:pPr>
            <w:r>
              <w:rPr>
                <w:rFonts w:hint="eastAsia"/>
                <w:color w:val="auto"/>
                <w:sz w:val="24"/>
                <w:szCs w:val="24"/>
                <w:lang w:val="en-US" w:eastAsia="zh-CN"/>
              </w:rPr>
              <w:t>本次变更项目生产工艺及平面布置不变，</w:t>
            </w:r>
            <w:r>
              <w:rPr>
                <w:rFonts w:hint="eastAsia"/>
                <w:color w:val="auto"/>
                <w:sz w:val="24"/>
                <w:szCs w:val="24"/>
              </w:rPr>
              <w:t>项目租用已建厂房进行建设，所租厂房办公区与生产区等分隔，功能分区明确。生产区域各环节连接紧凑，物料输送距离短，便于节能降耗，提高生产效率，并减轻厂区内主要生产设备噪声对厂区附近声环境的影响。从总体上讲，所租厂房功能区划分明确，各功能区平面布置亦充分考虑安全间距，避免相互影响，项目平面布置较为合理。</w:t>
            </w:r>
          </w:p>
        </w:tc>
      </w:tr>
      <w:tr w14:paraId="3FA22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7" w:type="dxa"/>
            <w:vAlign w:val="center"/>
          </w:tcPr>
          <w:p w14:paraId="1EEDF008">
            <w:pPr>
              <w:pStyle w:val="24"/>
              <w:keepNext w:val="0"/>
              <w:keepLines w:val="0"/>
              <w:numPr>
                <w:ilvl w:val="0"/>
                <w:numId w:val="0"/>
              </w:numPr>
              <w:suppressLineNumbers w:val="0"/>
              <w:ind w:left="0" w:right="0"/>
              <w:jc w:val="center"/>
              <w:outlineLvl w:val="9"/>
              <w:rPr>
                <w:rFonts w:hint="eastAsia" w:ascii="黑体" w:hAnsi="黑体" w:eastAsia="黑体" w:cs="Times New Roman"/>
                <w:snapToGrid w:val="0"/>
                <w:color w:val="auto"/>
                <w:sz w:val="24"/>
                <w:szCs w:val="24"/>
                <w:vertAlign w:val="baseline"/>
              </w:rPr>
            </w:pPr>
            <w:r>
              <w:rPr>
                <w:rFonts w:hint="eastAsia" w:ascii="黑体" w:hAnsi="黑体" w:eastAsia="黑体" w:cs="Times New Roman"/>
                <w:snapToGrid w:val="0"/>
                <w:color w:val="auto"/>
                <w:sz w:val="24"/>
                <w:szCs w:val="24"/>
                <w:vertAlign w:val="baseline"/>
                <w:lang w:val="en-US" w:eastAsia="zh-CN"/>
              </w:rPr>
              <w:t>艺流程和产排污环节</w:t>
            </w:r>
          </w:p>
        </w:tc>
        <w:tc>
          <w:tcPr>
            <w:tcW w:w="8075" w:type="dxa"/>
            <w:vAlign w:val="top"/>
          </w:tcPr>
          <w:p w14:paraId="7686F008">
            <w:pPr>
              <w:keepNext w:val="0"/>
              <w:keepLines w:val="0"/>
              <w:pageBreakBefore/>
              <w:widowControl/>
              <w:numPr>
                <w:ilvl w:val="0"/>
                <w:numId w:val="0"/>
              </w:numPr>
              <w:suppressLineNumbers w:val="0"/>
              <w:spacing w:before="0" w:beforeLines="0" w:beforeAutospacing="0" w:after="0" w:afterLines="0" w:afterAutospacing="0"/>
              <w:ind w:left="0" w:right="0" w:firstLine="482"/>
              <w:rPr>
                <w:rFonts w:hint="default"/>
                <w:b/>
                <w:color w:val="auto"/>
                <w:sz w:val="24"/>
                <w:szCs w:val="24"/>
              </w:rPr>
            </w:pPr>
            <w:r>
              <w:rPr>
                <w:rFonts w:hint="eastAsia"/>
                <w:b/>
                <w:color w:val="auto"/>
                <w:sz w:val="24"/>
                <w:szCs w:val="24"/>
                <w:lang w:val="en-US" w:eastAsia="zh-CN"/>
              </w:rPr>
              <w:t>1</w:t>
            </w:r>
            <w:r>
              <w:rPr>
                <w:rFonts w:hint="default"/>
                <w:b/>
                <w:color w:val="auto"/>
                <w:sz w:val="24"/>
                <w:szCs w:val="24"/>
              </w:rPr>
              <w:t>.</w:t>
            </w:r>
            <w:r>
              <w:rPr>
                <w:rFonts w:hint="eastAsia"/>
                <w:b/>
                <w:color w:val="auto"/>
                <w:sz w:val="24"/>
                <w:szCs w:val="24"/>
              </w:rPr>
              <w:t>本项目运营期主要工艺流程及产排污环节</w:t>
            </w:r>
          </w:p>
          <w:p w14:paraId="7905EB8B">
            <w:pPr>
              <w:keepNext w:val="0"/>
              <w:keepLines w:val="0"/>
              <w:pageBreakBefore/>
              <w:widowControl/>
              <w:suppressLineNumbers w:val="0"/>
              <w:spacing w:before="0" w:beforeLines="0" w:beforeAutospacing="0" w:after="0" w:afterLines="0" w:afterAutospacing="0" w:line="360" w:lineRule="auto"/>
              <w:ind w:left="0" w:right="0" w:firstLine="0" w:firstLineChars="0"/>
              <w:jc w:val="center"/>
              <w:rPr>
                <w:rFonts w:hint="eastAsia" w:eastAsia="宋体"/>
                <w:b/>
                <w:color w:val="auto"/>
                <w:sz w:val="21"/>
                <w:szCs w:val="21"/>
                <w:lang w:eastAsia="zh-CN"/>
              </w:rPr>
            </w:pPr>
            <w:r>
              <w:rPr>
                <w:rFonts w:hint="eastAsia" w:eastAsia="宋体"/>
                <w:b/>
                <w:color w:val="auto"/>
                <w:sz w:val="21"/>
                <w:szCs w:val="21"/>
                <w:lang w:eastAsia="zh-CN"/>
              </w:rPr>
              <w:drawing>
                <wp:inline distT="0" distB="0" distL="114300" distR="114300">
                  <wp:extent cx="4857750" cy="1252220"/>
                  <wp:effectExtent l="0" t="0" r="3810" b="12700"/>
                  <wp:docPr id="12" name="F360BE8B-6686-4F3D-AEAF-501FE73E4058-2" descr="C:/Users/zxh/AppData/Local/Temp/绘图1(21).png绘图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360BE8B-6686-4F3D-AEAF-501FE73E4058-2" descr="C:/Users/zxh/AppData/Local/Temp/绘图1(21).png绘图1(21)"/>
                          <pic:cNvPicPr>
                            <a:picLocks noChangeAspect="1"/>
                          </pic:cNvPicPr>
                        </pic:nvPicPr>
                        <pic:blipFill>
                          <a:blip r:embed="rId10"/>
                          <a:stretch>
                            <a:fillRect/>
                          </a:stretch>
                        </pic:blipFill>
                        <pic:spPr>
                          <a:xfrm>
                            <a:off x="0" y="0"/>
                            <a:ext cx="4857750" cy="1252220"/>
                          </a:xfrm>
                          <a:prstGeom prst="rect">
                            <a:avLst/>
                          </a:prstGeom>
                        </pic:spPr>
                      </pic:pic>
                    </a:graphicData>
                  </a:graphic>
                </wp:inline>
              </w:drawing>
            </w:r>
          </w:p>
          <w:p w14:paraId="0B3736FA">
            <w:pPr>
              <w:keepNext w:val="0"/>
              <w:keepLines w:val="0"/>
              <w:pageBreakBefore/>
              <w:widowControl/>
              <w:suppressLineNumbers w:val="0"/>
              <w:spacing w:before="0" w:beforeLines="0" w:beforeAutospacing="0" w:after="0" w:afterLines="0" w:afterAutospacing="0" w:line="360" w:lineRule="auto"/>
              <w:ind w:left="0" w:right="0" w:firstLine="0" w:firstLineChars="0"/>
              <w:jc w:val="center"/>
              <w:rPr>
                <w:rFonts w:hint="eastAsia"/>
                <w:b/>
                <w:color w:val="auto"/>
                <w:sz w:val="21"/>
                <w:szCs w:val="21"/>
              </w:rPr>
            </w:pPr>
            <w:r>
              <w:rPr>
                <w:rFonts w:hint="eastAsia"/>
                <w:b/>
                <w:color w:val="auto"/>
                <w:sz w:val="21"/>
                <w:szCs w:val="21"/>
              </w:rPr>
              <w:t>图2-2建筑废料预处理工艺流程及污染环节图</w:t>
            </w:r>
          </w:p>
          <w:p w14:paraId="023EB727">
            <w:pPr>
              <w:keepNext w:val="0"/>
              <w:keepLines w:val="0"/>
              <w:pageBreakBefore/>
              <w:widowControl/>
              <w:suppressLineNumbers w:val="0"/>
              <w:spacing w:before="0" w:beforeLines="0" w:beforeAutospacing="0" w:after="0" w:afterLines="0" w:afterAutospacing="0" w:line="360" w:lineRule="auto"/>
              <w:ind w:left="0" w:right="0" w:firstLine="0" w:firstLineChars="0"/>
              <w:jc w:val="center"/>
              <w:rPr>
                <w:rFonts w:hint="eastAsia"/>
                <w:b/>
                <w:color w:val="auto"/>
                <w:sz w:val="21"/>
                <w:szCs w:val="21"/>
              </w:rPr>
            </w:pPr>
            <w:r>
              <w:rPr>
                <w:rFonts w:hint="eastAsia"/>
                <w:b/>
                <w:color w:val="auto"/>
                <w:sz w:val="21"/>
                <w:szCs w:val="21"/>
                <w:lang w:eastAsia="zh-CN"/>
              </w:rPr>
              <w:drawing>
                <wp:inline distT="0" distB="0" distL="114300" distR="114300">
                  <wp:extent cx="4715510" cy="2004695"/>
                  <wp:effectExtent l="0" t="0" r="8890" b="6985"/>
                  <wp:docPr id="1" name="F360BE8B-6686-4F3D-AEAF-501FE73E4058-3" descr="C:/Users/zxh/AppData/Local/Temp/绘图1.png绘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360BE8B-6686-4F3D-AEAF-501FE73E4058-3" descr="C:/Users/zxh/AppData/Local/Temp/绘图1.png绘图1"/>
                          <pic:cNvPicPr>
                            <a:picLocks noChangeAspect="1"/>
                          </pic:cNvPicPr>
                        </pic:nvPicPr>
                        <pic:blipFill>
                          <a:blip r:embed="rId11"/>
                          <a:stretch>
                            <a:fillRect/>
                          </a:stretch>
                        </pic:blipFill>
                        <pic:spPr>
                          <a:xfrm>
                            <a:off x="0" y="0"/>
                            <a:ext cx="4715510" cy="2004695"/>
                          </a:xfrm>
                          <a:prstGeom prst="rect">
                            <a:avLst/>
                          </a:prstGeom>
                        </pic:spPr>
                      </pic:pic>
                    </a:graphicData>
                  </a:graphic>
                </wp:inline>
              </w:drawing>
            </w:r>
          </w:p>
          <w:p w14:paraId="77FC0151">
            <w:pPr>
              <w:keepNext w:val="0"/>
              <w:keepLines w:val="0"/>
              <w:pageBreakBefore/>
              <w:widowControl/>
              <w:suppressLineNumbers w:val="0"/>
              <w:spacing w:before="0" w:beforeLines="0" w:beforeAutospacing="0" w:after="0" w:afterLines="0" w:afterAutospacing="0" w:line="360" w:lineRule="auto"/>
              <w:ind w:left="0" w:right="0" w:firstLine="0" w:firstLineChars="0"/>
              <w:jc w:val="center"/>
              <w:rPr>
                <w:rFonts w:hint="eastAsia" w:eastAsia="宋体"/>
                <w:b/>
                <w:color w:val="auto"/>
                <w:sz w:val="21"/>
                <w:szCs w:val="21"/>
                <w:lang w:eastAsia="zh-CN"/>
              </w:rPr>
            </w:pPr>
            <w:r>
              <w:rPr>
                <w:rFonts w:hint="eastAsia"/>
                <w:b/>
                <w:color w:val="auto"/>
                <w:sz w:val="21"/>
                <w:szCs w:val="21"/>
              </w:rPr>
              <w:t>图2-3免烧砖（环保砖）工艺流程及污染环节图</w:t>
            </w:r>
            <w:r>
              <w:rPr>
                <w:rFonts w:hint="eastAsia" w:eastAsia="宋体"/>
                <w:b/>
                <w:color w:val="auto"/>
                <w:sz w:val="21"/>
                <w:szCs w:val="21"/>
                <w:lang w:eastAsia="zh-CN"/>
              </w:rPr>
              <w:drawing>
                <wp:inline distT="0" distB="0" distL="114300" distR="114300">
                  <wp:extent cx="4363720" cy="1220470"/>
                  <wp:effectExtent l="0" t="0" r="10160" b="13970"/>
                  <wp:docPr id="2" name="F360BE8B-6686-4F3D-AEAF-501FE73E4058-4" descr="C:/Users/zxh/AppData/Local/Temp/绘图1(23).png绘图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360BE8B-6686-4F3D-AEAF-501FE73E4058-4" descr="C:/Users/zxh/AppData/Local/Temp/绘图1(23).png绘图1(23)"/>
                          <pic:cNvPicPr>
                            <a:picLocks noChangeAspect="1"/>
                          </pic:cNvPicPr>
                        </pic:nvPicPr>
                        <pic:blipFill>
                          <a:blip r:embed="rId12"/>
                          <a:stretch>
                            <a:fillRect/>
                          </a:stretch>
                        </pic:blipFill>
                        <pic:spPr>
                          <a:xfrm>
                            <a:off x="0" y="0"/>
                            <a:ext cx="4363720" cy="1220470"/>
                          </a:xfrm>
                          <a:prstGeom prst="rect">
                            <a:avLst/>
                          </a:prstGeom>
                        </pic:spPr>
                      </pic:pic>
                    </a:graphicData>
                  </a:graphic>
                </wp:inline>
              </w:drawing>
            </w:r>
          </w:p>
          <w:p w14:paraId="1B86302E">
            <w:pPr>
              <w:keepNext w:val="0"/>
              <w:keepLines w:val="0"/>
              <w:pageBreakBefore/>
              <w:widowControl/>
              <w:suppressLineNumbers w:val="0"/>
              <w:spacing w:before="0" w:beforeLines="0" w:beforeAutospacing="0" w:after="0" w:afterLines="0" w:afterAutospacing="0" w:line="360" w:lineRule="auto"/>
              <w:ind w:left="0" w:right="0" w:firstLine="0" w:firstLineChars="0"/>
              <w:jc w:val="center"/>
              <w:rPr>
                <w:rFonts w:hint="default"/>
                <w:b/>
                <w:color w:val="auto"/>
                <w:sz w:val="21"/>
                <w:szCs w:val="20"/>
              </w:rPr>
            </w:pPr>
            <w:r>
              <w:rPr>
                <w:rFonts w:hint="eastAsia"/>
                <w:b/>
                <w:color w:val="auto"/>
                <w:sz w:val="21"/>
                <w:szCs w:val="20"/>
              </w:rPr>
              <w:t>图2-4再生道路复合稳定料工艺流程及污染环节图</w:t>
            </w:r>
          </w:p>
          <w:p w14:paraId="39E45843">
            <w:pPr>
              <w:keepNext w:val="0"/>
              <w:keepLines w:val="0"/>
              <w:pageBreakBefore/>
              <w:widowControl/>
              <w:numPr>
                <w:ilvl w:val="0"/>
                <w:numId w:val="0"/>
              </w:numPr>
              <w:suppressLineNumbers w:val="0"/>
              <w:spacing w:before="0" w:beforeLines="0" w:beforeAutospacing="0" w:after="0" w:afterLines="0" w:afterAutospacing="0"/>
              <w:ind w:left="0" w:right="0" w:firstLine="482"/>
              <w:jc w:val="left"/>
              <w:rPr>
                <w:rFonts w:hint="eastAsia"/>
                <w:b/>
                <w:color w:val="auto"/>
                <w:sz w:val="24"/>
                <w:szCs w:val="24"/>
              </w:rPr>
            </w:pPr>
            <w:r>
              <w:rPr>
                <w:rFonts w:hint="eastAsia"/>
                <w:b/>
                <w:color w:val="auto"/>
                <w:sz w:val="24"/>
                <w:szCs w:val="24"/>
              </w:rPr>
              <w:t>生产工艺流程简述：</w:t>
            </w:r>
          </w:p>
          <w:p w14:paraId="27F612FE">
            <w:pPr>
              <w:keepNext w:val="0"/>
              <w:keepLines w:val="0"/>
              <w:pageBreakBefore/>
              <w:widowControl/>
              <w:numPr>
                <w:ilvl w:val="0"/>
                <w:numId w:val="0"/>
              </w:numPr>
              <w:suppressLineNumbers w:val="0"/>
              <w:spacing w:before="0" w:beforeLines="0" w:beforeAutospacing="0" w:after="0" w:afterLines="0" w:afterAutospacing="0"/>
              <w:ind w:left="0" w:right="0" w:firstLine="482"/>
              <w:jc w:val="left"/>
              <w:rPr>
                <w:rFonts w:hint="default" w:eastAsia="宋体"/>
                <w:b w:val="0"/>
                <w:bCs/>
                <w:color w:val="auto"/>
                <w:sz w:val="24"/>
                <w:szCs w:val="24"/>
                <w:lang w:val="en-US" w:eastAsia="zh-CN"/>
              </w:rPr>
            </w:pPr>
            <w:r>
              <w:rPr>
                <w:rFonts w:hint="eastAsia"/>
                <w:b w:val="0"/>
                <w:bCs/>
                <w:color w:val="auto"/>
                <w:sz w:val="24"/>
                <w:szCs w:val="24"/>
                <w:lang w:val="en-US" w:eastAsia="zh-CN"/>
              </w:rPr>
              <w:t>车辆为全密闭运输，到达厂区后堆放至对应的仓库，在锂渣仓库设有渗滤液池防止渗滤液外排，由导流槽收集至渗滤液池，随后回用于产品生产。</w:t>
            </w:r>
          </w:p>
          <w:p w14:paraId="51725241">
            <w:pPr>
              <w:keepNext w:val="0"/>
              <w:keepLines w:val="0"/>
              <w:pageBreakBefore/>
              <w:widowControl/>
              <w:numPr>
                <w:ilvl w:val="0"/>
                <w:numId w:val="0"/>
              </w:numPr>
              <w:suppressLineNumbers w:val="0"/>
              <w:spacing w:before="0" w:beforeLines="0" w:beforeAutospacing="0" w:after="0" w:afterLines="0" w:afterAutospacing="0"/>
              <w:ind w:left="0" w:right="0"/>
              <w:jc w:val="left"/>
              <w:rPr>
                <w:rFonts w:hint="eastAsia" w:eastAsia="宋体"/>
                <w:color w:val="auto"/>
                <w:sz w:val="24"/>
                <w:szCs w:val="24"/>
                <w:lang w:val="en-US" w:eastAsia="zh-CN"/>
              </w:rPr>
            </w:pPr>
            <w:r>
              <w:rPr>
                <w:rFonts w:hint="eastAsia"/>
                <w:color w:val="auto"/>
                <w:sz w:val="24"/>
                <w:szCs w:val="24"/>
              </w:rPr>
              <w:t>1）建筑废料预处理</w:t>
            </w:r>
          </w:p>
          <w:p w14:paraId="691C9C6B">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eastAsia"/>
                <w:color w:val="auto"/>
                <w:sz w:val="24"/>
                <w:szCs w:val="24"/>
              </w:rPr>
            </w:pPr>
            <w:r>
              <w:rPr>
                <w:rFonts w:hint="eastAsia"/>
                <w:color w:val="auto"/>
                <w:sz w:val="24"/>
                <w:szCs w:val="24"/>
              </w:rPr>
              <w:t>①分选、筛选：</w:t>
            </w:r>
          </w:p>
          <w:p w14:paraId="01BD19B3">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color w:val="auto"/>
                <w:sz w:val="24"/>
                <w:szCs w:val="24"/>
              </w:rPr>
            </w:pPr>
            <w:r>
              <w:rPr>
                <w:rFonts w:hint="eastAsia"/>
                <w:color w:val="auto"/>
                <w:sz w:val="24"/>
                <w:szCs w:val="24"/>
              </w:rPr>
              <w:t>将收购来的一般固废经过</w:t>
            </w:r>
            <w:r>
              <w:rPr>
                <w:rFonts w:hint="eastAsia"/>
                <w:color w:val="auto"/>
                <w:sz w:val="24"/>
                <w:szCs w:val="24"/>
                <w:lang w:val="en-US" w:eastAsia="zh-CN"/>
              </w:rPr>
              <w:t>磁选机与振动筛，建筑废料通过磁选机时里面的金属物质会被磁选机在磁场的作用下，磁性矿粒发生磁聚而形成“磁团”，“磁团”在矿浆中受磁力作用，向磁极运动，而被吸附在圆筒上。由于磁极的极性沿圆筒旋转方向是交替排列的，并且在工作中固定不动，“磁团”在随圆筒旋转时，由于磁极交替而产生磁搅拌现象，被夹杂在“磁团”中的脉石等非磁性矿物在翻动中脱落下来，最终被吸在圆筒表面的“磁团”即金属物质，泥石分离机内利用物料中不同成分的密度和重量差异。在设备运行过程中，物料受到重力和惯性的作用，使得密度和重量较大的物料（如石头）和密度和重量较小的物料（如泥土）在设备内部产生相对运动‌</w:t>
            </w:r>
            <w:r>
              <w:rPr>
                <w:rFonts w:hint="eastAsia"/>
                <w:color w:val="auto"/>
                <w:sz w:val="24"/>
                <w:szCs w:val="24"/>
              </w:rPr>
              <w:t>去除其中的固废垃圾</w:t>
            </w:r>
            <w:r>
              <w:rPr>
                <w:rFonts w:hint="eastAsia"/>
                <w:color w:val="auto"/>
                <w:sz w:val="24"/>
                <w:szCs w:val="24"/>
                <w:lang w:eastAsia="zh-CN"/>
              </w:rPr>
              <w:t>，</w:t>
            </w:r>
            <w:r>
              <w:rPr>
                <w:rFonts w:hint="eastAsia"/>
                <w:color w:val="auto"/>
                <w:sz w:val="24"/>
                <w:szCs w:val="24"/>
                <w:lang w:val="en-US" w:eastAsia="zh-CN"/>
              </w:rPr>
              <w:t>锂渣无需经过磁选机，仅经过振动筛选分类，该过程会产生噪音、固废与粉尘</w:t>
            </w:r>
            <w:r>
              <w:rPr>
                <w:rFonts w:hint="eastAsia"/>
                <w:color w:val="auto"/>
                <w:sz w:val="24"/>
                <w:szCs w:val="24"/>
              </w:rPr>
              <w:t>。</w:t>
            </w:r>
          </w:p>
          <w:p w14:paraId="2119AC9A">
            <w:pPr>
              <w:keepNext w:val="0"/>
              <w:keepLines w:val="0"/>
              <w:pageBreakBefore/>
              <w:widowControl/>
              <w:suppressLineNumbers w:val="0"/>
              <w:spacing w:before="0" w:beforeLines="0" w:beforeAutospacing="0" w:after="0" w:afterLines="0" w:afterAutospacing="0"/>
              <w:ind w:left="0" w:right="0"/>
              <w:rPr>
                <w:rFonts w:hint="eastAsia"/>
                <w:color w:val="auto"/>
                <w:sz w:val="24"/>
                <w:szCs w:val="24"/>
              </w:rPr>
            </w:pPr>
            <w:r>
              <w:rPr>
                <w:rFonts w:hint="eastAsia"/>
                <w:color w:val="auto"/>
                <w:sz w:val="24"/>
                <w:szCs w:val="24"/>
              </w:rPr>
              <w:t>②破碎、粉碎</w:t>
            </w:r>
          </w:p>
          <w:p w14:paraId="1E585078">
            <w:pPr>
              <w:keepNext w:val="0"/>
              <w:keepLines w:val="0"/>
              <w:pageBreakBefore/>
              <w:widowControl/>
              <w:suppressLineNumbers w:val="0"/>
              <w:spacing w:before="0" w:beforeLines="0" w:beforeAutospacing="0" w:after="0" w:afterLines="0" w:afterAutospacing="0"/>
              <w:ind w:left="0" w:right="0"/>
              <w:rPr>
                <w:rFonts w:hint="eastAsia"/>
                <w:color w:val="auto"/>
                <w:sz w:val="24"/>
                <w:szCs w:val="24"/>
              </w:rPr>
            </w:pPr>
            <w:r>
              <w:rPr>
                <w:rFonts w:hint="eastAsia" w:ascii="Times New Roman" w:hAnsi="Times New Roman" w:eastAsia="宋体" w:cs="Times New Roman"/>
                <w:color w:val="auto"/>
                <w:sz w:val="24"/>
                <w:szCs w:val="24"/>
                <w:lang w:val="en-US" w:eastAsia="zh-CN"/>
              </w:rPr>
              <w:t>项目脱硫石膏、破陶瓷砖拋光泥无需破碎，需要破碎的原料为建筑废料</w:t>
            </w:r>
            <w:r>
              <w:rPr>
                <w:rFonts w:hint="eastAsia" w:cs="Times New Roman"/>
                <w:color w:val="auto"/>
                <w:sz w:val="24"/>
                <w:szCs w:val="24"/>
                <w:lang w:val="en-US" w:eastAsia="zh-CN"/>
              </w:rPr>
              <w:t>、锂渣（锂渣仓库自然晾干的锂渣含水率由14%降至10%，因其易结块，需破碎后配料）</w:t>
            </w:r>
            <w:r>
              <w:rPr>
                <w:rFonts w:hint="eastAsia" w:ascii="Times New Roman" w:hAnsi="Times New Roman" w:eastAsia="宋体" w:cs="Times New Roman"/>
                <w:color w:val="auto"/>
                <w:sz w:val="24"/>
                <w:szCs w:val="24"/>
                <w:lang w:val="en-US" w:eastAsia="zh-CN"/>
              </w:rPr>
              <w:t>，将一般固废送入破碎机，</w:t>
            </w:r>
            <w:r>
              <w:rPr>
                <w:rFonts w:hint="eastAsia"/>
                <w:color w:val="auto"/>
                <w:sz w:val="24"/>
                <w:szCs w:val="24"/>
              </w:rPr>
              <w:t>破碎</w:t>
            </w:r>
            <w:r>
              <w:rPr>
                <w:rFonts w:hint="eastAsia"/>
                <w:color w:val="auto"/>
                <w:sz w:val="24"/>
                <w:szCs w:val="24"/>
                <w:lang w:val="en-US" w:eastAsia="zh-CN"/>
              </w:rPr>
              <w:t>5分钟以上使粒径达到4.75mm</w:t>
            </w:r>
            <w:r>
              <w:rPr>
                <w:rFonts w:hint="eastAsia"/>
                <w:color w:val="auto"/>
                <w:sz w:val="24"/>
                <w:szCs w:val="24"/>
              </w:rPr>
              <w:t>后原料有两个去向，一是加入水泥、水</w:t>
            </w:r>
            <w:r>
              <w:rPr>
                <w:rFonts w:hint="eastAsia"/>
                <w:color w:val="auto"/>
                <w:sz w:val="24"/>
                <w:szCs w:val="24"/>
                <w:lang w:val="en-US" w:eastAsia="zh-CN"/>
              </w:rPr>
              <w:t>等其他材料</w:t>
            </w:r>
            <w:r>
              <w:rPr>
                <w:rFonts w:hint="eastAsia"/>
                <w:color w:val="auto"/>
                <w:sz w:val="24"/>
                <w:szCs w:val="24"/>
              </w:rPr>
              <w:t>混合并拌制成混合料，</w:t>
            </w:r>
            <w:r>
              <w:rPr>
                <w:rFonts w:hint="eastAsia"/>
                <w:color w:val="auto"/>
                <w:sz w:val="24"/>
                <w:szCs w:val="24"/>
                <w:lang w:val="en-US" w:eastAsia="zh-CN"/>
              </w:rPr>
              <w:t>制成免烧砖</w:t>
            </w:r>
            <w:r>
              <w:rPr>
                <w:rFonts w:hint="eastAsia"/>
                <w:color w:val="auto"/>
                <w:sz w:val="24"/>
                <w:szCs w:val="24"/>
              </w:rPr>
              <w:t>；二是进入再生道路复合稳定料生产线，生产再生道路复合稳定料出售。该工序会产生</w:t>
            </w:r>
            <w:r>
              <w:rPr>
                <w:rFonts w:hint="eastAsia"/>
                <w:color w:val="auto"/>
                <w:sz w:val="24"/>
                <w:szCs w:val="24"/>
                <w:lang w:val="en-US" w:eastAsia="zh-CN"/>
              </w:rPr>
              <w:t>噪音</w:t>
            </w:r>
            <w:r>
              <w:rPr>
                <w:rFonts w:hint="eastAsia"/>
                <w:color w:val="auto"/>
                <w:sz w:val="24"/>
                <w:szCs w:val="24"/>
              </w:rPr>
              <w:t>与粉尘。</w:t>
            </w:r>
          </w:p>
          <w:p w14:paraId="7255791A">
            <w:pPr>
              <w:keepNext w:val="0"/>
              <w:keepLines w:val="0"/>
              <w:pageBreakBefore/>
              <w:widowControl/>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ind w:left="0" w:right="0" w:firstLine="480" w:firstLineChars="200"/>
              <w:textAlignment w:val="auto"/>
              <w:rPr>
                <w:rFonts w:hint="eastAsia"/>
                <w:color w:val="auto"/>
                <w:sz w:val="24"/>
                <w:szCs w:val="24"/>
              </w:rPr>
            </w:pPr>
            <w:r>
              <w:rPr>
                <w:rFonts w:hint="eastAsia"/>
                <w:color w:val="auto"/>
                <w:sz w:val="24"/>
                <w:szCs w:val="24"/>
              </w:rPr>
              <w:t>2、免烧砖</w:t>
            </w:r>
          </w:p>
          <w:p w14:paraId="7AF27A68">
            <w:pPr>
              <w:keepNext w:val="0"/>
              <w:keepLines w:val="0"/>
              <w:pageBreakBefore/>
              <w:widowControl/>
              <w:numPr>
                <w:ilvl w:val="0"/>
                <w:numId w:val="0"/>
              </w:numPr>
              <w:suppressLineNumbers w:val="0"/>
              <w:spacing w:before="0" w:beforeLines="0" w:beforeAutospacing="0" w:after="0" w:afterLines="0" w:afterAutospacing="0"/>
              <w:ind w:left="480" w:leftChars="200" w:right="0"/>
              <w:rPr>
                <w:rFonts w:hint="default"/>
                <w:color w:val="auto"/>
                <w:sz w:val="24"/>
                <w:szCs w:val="24"/>
              </w:rPr>
            </w:pPr>
            <w:r>
              <w:rPr>
                <w:rFonts w:hint="default"/>
                <w:color w:val="auto"/>
                <w:sz w:val="24"/>
                <w:szCs w:val="24"/>
              </w:rPr>
              <w:t>①</w:t>
            </w:r>
            <w:r>
              <w:rPr>
                <w:rFonts w:hint="eastAsia"/>
                <w:color w:val="auto"/>
                <w:sz w:val="24"/>
                <w:szCs w:val="24"/>
              </w:rPr>
              <w:t>搅拌</w:t>
            </w:r>
          </w:p>
          <w:p w14:paraId="7591853E">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color w:val="auto"/>
                <w:sz w:val="24"/>
                <w:szCs w:val="24"/>
                <w:lang w:val="en-US" w:eastAsia="zh-CN"/>
              </w:rPr>
            </w:pPr>
            <w:r>
              <w:rPr>
                <w:rFonts w:hint="eastAsia"/>
                <w:color w:val="auto"/>
                <w:sz w:val="24"/>
                <w:szCs w:val="24"/>
              </w:rPr>
              <w:t>建设单位拟选用全自动电子配料系统，可根据配比要求自动完成配料程序。</w:t>
            </w:r>
            <w:r>
              <w:rPr>
                <w:rFonts w:hint="eastAsia"/>
                <w:color w:val="auto"/>
                <w:sz w:val="24"/>
                <w:szCs w:val="24"/>
                <w:lang w:eastAsia="zh-CN"/>
              </w:rPr>
              <w:t>各类原料由铲车及铲车运送到进料口</w:t>
            </w:r>
            <w:r>
              <w:rPr>
                <w:rFonts w:hint="eastAsia"/>
                <w:color w:val="auto"/>
                <w:sz w:val="24"/>
                <w:szCs w:val="24"/>
              </w:rPr>
              <w:t>经皮带输送机</w:t>
            </w:r>
            <w:r>
              <w:rPr>
                <w:rFonts w:hint="eastAsia"/>
                <w:color w:val="auto"/>
                <w:sz w:val="24"/>
                <w:szCs w:val="24"/>
                <w:lang w:eastAsia="zh-CN"/>
              </w:rPr>
              <w:t>（</w:t>
            </w:r>
            <w:r>
              <w:rPr>
                <w:rFonts w:hint="eastAsia"/>
                <w:color w:val="auto"/>
                <w:sz w:val="24"/>
                <w:szCs w:val="24"/>
                <w:lang w:val="en-US" w:eastAsia="zh-CN"/>
              </w:rPr>
              <w:t>全封闭，转载落差0.4米）</w:t>
            </w:r>
            <w:r>
              <w:rPr>
                <w:rFonts w:hint="eastAsia"/>
                <w:color w:val="auto"/>
                <w:sz w:val="24"/>
                <w:szCs w:val="24"/>
              </w:rPr>
              <w:t>分别计量后通过密闭运输皮带送至搅拌机</w:t>
            </w:r>
            <w:r>
              <w:rPr>
                <w:rFonts w:hint="eastAsia"/>
                <w:color w:val="auto"/>
                <w:sz w:val="24"/>
                <w:szCs w:val="24"/>
                <w:lang w:eastAsia="zh-CN"/>
              </w:rPr>
              <w:t>，</w:t>
            </w:r>
            <w:r>
              <w:rPr>
                <w:rFonts w:hint="eastAsia"/>
                <w:color w:val="auto"/>
                <w:sz w:val="24"/>
                <w:szCs w:val="24"/>
              </w:rPr>
              <w:t>同时水泵抽入水称计量后由增压泵抽出，经</w:t>
            </w:r>
            <w:r>
              <w:rPr>
                <w:rFonts w:hint="eastAsia"/>
                <w:color w:val="auto"/>
                <w:sz w:val="24"/>
                <w:szCs w:val="24"/>
                <w:lang w:eastAsia="zh-CN"/>
              </w:rPr>
              <w:t>管道泵</w:t>
            </w:r>
            <w:r>
              <w:rPr>
                <w:rFonts w:hint="eastAsia"/>
                <w:color w:val="auto"/>
                <w:sz w:val="24"/>
                <w:szCs w:val="24"/>
              </w:rPr>
              <w:t>入搅拌机</w:t>
            </w:r>
            <w:r>
              <w:rPr>
                <w:rFonts w:hint="eastAsia"/>
                <w:color w:val="auto"/>
                <w:sz w:val="24"/>
                <w:szCs w:val="24"/>
                <w:lang w:eastAsia="zh-CN"/>
              </w:rPr>
              <w:t>，通过添加螯合剂对锂渣中主要元素铍、铊等进行螯合，提高锂渣中重金属的稳定性，降低锂渣中Be、T1、氟化物的浸出毒性。</w:t>
            </w:r>
            <w:r>
              <w:rPr>
                <w:rFonts w:hint="eastAsia"/>
                <w:color w:val="auto"/>
                <w:sz w:val="24"/>
                <w:szCs w:val="24"/>
                <w:lang w:val="en-US" w:eastAsia="zh-CN"/>
              </w:rPr>
              <w:t>搅拌5-10分钟</w:t>
            </w:r>
            <w:r>
              <w:rPr>
                <w:rFonts w:hint="eastAsia"/>
                <w:color w:val="auto"/>
                <w:sz w:val="24"/>
                <w:szCs w:val="24"/>
                <w:lang w:eastAsia="zh-CN"/>
              </w:rPr>
              <w:t>，</w:t>
            </w:r>
            <w:r>
              <w:rPr>
                <w:rFonts w:hint="eastAsia"/>
                <w:color w:val="auto"/>
                <w:sz w:val="24"/>
                <w:szCs w:val="24"/>
                <w:lang w:val="en-US" w:eastAsia="zh-CN"/>
              </w:rPr>
              <w:t>途中需要加入水泥、水（占比25%—35%），当</w:t>
            </w:r>
            <w:r>
              <w:rPr>
                <w:rFonts w:hint="eastAsia"/>
                <w:color w:val="auto"/>
                <w:sz w:val="24"/>
                <w:szCs w:val="24"/>
                <w:lang w:val="zh-CN"/>
              </w:rPr>
              <w:t>水泥石浆开始逐渐凝固，混凝土开始失去流动性</w:t>
            </w:r>
            <w:r>
              <w:rPr>
                <w:rFonts w:hint="eastAsia"/>
                <w:color w:val="auto"/>
                <w:sz w:val="24"/>
                <w:szCs w:val="24"/>
                <w:lang w:val="en-US" w:eastAsia="zh-CN"/>
              </w:rPr>
              <w:t>时便可以进入下一道工序。该过程会产生粉尘。</w:t>
            </w:r>
          </w:p>
          <w:p w14:paraId="36A1F754">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color w:val="auto"/>
                <w:sz w:val="24"/>
                <w:szCs w:val="24"/>
              </w:rPr>
            </w:pPr>
            <w:r>
              <w:rPr>
                <w:rFonts w:hint="default"/>
                <w:color w:val="auto"/>
                <w:sz w:val="24"/>
                <w:szCs w:val="24"/>
              </w:rPr>
              <w:t>②</w:t>
            </w:r>
            <w:r>
              <w:rPr>
                <w:rFonts w:hint="eastAsia"/>
                <w:color w:val="auto"/>
                <w:sz w:val="24"/>
                <w:szCs w:val="24"/>
              </w:rPr>
              <w:t>轮碾</w:t>
            </w:r>
          </w:p>
          <w:p w14:paraId="6A00445A">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color w:val="auto"/>
                <w:sz w:val="24"/>
                <w:szCs w:val="24"/>
              </w:rPr>
            </w:pPr>
            <w:r>
              <w:rPr>
                <w:rFonts w:hint="eastAsia"/>
                <w:color w:val="auto"/>
                <w:sz w:val="24"/>
                <w:szCs w:val="24"/>
              </w:rPr>
              <w:t>混制后混合料进入轮碾机进行进一步轮碾、细碎，出料进入成品料斗暂存，</w:t>
            </w:r>
            <w:r>
              <w:rPr>
                <w:rFonts w:hint="eastAsia"/>
                <w:color w:val="auto"/>
                <w:sz w:val="24"/>
                <w:szCs w:val="24"/>
                <w:lang w:val="en-US" w:eastAsia="zh-CN"/>
              </w:rPr>
              <w:t>在投料的过程中会产生噪音</w:t>
            </w:r>
            <w:r>
              <w:rPr>
                <w:rFonts w:hint="eastAsia"/>
                <w:color w:val="auto"/>
                <w:sz w:val="24"/>
                <w:szCs w:val="24"/>
              </w:rPr>
              <w:t>。</w:t>
            </w:r>
          </w:p>
          <w:p w14:paraId="75D741BC">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color w:val="auto"/>
                <w:sz w:val="24"/>
                <w:szCs w:val="24"/>
              </w:rPr>
            </w:pPr>
            <w:r>
              <w:rPr>
                <w:rFonts w:hint="default"/>
                <w:color w:val="auto"/>
                <w:sz w:val="24"/>
                <w:szCs w:val="24"/>
              </w:rPr>
              <w:t>③</w:t>
            </w:r>
            <w:r>
              <w:rPr>
                <w:rFonts w:hint="eastAsia"/>
                <w:color w:val="auto"/>
                <w:sz w:val="24"/>
                <w:szCs w:val="24"/>
              </w:rPr>
              <w:t>液压成型、码砖</w:t>
            </w:r>
          </w:p>
          <w:p w14:paraId="0568E36F">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color w:val="auto"/>
                <w:sz w:val="24"/>
                <w:szCs w:val="24"/>
              </w:rPr>
            </w:pPr>
            <w:r>
              <w:rPr>
                <w:rFonts w:hint="eastAsia"/>
                <w:color w:val="auto"/>
                <w:sz w:val="24"/>
                <w:szCs w:val="24"/>
              </w:rPr>
              <w:t>混合料进入液压砖机，利用液压砖机挤出成型</w:t>
            </w:r>
            <w:r>
              <w:rPr>
                <w:rFonts w:hint="eastAsia"/>
                <w:color w:val="auto"/>
                <w:sz w:val="24"/>
                <w:szCs w:val="24"/>
                <w:lang w:eastAsia="zh-CN"/>
              </w:rPr>
              <w:t>，</w:t>
            </w:r>
            <w:r>
              <w:rPr>
                <w:rFonts w:hint="eastAsia"/>
                <w:color w:val="auto"/>
                <w:sz w:val="24"/>
                <w:szCs w:val="24"/>
                <w:lang w:val="en-US" w:eastAsia="zh-CN"/>
              </w:rPr>
              <w:t>液压时间不少于1分钟</w:t>
            </w:r>
            <w:r>
              <w:rPr>
                <w:rFonts w:hint="eastAsia"/>
                <w:color w:val="auto"/>
                <w:sz w:val="24"/>
                <w:szCs w:val="24"/>
              </w:rPr>
              <w:t>，挤出砖坯由码坯机器人码砖。</w:t>
            </w:r>
          </w:p>
          <w:p w14:paraId="40992639">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color w:val="auto"/>
                <w:sz w:val="24"/>
                <w:szCs w:val="24"/>
              </w:rPr>
            </w:pPr>
            <w:r>
              <w:rPr>
                <w:rFonts w:hint="default"/>
                <w:color w:val="auto"/>
                <w:sz w:val="24"/>
                <w:szCs w:val="24"/>
              </w:rPr>
              <w:t>④</w:t>
            </w:r>
            <w:r>
              <w:rPr>
                <w:rFonts w:hint="eastAsia"/>
                <w:color w:val="auto"/>
                <w:sz w:val="24"/>
                <w:szCs w:val="24"/>
              </w:rPr>
              <w:t>干燥、养护</w:t>
            </w:r>
          </w:p>
          <w:p w14:paraId="68F2D0CA">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eastAsia"/>
                <w:color w:val="auto"/>
                <w:sz w:val="24"/>
                <w:szCs w:val="24"/>
              </w:rPr>
            </w:pPr>
            <w:r>
              <w:rPr>
                <w:rFonts w:hint="eastAsia"/>
                <w:color w:val="auto"/>
                <w:sz w:val="24"/>
                <w:szCs w:val="24"/>
              </w:rPr>
              <w:t>砖坯通过板车进入养护区，对免烧砖制品进行自然养护，</w:t>
            </w:r>
            <w:r>
              <w:rPr>
                <w:rFonts w:hint="eastAsia"/>
                <w:color w:val="auto"/>
                <w:sz w:val="24"/>
                <w:szCs w:val="24"/>
                <w:lang w:val="en-US" w:eastAsia="zh-CN"/>
              </w:rPr>
              <w:t>根据天气情况养护时间3-7天不等，自然</w:t>
            </w:r>
            <w:r>
              <w:rPr>
                <w:rFonts w:hint="eastAsia"/>
                <w:color w:val="auto"/>
                <w:sz w:val="24"/>
                <w:szCs w:val="24"/>
              </w:rPr>
              <w:t>养护结束后即得免烧砖成品。</w:t>
            </w:r>
          </w:p>
          <w:p w14:paraId="5BA37649">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eastAsia"/>
                <w:color w:val="auto"/>
                <w:sz w:val="24"/>
                <w:szCs w:val="24"/>
                <w:lang w:val="en-US" w:eastAsia="zh-CN"/>
              </w:rPr>
            </w:pPr>
            <w:r>
              <w:rPr>
                <w:rFonts w:hint="eastAsia"/>
                <w:color w:val="auto"/>
                <w:sz w:val="24"/>
                <w:szCs w:val="24"/>
              </w:rPr>
              <w:t>⑤</w:t>
            </w:r>
            <w:r>
              <w:rPr>
                <w:rFonts w:hint="eastAsia"/>
                <w:color w:val="auto"/>
                <w:sz w:val="24"/>
                <w:szCs w:val="24"/>
                <w:lang w:val="en-US" w:eastAsia="zh-CN"/>
              </w:rPr>
              <w:t>质检：将上述产品污染物控制限值纳入产品合格监测内容；每批次产品均进行抽样监测，监测结果不合格，产品不得出厂；不合格产品需重新进入生产线进行加工处理，直至合格为止。否则不合格产品不得流入市场。</w:t>
            </w:r>
          </w:p>
          <w:p w14:paraId="531F4D0E">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color w:val="auto"/>
                <w:sz w:val="24"/>
                <w:szCs w:val="24"/>
              </w:rPr>
            </w:pPr>
            <w:r>
              <w:rPr>
                <w:rFonts w:hint="eastAsia"/>
                <w:color w:val="auto"/>
                <w:sz w:val="24"/>
                <w:szCs w:val="24"/>
              </w:rPr>
              <w:t>（4）再生道路复合稳定料</w:t>
            </w:r>
          </w:p>
          <w:p w14:paraId="513F9079">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再生复合稳定料生产过程中需要添加少量专用道路复合稳定剂（基本固化剂）、水泥，以保证再生复合稳定材料的高水稳定性和高硬化强度。</w:t>
            </w:r>
          </w:p>
          <w:p w14:paraId="5C28CEC7">
            <w:pPr>
              <w:keepNext w:val="0"/>
              <w:keepLines w:val="0"/>
              <w:pageBreakBefore/>
              <w:widowControl/>
              <w:numPr>
                <w:ilvl w:val="0"/>
                <w:numId w:val="0"/>
              </w:numPr>
              <w:suppressLineNumbers w:val="0"/>
              <w:spacing w:before="0" w:beforeLines="0" w:beforeAutospacing="0" w:after="0" w:afterLines="0" w:afterAutospacing="0"/>
              <w:ind w:left="0" w:right="0"/>
              <w:jc w:val="left"/>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项目按照“固废固化改性预处理+资源化为复合稳定材料”的工艺路径，可实现固废的高效资源化利用。</w:t>
            </w:r>
          </w:p>
          <w:p w14:paraId="3B003FD0">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color w:val="auto"/>
                <w:sz w:val="24"/>
                <w:szCs w:val="24"/>
              </w:rPr>
            </w:pPr>
            <w:r>
              <w:rPr>
                <w:rFonts w:hint="default"/>
                <w:color w:val="auto"/>
                <w:sz w:val="24"/>
                <w:szCs w:val="24"/>
              </w:rPr>
              <w:t>①</w:t>
            </w:r>
            <w:r>
              <w:rPr>
                <w:rFonts w:hint="eastAsia"/>
                <w:color w:val="auto"/>
                <w:sz w:val="24"/>
                <w:szCs w:val="24"/>
              </w:rPr>
              <w:t>上料输送</w:t>
            </w:r>
          </w:p>
          <w:p w14:paraId="71EB1705">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color w:val="auto"/>
                <w:sz w:val="24"/>
                <w:szCs w:val="24"/>
              </w:rPr>
            </w:pPr>
            <w:r>
              <w:rPr>
                <w:rFonts w:hint="eastAsia"/>
                <w:color w:val="auto"/>
                <w:sz w:val="24"/>
                <w:szCs w:val="24"/>
              </w:rPr>
              <w:t>经预处理后的材料通过进料、计量系统进行精准投料</w:t>
            </w:r>
            <w:r>
              <w:rPr>
                <w:rFonts w:hint="eastAsia"/>
                <w:color w:val="auto"/>
                <w:sz w:val="24"/>
                <w:szCs w:val="24"/>
                <w:lang w:eastAsia="zh-CN"/>
              </w:rPr>
              <w:t>，</w:t>
            </w:r>
            <w:r>
              <w:rPr>
                <w:rFonts w:hint="eastAsia"/>
                <w:color w:val="auto"/>
                <w:sz w:val="24"/>
                <w:szCs w:val="24"/>
                <w:lang w:val="en-US" w:eastAsia="zh-CN"/>
              </w:rPr>
              <w:t>在投料的过程中会产生粉尘</w:t>
            </w:r>
            <w:r>
              <w:rPr>
                <w:rFonts w:hint="eastAsia"/>
                <w:color w:val="auto"/>
                <w:sz w:val="24"/>
                <w:szCs w:val="24"/>
              </w:rPr>
              <w:t>。</w:t>
            </w:r>
          </w:p>
          <w:p w14:paraId="0362D6B6">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color w:val="auto"/>
                <w:sz w:val="24"/>
                <w:szCs w:val="24"/>
              </w:rPr>
            </w:pPr>
            <w:r>
              <w:rPr>
                <w:rFonts w:hint="default"/>
                <w:color w:val="auto"/>
                <w:sz w:val="24"/>
                <w:szCs w:val="24"/>
              </w:rPr>
              <w:t>②</w:t>
            </w:r>
            <w:r>
              <w:rPr>
                <w:rFonts w:hint="eastAsia"/>
                <w:color w:val="auto"/>
                <w:sz w:val="24"/>
                <w:szCs w:val="24"/>
              </w:rPr>
              <w:t>固化改性、物料粉混</w:t>
            </w:r>
          </w:p>
          <w:p w14:paraId="79EFB402">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color w:val="auto"/>
                <w:sz w:val="24"/>
                <w:szCs w:val="24"/>
              </w:rPr>
            </w:pPr>
            <w:r>
              <w:rPr>
                <w:rFonts w:hint="eastAsia"/>
                <w:color w:val="auto"/>
                <w:sz w:val="24"/>
                <w:szCs w:val="24"/>
              </w:rPr>
              <w:t>搅拌过程中添加一定量的改性药剂（基本固化剂），</w:t>
            </w:r>
            <w:r>
              <w:rPr>
                <w:rFonts w:hint="eastAsia"/>
                <w:color w:val="auto"/>
                <w:sz w:val="24"/>
                <w:szCs w:val="24"/>
                <w:lang w:val="en-US" w:eastAsia="zh-CN"/>
              </w:rPr>
              <w:t>在搅拌过程中会加入一定量的水</w:t>
            </w:r>
            <w:r>
              <w:rPr>
                <w:rFonts w:hint="eastAsia"/>
                <w:color w:val="auto"/>
                <w:sz w:val="24"/>
                <w:szCs w:val="24"/>
              </w:rPr>
              <w:t>，搅拌让固废原料颗粒分散改性，使层间水释放达到预处理目的。预处理后的固废混合料进入再生复合稳定料生产工段</w:t>
            </w:r>
            <w:r>
              <w:rPr>
                <w:rFonts w:hint="eastAsia"/>
                <w:color w:val="auto"/>
                <w:sz w:val="24"/>
                <w:szCs w:val="24"/>
                <w:lang w:eastAsia="zh-CN"/>
              </w:rPr>
              <w:t>，</w:t>
            </w:r>
            <w:r>
              <w:rPr>
                <w:rFonts w:hint="eastAsia"/>
                <w:color w:val="auto"/>
                <w:sz w:val="24"/>
                <w:szCs w:val="24"/>
              </w:rPr>
              <w:t>该工序会产生粉尘。</w:t>
            </w:r>
          </w:p>
          <w:p w14:paraId="4D900E80">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color w:val="auto"/>
                <w:sz w:val="24"/>
                <w:szCs w:val="24"/>
              </w:rPr>
            </w:pPr>
            <w:r>
              <w:rPr>
                <w:rFonts w:hint="default"/>
                <w:color w:val="auto"/>
                <w:sz w:val="24"/>
                <w:szCs w:val="24"/>
              </w:rPr>
              <w:t>③</w:t>
            </w:r>
            <w:r>
              <w:rPr>
                <w:rFonts w:hint="eastAsia"/>
                <w:color w:val="auto"/>
                <w:sz w:val="24"/>
                <w:szCs w:val="24"/>
              </w:rPr>
              <w:t>药剂拌合</w:t>
            </w:r>
          </w:p>
          <w:p w14:paraId="2AC8F5F7">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eastAsia" w:eastAsia="宋体"/>
                <w:color w:val="auto"/>
                <w:sz w:val="24"/>
                <w:szCs w:val="24"/>
                <w:lang w:eastAsia="zh-CN"/>
              </w:rPr>
            </w:pPr>
            <w:r>
              <w:rPr>
                <w:rFonts w:hint="eastAsia"/>
                <w:color w:val="auto"/>
                <w:sz w:val="24"/>
                <w:szCs w:val="24"/>
                <w:lang w:eastAsia="zh-CN"/>
              </w:rPr>
              <w:t>各类原料由铲车及铲车运送到进料口</w:t>
            </w:r>
            <w:r>
              <w:rPr>
                <w:rFonts w:hint="eastAsia"/>
                <w:color w:val="auto"/>
                <w:sz w:val="24"/>
                <w:szCs w:val="24"/>
              </w:rPr>
              <w:t>经皮带输送机</w:t>
            </w:r>
            <w:r>
              <w:rPr>
                <w:rFonts w:hint="eastAsia"/>
                <w:color w:val="auto"/>
                <w:sz w:val="24"/>
                <w:szCs w:val="24"/>
                <w:lang w:eastAsia="zh-CN"/>
              </w:rPr>
              <w:t>（</w:t>
            </w:r>
            <w:r>
              <w:rPr>
                <w:rFonts w:hint="eastAsia"/>
                <w:color w:val="auto"/>
                <w:sz w:val="24"/>
                <w:szCs w:val="24"/>
                <w:lang w:val="en-US" w:eastAsia="zh-CN"/>
              </w:rPr>
              <w:t>全封闭，转载落差0.4米）</w:t>
            </w:r>
            <w:r>
              <w:rPr>
                <w:rFonts w:hint="eastAsia"/>
                <w:color w:val="auto"/>
                <w:sz w:val="24"/>
                <w:szCs w:val="24"/>
              </w:rPr>
              <w:t>分别计量后通过密闭运输皮带送至搅拌机</w:t>
            </w:r>
            <w:r>
              <w:rPr>
                <w:rFonts w:hint="eastAsia"/>
                <w:color w:val="auto"/>
                <w:sz w:val="24"/>
                <w:szCs w:val="24"/>
                <w:lang w:eastAsia="zh-CN"/>
              </w:rPr>
              <w:t>，</w:t>
            </w:r>
            <w:r>
              <w:rPr>
                <w:rFonts w:hint="eastAsia"/>
                <w:color w:val="auto"/>
                <w:sz w:val="24"/>
                <w:szCs w:val="24"/>
              </w:rPr>
              <w:t>同时水泵抽入水称计量后由增压泵抽出，经</w:t>
            </w:r>
            <w:r>
              <w:rPr>
                <w:rFonts w:hint="eastAsia"/>
                <w:color w:val="auto"/>
                <w:sz w:val="24"/>
                <w:szCs w:val="24"/>
                <w:lang w:eastAsia="zh-CN"/>
              </w:rPr>
              <w:t>管道泵</w:t>
            </w:r>
            <w:r>
              <w:rPr>
                <w:rFonts w:hint="eastAsia"/>
                <w:color w:val="auto"/>
                <w:sz w:val="24"/>
                <w:szCs w:val="24"/>
              </w:rPr>
              <w:t>入搅拌机</w:t>
            </w:r>
            <w:r>
              <w:rPr>
                <w:rFonts w:hint="eastAsia"/>
                <w:color w:val="auto"/>
                <w:sz w:val="24"/>
                <w:szCs w:val="24"/>
                <w:lang w:eastAsia="zh-CN"/>
              </w:rPr>
              <w:t>，通过添加</w:t>
            </w:r>
            <w:bookmarkStart w:id="4" w:name="OLE_LINK13"/>
            <w:r>
              <w:rPr>
                <w:rFonts w:hint="eastAsia"/>
                <w:color w:val="auto"/>
                <w:sz w:val="24"/>
                <w:szCs w:val="24"/>
                <w:lang w:eastAsia="zh-CN"/>
              </w:rPr>
              <w:t>螯合剂</w:t>
            </w:r>
            <w:bookmarkEnd w:id="4"/>
            <w:r>
              <w:rPr>
                <w:rFonts w:hint="eastAsia"/>
                <w:color w:val="auto"/>
                <w:sz w:val="24"/>
                <w:szCs w:val="24"/>
                <w:lang w:eastAsia="zh-CN"/>
              </w:rPr>
              <w:t>对锂渣中主要元素铍、铊等进行螯合，提高锂渣中重金属的稳定性，降低锂渣中Be、T1、氟化物的浸出毒性。</w:t>
            </w:r>
            <w:r>
              <w:rPr>
                <w:rFonts w:hint="eastAsia"/>
                <w:color w:val="auto"/>
                <w:sz w:val="24"/>
                <w:szCs w:val="24"/>
              </w:rPr>
              <w:t>采用道路材料拌合专用系统，对固废原料、钙质添加剂、水泥等物料进行混合搅拌</w:t>
            </w:r>
            <w:r>
              <w:rPr>
                <w:rFonts w:hint="eastAsia"/>
                <w:color w:val="auto"/>
                <w:sz w:val="24"/>
                <w:szCs w:val="24"/>
                <w:lang w:val="en-US" w:eastAsia="zh-CN"/>
              </w:rPr>
              <w:t>，搅拌时间为5分钟</w:t>
            </w:r>
            <w:r>
              <w:rPr>
                <w:rFonts w:hint="eastAsia"/>
                <w:color w:val="auto"/>
                <w:sz w:val="24"/>
                <w:szCs w:val="24"/>
              </w:rPr>
              <w:t>，搅拌机下放式出料并由支架下方车辆接收，单辆车每接收一次出料即走，不可等待二次接收，后立即转运物料至堆放区，该工序会产生粉尘</w:t>
            </w:r>
            <w:r>
              <w:rPr>
                <w:rFonts w:hint="eastAsia"/>
                <w:color w:val="auto"/>
                <w:sz w:val="24"/>
                <w:szCs w:val="24"/>
                <w:lang w:eastAsia="zh-CN"/>
              </w:rPr>
              <w:t>。</w:t>
            </w:r>
          </w:p>
          <w:p w14:paraId="6869B6CB">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default"/>
                <w:color w:val="auto"/>
                <w:sz w:val="24"/>
                <w:szCs w:val="24"/>
              </w:rPr>
            </w:pPr>
            <w:r>
              <w:rPr>
                <w:rFonts w:hint="default"/>
                <w:color w:val="auto"/>
                <w:sz w:val="24"/>
                <w:szCs w:val="24"/>
              </w:rPr>
              <w:t>④</w:t>
            </w:r>
            <w:r>
              <w:rPr>
                <w:rFonts w:hint="eastAsia"/>
                <w:color w:val="auto"/>
                <w:sz w:val="24"/>
                <w:szCs w:val="24"/>
                <w:lang w:val="en-US" w:eastAsia="zh-CN"/>
              </w:rPr>
              <w:t>出料</w:t>
            </w:r>
            <w:r>
              <w:rPr>
                <w:rFonts w:hint="eastAsia"/>
                <w:color w:val="auto"/>
                <w:sz w:val="24"/>
                <w:szCs w:val="24"/>
              </w:rPr>
              <w:t>输送</w:t>
            </w:r>
          </w:p>
          <w:p w14:paraId="730C3A63">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eastAsia"/>
                <w:color w:val="auto"/>
                <w:sz w:val="24"/>
                <w:szCs w:val="24"/>
              </w:rPr>
            </w:pPr>
            <w:r>
              <w:rPr>
                <w:rFonts w:hint="eastAsia"/>
                <w:color w:val="auto"/>
                <w:sz w:val="24"/>
                <w:szCs w:val="24"/>
              </w:rPr>
              <w:t>自卸车将固化固废混合料逐堆下放至成品堆放区，平均下方土方量宜为</w:t>
            </w:r>
            <w:r>
              <w:rPr>
                <w:rFonts w:hint="eastAsia"/>
                <w:color w:val="auto"/>
                <w:sz w:val="24"/>
                <w:szCs w:val="24"/>
                <w:lang w:eastAsia="zh-CN"/>
              </w:rPr>
              <w:t>竖向</w:t>
            </w:r>
            <w:r>
              <w:rPr>
                <w:rFonts w:hint="eastAsia"/>
                <w:color w:val="auto"/>
                <w:sz w:val="24"/>
                <w:szCs w:val="24"/>
              </w:rPr>
              <w:t>1.5-2</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sz w:val="24"/>
                <w:szCs w:val="24"/>
              </w:rPr>
              <w:t>每</w:t>
            </w:r>
            <w:r>
              <w:rPr>
                <w:rFonts w:hint="eastAsia"/>
                <w:color w:val="auto"/>
                <w:lang w:val="en-US" w:eastAsia="zh-CN"/>
              </w:rPr>
              <w:t>秒</w:t>
            </w:r>
            <w:r>
              <w:rPr>
                <w:rFonts w:hint="eastAsia"/>
                <w:color w:val="auto"/>
                <w:sz w:val="24"/>
                <w:szCs w:val="24"/>
              </w:rPr>
              <w:t>，横向堆料间距宜为不小于0.6m；改良后的固废再生复合稳定材料由装载机装入自卸车，填料出厂。</w:t>
            </w:r>
          </w:p>
          <w:p w14:paraId="28540B66">
            <w:pPr>
              <w:keepNext w:val="0"/>
              <w:keepLines w:val="0"/>
              <w:pageBreakBefore/>
              <w:widowControl/>
              <w:numPr>
                <w:ilvl w:val="0"/>
                <w:numId w:val="0"/>
              </w:numPr>
              <w:suppressLineNumbers w:val="0"/>
              <w:spacing w:before="0" w:beforeLines="0" w:beforeAutospacing="0" w:after="0" w:afterLines="0" w:afterAutospacing="0"/>
              <w:ind w:left="0" w:right="0" w:firstLine="480" w:firstLineChars="200"/>
              <w:jc w:val="left"/>
              <w:rPr>
                <w:rFonts w:hint="eastAsia" w:eastAsia="宋体"/>
                <w:color w:val="auto"/>
                <w:sz w:val="24"/>
                <w:szCs w:val="24"/>
                <w:lang w:val="en-US" w:eastAsia="zh-CN"/>
              </w:rPr>
            </w:pPr>
            <w:r>
              <w:rPr>
                <w:rFonts w:hint="eastAsia" w:ascii="宋体" w:hAnsi="宋体" w:eastAsia="宋体" w:cs="宋体"/>
                <w:color w:val="auto"/>
                <w:sz w:val="24"/>
                <w:szCs w:val="24"/>
              </w:rPr>
              <w:t>⑤</w:t>
            </w:r>
            <w:r>
              <w:rPr>
                <w:rFonts w:hint="eastAsia" w:eastAsia="宋体"/>
                <w:color w:val="auto"/>
                <w:sz w:val="24"/>
                <w:szCs w:val="24"/>
                <w:lang w:val="en-US" w:eastAsia="zh-CN"/>
              </w:rPr>
              <w:t>质检：将上述产品污染物控制限值纳入产品合格监测内容；每批次产品均进行抽样监测，监测结果不合格，产品不得出厂；不合格产品需重新进入生产线进行加工处理，直至合格为止。否则不合格产品不得流入市场。</w:t>
            </w:r>
          </w:p>
          <w:p w14:paraId="0345ADE7">
            <w:pPr>
              <w:keepNext w:val="0"/>
              <w:keepLines w:val="0"/>
              <w:pageBreakBefore/>
              <w:widowControl/>
              <w:numPr>
                <w:ilvl w:val="0"/>
                <w:numId w:val="0"/>
              </w:numPr>
              <w:suppressLineNumbers w:val="0"/>
              <w:spacing w:before="0" w:beforeLines="0" w:beforeAutospacing="0" w:after="0" w:afterLines="0" w:afterAutospacing="0"/>
              <w:ind w:left="480" w:leftChars="200" w:right="0"/>
              <w:rPr>
                <w:rFonts w:hint="default"/>
                <w:b/>
                <w:color w:val="auto"/>
                <w:sz w:val="24"/>
                <w:szCs w:val="24"/>
              </w:rPr>
            </w:pPr>
            <w:r>
              <w:rPr>
                <w:rFonts w:hint="eastAsia"/>
                <w:b/>
                <w:color w:val="auto"/>
                <w:sz w:val="24"/>
                <w:szCs w:val="24"/>
                <w:lang w:val="en-US" w:eastAsia="zh-CN"/>
              </w:rPr>
              <w:t>2</w:t>
            </w:r>
            <w:r>
              <w:rPr>
                <w:rFonts w:hint="eastAsia"/>
                <w:b/>
                <w:color w:val="auto"/>
                <w:sz w:val="24"/>
                <w:szCs w:val="24"/>
              </w:rPr>
              <w:t>.主要污染因子分析</w:t>
            </w:r>
          </w:p>
          <w:p w14:paraId="59147C3A">
            <w:pPr>
              <w:keepNext w:val="0"/>
              <w:keepLines w:val="0"/>
              <w:pageBreakBefore/>
              <w:widowControl/>
              <w:numPr>
                <w:ilvl w:val="0"/>
                <w:numId w:val="0"/>
              </w:numPr>
              <w:suppressLineNumbers w:val="0"/>
              <w:spacing w:before="0" w:beforeLines="0" w:beforeAutospacing="0" w:after="0" w:afterLines="0" w:afterAutospacing="0"/>
              <w:ind w:left="480" w:leftChars="200" w:right="0"/>
              <w:rPr>
                <w:rFonts w:hint="eastAsia"/>
                <w:color w:val="auto"/>
                <w:sz w:val="24"/>
                <w:szCs w:val="24"/>
              </w:rPr>
            </w:pPr>
            <w:r>
              <w:rPr>
                <w:rFonts w:hint="eastAsia"/>
                <w:color w:val="auto"/>
                <w:sz w:val="24"/>
                <w:szCs w:val="24"/>
              </w:rPr>
              <w:t>根据工艺分析，项目营运期污染环节见表</w:t>
            </w:r>
          </w:p>
          <w:p w14:paraId="4AC9E168">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项目污染物概况表</w:t>
            </w:r>
          </w:p>
          <w:tbl>
            <w:tblPr>
              <w:tblStyle w:val="28"/>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156"/>
              <w:gridCol w:w="1934"/>
              <w:gridCol w:w="1485"/>
              <w:gridCol w:w="2697"/>
            </w:tblGrid>
            <w:tr w14:paraId="7B4D6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EAC270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项目</w:t>
                  </w:r>
                </w:p>
              </w:tc>
              <w:tc>
                <w:tcPr>
                  <w:tcW w:w="73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689401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lang w:val="en-US" w:eastAsia="zh-CN"/>
                    </w:rPr>
                    <w:t>污染源编号</w:t>
                  </w:r>
                </w:p>
              </w:tc>
              <w:tc>
                <w:tcPr>
                  <w:tcW w:w="123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4171C3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产污工序</w:t>
                  </w:r>
                </w:p>
              </w:tc>
              <w:tc>
                <w:tcPr>
                  <w:tcW w:w="94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3261A2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主要成分</w:t>
                  </w:r>
                </w:p>
              </w:tc>
              <w:tc>
                <w:tcPr>
                  <w:tcW w:w="172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673CA0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排放方式</w:t>
                  </w:r>
                </w:p>
              </w:tc>
            </w:tr>
            <w:tr w14:paraId="6945E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362"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7A30884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废气</w:t>
                  </w:r>
                </w:p>
              </w:tc>
              <w:tc>
                <w:tcPr>
                  <w:tcW w:w="73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541732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G2、G1</w:t>
                  </w:r>
                </w:p>
              </w:tc>
              <w:tc>
                <w:tcPr>
                  <w:tcW w:w="123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EB5B19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eastAsia="zh-CN"/>
                    </w:rPr>
                  </w:pPr>
                  <w:r>
                    <w:rPr>
                      <w:rFonts w:hint="eastAsia"/>
                      <w:color w:val="auto"/>
                      <w:kern w:val="0"/>
                      <w:sz w:val="21"/>
                      <w:szCs w:val="21"/>
                      <w:lang w:eastAsia="zh-CN"/>
                    </w:rPr>
                    <w:t>筛选破碎废气</w:t>
                  </w:r>
                </w:p>
              </w:tc>
              <w:tc>
                <w:tcPr>
                  <w:tcW w:w="94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8D0140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rPr>
                    <w:t>颗粒物</w:t>
                  </w:r>
                  <w:r>
                    <w:rPr>
                      <w:rFonts w:hint="eastAsia"/>
                      <w:color w:val="auto"/>
                      <w:kern w:val="0"/>
                      <w:sz w:val="21"/>
                      <w:szCs w:val="21"/>
                      <w:lang w:eastAsia="zh-CN"/>
                    </w:rPr>
                    <w:t>、</w:t>
                  </w:r>
                  <w:r>
                    <w:rPr>
                      <w:rFonts w:hint="eastAsia"/>
                      <w:color w:val="auto"/>
                      <w:kern w:val="0"/>
                      <w:sz w:val="21"/>
                      <w:szCs w:val="21"/>
                      <w:lang w:val="en-US" w:eastAsia="zh-CN"/>
                    </w:rPr>
                    <w:t>氟化物</w:t>
                  </w:r>
                </w:p>
              </w:tc>
              <w:tc>
                <w:tcPr>
                  <w:tcW w:w="1720"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6C44863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lang w:val="en-US" w:eastAsia="zh-CN"/>
                    </w:rPr>
                    <w:t>筛选破碎废气、投料废气经3个集气罩收集+1个布袋除尘处理后通过15m的排气筒排放（DA001）</w:t>
                  </w:r>
                </w:p>
              </w:tc>
            </w:tr>
            <w:tr w14:paraId="64DDB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362"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4F6C82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73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CB6165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G3</w:t>
                  </w:r>
                </w:p>
              </w:tc>
              <w:tc>
                <w:tcPr>
                  <w:tcW w:w="123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72606D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搅拌废气</w:t>
                  </w:r>
                </w:p>
              </w:tc>
              <w:tc>
                <w:tcPr>
                  <w:tcW w:w="94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29F933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颗粒物、氟化物</w:t>
                  </w:r>
                </w:p>
              </w:tc>
              <w:tc>
                <w:tcPr>
                  <w:tcW w:w="1720"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F914C3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p>
              </w:tc>
            </w:tr>
            <w:tr w14:paraId="2226D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62"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8E66B7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73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498CCF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G4</w:t>
                  </w:r>
                </w:p>
              </w:tc>
              <w:tc>
                <w:tcPr>
                  <w:tcW w:w="123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849F54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eastAsia="zh-CN"/>
                    </w:rPr>
                  </w:pPr>
                  <w:r>
                    <w:rPr>
                      <w:rFonts w:hint="eastAsia"/>
                      <w:color w:val="auto"/>
                      <w:kern w:val="0"/>
                      <w:sz w:val="21"/>
                      <w:szCs w:val="21"/>
                      <w:lang w:eastAsia="zh-CN"/>
                    </w:rPr>
                    <w:t>投料废气</w:t>
                  </w:r>
                </w:p>
              </w:tc>
              <w:tc>
                <w:tcPr>
                  <w:tcW w:w="94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40501E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eastAsia="zh-CN"/>
                    </w:rPr>
                  </w:pPr>
                  <w:r>
                    <w:rPr>
                      <w:rFonts w:hint="eastAsia"/>
                      <w:color w:val="auto"/>
                      <w:kern w:val="0"/>
                      <w:sz w:val="21"/>
                      <w:szCs w:val="21"/>
                    </w:rPr>
                    <w:t>颗粒物</w:t>
                  </w:r>
                </w:p>
              </w:tc>
              <w:tc>
                <w:tcPr>
                  <w:tcW w:w="1720"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D278DB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p>
              </w:tc>
            </w:tr>
            <w:tr w14:paraId="48606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362"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60721C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73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6B6E80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无组织</w:t>
                  </w:r>
                </w:p>
              </w:tc>
              <w:tc>
                <w:tcPr>
                  <w:tcW w:w="123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45215C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olor w:val="auto"/>
                      <w:kern w:val="0"/>
                      <w:sz w:val="21"/>
                      <w:szCs w:val="21"/>
                      <w:lang w:eastAsia="zh-CN"/>
                    </w:rPr>
                  </w:pPr>
                  <w:r>
                    <w:rPr>
                      <w:rFonts w:hint="eastAsia"/>
                      <w:color w:val="auto"/>
                      <w:kern w:val="0"/>
                      <w:sz w:val="21"/>
                      <w:szCs w:val="21"/>
                    </w:rPr>
                    <w:t>水泥筒库顶呼吸孔粉尘</w:t>
                  </w:r>
                </w:p>
              </w:tc>
              <w:tc>
                <w:tcPr>
                  <w:tcW w:w="94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6781BFE">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color w:val="auto"/>
                      <w:kern w:val="0"/>
                      <w:sz w:val="21"/>
                      <w:szCs w:val="21"/>
                    </w:rPr>
                  </w:pPr>
                  <w:r>
                    <w:rPr>
                      <w:rFonts w:hint="eastAsia"/>
                      <w:color w:val="auto"/>
                      <w:kern w:val="0"/>
                      <w:sz w:val="21"/>
                      <w:szCs w:val="21"/>
                    </w:rPr>
                    <w:t>颗粒物</w:t>
                  </w:r>
                </w:p>
              </w:tc>
              <w:tc>
                <w:tcPr>
                  <w:tcW w:w="172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EF3AE5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rPr>
                  </w:pPr>
                  <w:r>
                    <w:rPr>
                      <w:rFonts w:hint="eastAsia"/>
                      <w:color w:val="auto"/>
                      <w:kern w:val="0"/>
                      <w:sz w:val="21"/>
                      <w:szCs w:val="21"/>
                      <w:lang w:val="en-US" w:eastAsia="zh-CN"/>
                    </w:rPr>
                    <w:t>水泥筒库顶呼吸孔粉尘经过自带高效袋式除尘设备处理后无组织排放（排口高度5米）</w:t>
                  </w:r>
                </w:p>
              </w:tc>
            </w:tr>
            <w:tr w14:paraId="60459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61D4E3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73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04A512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无组织</w:t>
                  </w:r>
                </w:p>
              </w:tc>
              <w:tc>
                <w:tcPr>
                  <w:tcW w:w="123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463376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运输车辆动力起尘</w:t>
                  </w:r>
                </w:p>
              </w:tc>
              <w:tc>
                <w:tcPr>
                  <w:tcW w:w="94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135DD1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颗粒物</w:t>
                  </w:r>
                </w:p>
              </w:tc>
              <w:tc>
                <w:tcPr>
                  <w:tcW w:w="1720"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27A3600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无组织</w:t>
                  </w:r>
                </w:p>
              </w:tc>
            </w:tr>
            <w:tr w14:paraId="3FC04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971647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73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93B50C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无组织</w:t>
                  </w:r>
                </w:p>
              </w:tc>
              <w:tc>
                <w:tcPr>
                  <w:tcW w:w="123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A25052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eastAsia="zh-CN"/>
                    </w:rPr>
                  </w:pPr>
                  <w:r>
                    <w:rPr>
                      <w:rFonts w:hint="eastAsia"/>
                      <w:color w:val="auto"/>
                      <w:kern w:val="0"/>
                      <w:sz w:val="21"/>
                      <w:szCs w:val="21"/>
                      <w:lang w:eastAsia="zh-CN"/>
                    </w:rPr>
                    <w:t>装卸料扬尘</w:t>
                  </w:r>
                </w:p>
              </w:tc>
              <w:tc>
                <w:tcPr>
                  <w:tcW w:w="94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62C21B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eastAsia="zh-CN"/>
                    </w:rPr>
                  </w:pPr>
                  <w:r>
                    <w:rPr>
                      <w:rFonts w:hint="eastAsia"/>
                      <w:color w:val="auto"/>
                      <w:kern w:val="0"/>
                      <w:sz w:val="21"/>
                      <w:szCs w:val="21"/>
                    </w:rPr>
                    <w:t>颗粒物</w:t>
                  </w:r>
                </w:p>
              </w:tc>
              <w:tc>
                <w:tcPr>
                  <w:tcW w:w="1720"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E10969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p>
              </w:tc>
            </w:tr>
            <w:tr w14:paraId="31ED8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206267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废水</w:t>
                  </w:r>
                </w:p>
              </w:tc>
              <w:tc>
                <w:tcPr>
                  <w:tcW w:w="73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2EF8CB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w:t>
                  </w:r>
                </w:p>
              </w:tc>
              <w:tc>
                <w:tcPr>
                  <w:tcW w:w="123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B9B38E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员工生活</w:t>
                  </w:r>
                </w:p>
              </w:tc>
              <w:tc>
                <w:tcPr>
                  <w:tcW w:w="94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051EC0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pH、CODcr、BOD</w:t>
                  </w:r>
                  <w:r>
                    <w:rPr>
                      <w:rFonts w:hint="eastAsia"/>
                      <w:color w:val="auto"/>
                      <w:kern w:val="0"/>
                      <w:sz w:val="21"/>
                      <w:szCs w:val="21"/>
                      <w:vertAlign w:val="subscript"/>
                    </w:rPr>
                    <w:t>5</w:t>
                  </w:r>
                  <w:r>
                    <w:rPr>
                      <w:rFonts w:hint="eastAsia"/>
                      <w:color w:val="auto"/>
                      <w:kern w:val="0"/>
                      <w:sz w:val="21"/>
                      <w:szCs w:val="21"/>
                    </w:rPr>
                    <w:t>、SS、氨氮、TP</w:t>
                  </w:r>
                </w:p>
              </w:tc>
              <w:tc>
                <w:tcPr>
                  <w:tcW w:w="172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BE88AF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生活污水经化粪池经预处理后排入管网</w:t>
                  </w:r>
                </w:p>
              </w:tc>
            </w:tr>
            <w:tr w14:paraId="069C8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3431A37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固体</w:t>
                  </w:r>
                </w:p>
                <w:p w14:paraId="2D7CA0E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废物</w:t>
                  </w:r>
                </w:p>
              </w:tc>
              <w:tc>
                <w:tcPr>
                  <w:tcW w:w="73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B3E899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w:t>
                  </w:r>
                </w:p>
              </w:tc>
              <w:tc>
                <w:tcPr>
                  <w:tcW w:w="123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223062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员工生活</w:t>
                  </w:r>
                </w:p>
              </w:tc>
              <w:tc>
                <w:tcPr>
                  <w:tcW w:w="94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D87DA2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纸张、果皮</w:t>
                  </w:r>
                </w:p>
              </w:tc>
              <w:tc>
                <w:tcPr>
                  <w:tcW w:w="172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D8D8D7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环卫部门</w:t>
                  </w:r>
                </w:p>
              </w:tc>
            </w:tr>
            <w:tr w14:paraId="730C1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2212D2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737" w:type="pct"/>
                  <w:tcBorders>
                    <w:top w:val="single" w:color="auto" w:sz="4" w:space="0"/>
                    <w:left w:val="single" w:color="auto" w:sz="4" w:space="0"/>
                    <w:right w:val="single" w:color="auto" w:sz="4" w:space="0"/>
                    <w:tl2br w:val="nil"/>
                    <w:tr2bl w:val="nil"/>
                  </w:tcBorders>
                  <w:noWrap w:val="0"/>
                  <w:vAlign w:val="center"/>
                </w:tcPr>
                <w:p w14:paraId="59CDC2D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w:t>
                  </w:r>
                </w:p>
              </w:tc>
              <w:tc>
                <w:tcPr>
                  <w:tcW w:w="123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48FF05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布袋收集尘</w:t>
                  </w:r>
                </w:p>
              </w:tc>
              <w:tc>
                <w:tcPr>
                  <w:tcW w:w="94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DD65A1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纺织品</w:t>
                  </w:r>
                </w:p>
              </w:tc>
              <w:tc>
                <w:tcPr>
                  <w:tcW w:w="172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B8968D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回用于生产</w:t>
                  </w:r>
                </w:p>
              </w:tc>
            </w:tr>
            <w:tr w14:paraId="3FB3A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746327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737" w:type="pct"/>
                  <w:tcBorders>
                    <w:left w:val="single" w:color="auto" w:sz="4" w:space="0"/>
                    <w:right w:val="single" w:color="auto" w:sz="4" w:space="0"/>
                    <w:tl2br w:val="nil"/>
                    <w:tr2bl w:val="nil"/>
                  </w:tcBorders>
                  <w:noWrap w:val="0"/>
                  <w:vAlign w:val="center"/>
                </w:tcPr>
                <w:p w14:paraId="0724FD1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w:t>
                  </w:r>
                </w:p>
              </w:tc>
              <w:tc>
                <w:tcPr>
                  <w:tcW w:w="123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94E245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废布袋</w:t>
                  </w:r>
                </w:p>
              </w:tc>
              <w:tc>
                <w:tcPr>
                  <w:tcW w:w="94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C1B5E7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废布袋</w:t>
                  </w:r>
                </w:p>
              </w:tc>
              <w:tc>
                <w:tcPr>
                  <w:tcW w:w="172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FB2DC2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厂家回收</w:t>
                  </w:r>
                </w:p>
              </w:tc>
            </w:tr>
            <w:tr w14:paraId="7ACD1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4E77DD5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737" w:type="pct"/>
                  <w:tcBorders>
                    <w:left w:val="single" w:color="auto" w:sz="4" w:space="0"/>
                    <w:right w:val="single" w:color="auto" w:sz="4" w:space="0"/>
                    <w:tl2br w:val="nil"/>
                    <w:tr2bl w:val="nil"/>
                  </w:tcBorders>
                  <w:noWrap w:val="0"/>
                  <w:vAlign w:val="center"/>
                </w:tcPr>
                <w:p w14:paraId="235788C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S1</w:t>
                  </w:r>
                </w:p>
              </w:tc>
              <w:tc>
                <w:tcPr>
                  <w:tcW w:w="1233" w:type="pct"/>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6BB893BC">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 w:val="21"/>
                      <w:szCs w:val="21"/>
                    </w:rPr>
                    <w:t>废金属</w:t>
                  </w:r>
                </w:p>
              </w:tc>
              <w:tc>
                <w:tcPr>
                  <w:tcW w:w="947" w:type="pct"/>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1B0E59B1">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rPr>
                    <w:t>钢、铁</w:t>
                  </w:r>
                </w:p>
              </w:tc>
              <w:tc>
                <w:tcPr>
                  <w:tcW w:w="1720" w:type="pct"/>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3586ED0B">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 w:val="21"/>
                      <w:szCs w:val="21"/>
                    </w:rPr>
                    <w:t>外售</w:t>
                  </w:r>
                </w:p>
              </w:tc>
            </w:tr>
            <w:tr w14:paraId="621F6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6CC496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737" w:type="pct"/>
                  <w:tcBorders>
                    <w:left w:val="single" w:color="auto" w:sz="4" w:space="0"/>
                    <w:right w:val="single" w:color="auto" w:sz="4" w:space="0"/>
                    <w:tl2br w:val="nil"/>
                    <w:tr2bl w:val="nil"/>
                  </w:tcBorders>
                  <w:noWrap w:val="0"/>
                  <w:vAlign w:val="center"/>
                </w:tcPr>
                <w:p w14:paraId="4F63E3B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S2</w:t>
                  </w:r>
                </w:p>
              </w:tc>
              <w:tc>
                <w:tcPr>
                  <w:tcW w:w="1233" w:type="pct"/>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5E26CB5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rPr>
                    <w:t>不可利用物</w:t>
                  </w:r>
                </w:p>
              </w:tc>
              <w:tc>
                <w:tcPr>
                  <w:tcW w:w="947" w:type="pct"/>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50E88106">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rPr>
                    <w:t>/</w:t>
                  </w:r>
                </w:p>
              </w:tc>
              <w:tc>
                <w:tcPr>
                  <w:tcW w:w="1720" w:type="pct"/>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08B51A89">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rPr>
                    <w:t>填埋场填埋</w:t>
                  </w:r>
                </w:p>
              </w:tc>
            </w:tr>
            <w:tr w14:paraId="7B1E4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ED5D15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737" w:type="pct"/>
                  <w:tcBorders>
                    <w:left w:val="single" w:color="auto" w:sz="4" w:space="0"/>
                    <w:bottom w:val="single" w:color="auto" w:sz="4" w:space="0"/>
                    <w:right w:val="single" w:color="auto" w:sz="4" w:space="0"/>
                    <w:tl2br w:val="nil"/>
                    <w:tr2bl w:val="nil"/>
                  </w:tcBorders>
                  <w:noWrap w:val="0"/>
                  <w:vAlign w:val="center"/>
                </w:tcPr>
                <w:p w14:paraId="2823B05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S3</w:t>
                  </w:r>
                </w:p>
              </w:tc>
              <w:tc>
                <w:tcPr>
                  <w:tcW w:w="123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F06F3F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残次品</w:t>
                  </w:r>
                </w:p>
              </w:tc>
              <w:tc>
                <w:tcPr>
                  <w:tcW w:w="94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3781B3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w:t>
                  </w:r>
                </w:p>
              </w:tc>
              <w:tc>
                <w:tcPr>
                  <w:tcW w:w="172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291E55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回用</w:t>
                  </w:r>
                </w:p>
              </w:tc>
            </w:tr>
            <w:tr w14:paraId="3E760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362"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2802D3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737"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4FF9DF0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w:t>
                  </w:r>
                </w:p>
              </w:tc>
              <w:tc>
                <w:tcPr>
                  <w:tcW w:w="123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646937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废润滑油</w:t>
                  </w:r>
                </w:p>
              </w:tc>
              <w:tc>
                <w:tcPr>
                  <w:tcW w:w="947"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4BB2CFF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含矿物质油、机械杂质等</w:t>
                  </w:r>
                </w:p>
              </w:tc>
              <w:tc>
                <w:tcPr>
                  <w:tcW w:w="1720"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4EDE563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委托有资质单位处理</w:t>
                  </w:r>
                </w:p>
              </w:tc>
            </w:tr>
            <w:tr w14:paraId="1F0AB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2B6C28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737"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465BFCA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p>
              </w:tc>
              <w:tc>
                <w:tcPr>
                  <w:tcW w:w="123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81848A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含油废抹布</w:t>
                  </w:r>
                </w:p>
              </w:tc>
              <w:tc>
                <w:tcPr>
                  <w:tcW w:w="947"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4C8271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c>
                <w:tcPr>
                  <w:tcW w:w="1720"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04A48E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p>
              </w:tc>
            </w:tr>
            <w:tr w14:paraId="0D392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2"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C29DD0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噪声</w:t>
                  </w:r>
                </w:p>
              </w:tc>
              <w:tc>
                <w:tcPr>
                  <w:tcW w:w="73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C01745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N1-N7</w:t>
                  </w:r>
                </w:p>
              </w:tc>
              <w:tc>
                <w:tcPr>
                  <w:tcW w:w="123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5536A9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等效A声级</w:t>
                  </w:r>
                </w:p>
              </w:tc>
              <w:tc>
                <w:tcPr>
                  <w:tcW w:w="94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BC5461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w:t>
                  </w:r>
                </w:p>
              </w:tc>
              <w:tc>
                <w:tcPr>
                  <w:tcW w:w="172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4352B0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连续</w:t>
                  </w:r>
                </w:p>
              </w:tc>
            </w:tr>
          </w:tbl>
          <w:p w14:paraId="033975E2">
            <w:pPr>
              <w:keepNext w:val="0"/>
              <w:keepLines w:val="0"/>
              <w:pageBreakBefore/>
              <w:widowControl/>
              <w:suppressLineNumbers w:val="0"/>
              <w:spacing w:before="0" w:beforeLines="0" w:beforeAutospacing="0" w:after="0" w:afterLines="0" w:afterAutospacing="0"/>
              <w:ind w:left="0" w:right="0" w:firstLine="482"/>
              <w:rPr>
                <w:rFonts w:hint="eastAsia" w:ascii="宋体" w:hAnsi="宋体" w:cs="宋体"/>
                <w:b/>
                <w:color w:val="auto"/>
                <w:kern w:val="0"/>
                <w:sz w:val="24"/>
                <w:szCs w:val="20"/>
              </w:rPr>
            </w:pPr>
            <w:r>
              <w:rPr>
                <w:rFonts w:hint="eastAsia" w:ascii="宋体" w:hAnsi="宋体" w:cs="宋体"/>
                <w:b/>
                <w:color w:val="auto"/>
                <w:kern w:val="0"/>
                <w:sz w:val="24"/>
                <w:szCs w:val="20"/>
                <w:lang w:val="en-US" w:eastAsia="zh-CN"/>
              </w:rPr>
              <w:t>3</w:t>
            </w:r>
            <w:r>
              <w:rPr>
                <w:rFonts w:hint="eastAsia" w:ascii="宋体" w:hAnsi="宋体" w:cs="宋体"/>
                <w:b/>
                <w:color w:val="auto"/>
                <w:kern w:val="0"/>
                <w:sz w:val="24"/>
                <w:szCs w:val="20"/>
              </w:rPr>
              <w:t>、物料平衡</w:t>
            </w:r>
          </w:p>
          <w:p w14:paraId="6726DDCA">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物料平衡表</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1"/>
              <w:gridCol w:w="1933"/>
              <w:gridCol w:w="2225"/>
              <w:gridCol w:w="1686"/>
            </w:tblGrid>
            <w:tr w14:paraId="5EC18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745"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61F8D8D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免烧砖</w:t>
                  </w:r>
                </w:p>
              </w:tc>
            </w:tr>
            <w:tr w14:paraId="154AB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3834" w:type="dxa"/>
                  <w:gridSpan w:val="2"/>
                  <w:tcBorders>
                    <w:top w:val="single" w:color="auto" w:sz="4" w:space="0"/>
                    <w:left w:val="single" w:color="auto" w:sz="4" w:space="0"/>
                    <w:bottom w:val="single" w:color="auto" w:sz="4" w:space="0"/>
                    <w:right w:val="single" w:color="auto" w:sz="4" w:space="0"/>
                    <w:tl2br w:val="nil"/>
                    <w:tr2bl w:val="nil"/>
                  </w:tcBorders>
                  <w:noWrap w:val="0"/>
                  <w:vAlign w:val="top"/>
                </w:tcPr>
                <w:p w14:paraId="2C415BA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投料</w:t>
                  </w:r>
                </w:p>
              </w:tc>
              <w:tc>
                <w:tcPr>
                  <w:tcW w:w="3911" w:type="dxa"/>
                  <w:gridSpan w:val="2"/>
                  <w:tcBorders>
                    <w:top w:val="single" w:color="auto" w:sz="4" w:space="0"/>
                    <w:left w:val="single" w:color="auto" w:sz="4" w:space="0"/>
                    <w:bottom w:val="single" w:color="auto" w:sz="4" w:space="0"/>
                    <w:right w:val="single" w:color="auto" w:sz="4" w:space="0"/>
                    <w:tl2br w:val="nil"/>
                    <w:tr2bl w:val="nil"/>
                  </w:tcBorders>
                  <w:noWrap w:val="0"/>
                  <w:vAlign w:val="top"/>
                </w:tcPr>
                <w:p w14:paraId="0001CCA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出料</w:t>
                  </w:r>
                </w:p>
              </w:tc>
            </w:tr>
            <w:tr w14:paraId="13466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901" w:type="dxa"/>
                  <w:tcBorders>
                    <w:top w:val="single" w:color="auto" w:sz="4" w:space="0"/>
                    <w:left w:val="single" w:color="auto" w:sz="4" w:space="0"/>
                    <w:bottom w:val="single" w:color="auto" w:sz="4" w:space="0"/>
                    <w:right w:val="single" w:color="auto" w:sz="4" w:space="0"/>
                    <w:tl2br w:val="nil"/>
                    <w:tr2bl w:val="nil"/>
                  </w:tcBorders>
                  <w:noWrap w:val="0"/>
                  <w:vAlign w:val="top"/>
                </w:tcPr>
                <w:p w14:paraId="52E4078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名称</w:t>
                  </w:r>
                </w:p>
              </w:tc>
              <w:tc>
                <w:tcPr>
                  <w:tcW w:w="1933" w:type="dxa"/>
                  <w:tcBorders>
                    <w:top w:val="single" w:color="auto" w:sz="4" w:space="0"/>
                    <w:left w:val="single" w:color="auto" w:sz="4" w:space="0"/>
                    <w:bottom w:val="single" w:color="auto" w:sz="4" w:space="0"/>
                    <w:right w:val="single" w:color="auto" w:sz="4" w:space="0"/>
                    <w:tl2br w:val="nil"/>
                    <w:tr2bl w:val="nil"/>
                  </w:tcBorders>
                  <w:noWrap w:val="0"/>
                  <w:vAlign w:val="top"/>
                </w:tcPr>
                <w:p w14:paraId="059C97C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数量（t/a）</w:t>
                  </w:r>
                </w:p>
              </w:tc>
              <w:tc>
                <w:tcPr>
                  <w:tcW w:w="2225" w:type="dxa"/>
                  <w:tcBorders>
                    <w:top w:val="single" w:color="auto" w:sz="4" w:space="0"/>
                    <w:left w:val="single" w:color="auto" w:sz="4" w:space="0"/>
                    <w:bottom w:val="single" w:color="auto" w:sz="4" w:space="0"/>
                    <w:right w:val="single" w:color="auto" w:sz="4" w:space="0"/>
                    <w:tl2br w:val="nil"/>
                    <w:tr2bl w:val="nil"/>
                  </w:tcBorders>
                  <w:noWrap w:val="0"/>
                  <w:vAlign w:val="top"/>
                </w:tcPr>
                <w:p w14:paraId="444E1AD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名称</w:t>
                  </w:r>
                </w:p>
              </w:tc>
              <w:tc>
                <w:tcPr>
                  <w:tcW w:w="1686" w:type="dxa"/>
                  <w:tcBorders>
                    <w:top w:val="single" w:color="auto" w:sz="4" w:space="0"/>
                    <w:left w:val="single" w:color="auto" w:sz="4" w:space="0"/>
                    <w:bottom w:val="single" w:color="auto" w:sz="4" w:space="0"/>
                    <w:right w:val="single" w:color="auto" w:sz="4" w:space="0"/>
                    <w:tl2br w:val="nil"/>
                    <w:tr2bl w:val="nil"/>
                  </w:tcBorders>
                  <w:noWrap w:val="0"/>
                  <w:vAlign w:val="top"/>
                </w:tcPr>
                <w:p w14:paraId="67582EE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数量（t/a）</w:t>
                  </w:r>
                </w:p>
              </w:tc>
            </w:tr>
            <w:tr w14:paraId="19CB1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901"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5407E46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水</w:t>
                  </w:r>
                </w:p>
              </w:tc>
              <w:tc>
                <w:tcPr>
                  <w:tcW w:w="1933"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7AC0D9D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14940</w:t>
                  </w:r>
                </w:p>
              </w:tc>
              <w:tc>
                <w:tcPr>
                  <w:tcW w:w="222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91D5E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免烧砖</w:t>
                  </w:r>
                </w:p>
              </w:tc>
              <w:tc>
                <w:tcPr>
                  <w:tcW w:w="168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57357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lang w:val="en-US" w:eastAsia="zh-CN"/>
                    </w:rPr>
                    <w:t>200000</w:t>
                  </w:r>
                </w:p>
              </w:tc>
            </w:tr>
            <w:tr w14:paraId="3E2A7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90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7B1AD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建筑废料</w:t>
                  </w:r>
                </w:p>
              </w:tc>
              <w:tc>
                <w:tcPr>
                  <w:tcW w:w="193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72EB22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49800</w:t>
                  </w:r>
                </w:p>
              </w:tc>
              <w:tc>
                <w:tcPr>
                  <w:tcW w:w="222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3A4DC4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颗粒物有组织产生量</w:t>
                  </w:r>
                </w:p>
              </w:tc>
              <w:tc>
                <w:tcPr>
                  <w:tcW w:w="168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BD7C7D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20.18</w:t>
                  </w:r>
                </w:p>
              </w:tc>
            </w:tr>
            <w:tr w14:paraId="20B0F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90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3477D5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脱硫石膏</w:t>
                  </w:r>
                </w:p>
              </w:tc>
              <w:tc>
                <w:tcPr>
                  <w:tcW w:w="193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02DFC3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15189</w:t>
                  </w:r>
                </w:p>
              </w:tc>
              <w:tc>
                <w:tcPr>
                  <w:tcW w:w="222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97F2A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default"/>
                      <w:color w:val="auto"/>
                      <w:kern w:val="0"/>
                      <w:sz w:val="21"/>
                      <w:szCs w:val="21"/>
                      <w:lang w:val="en-US" w:eastAsia="zh-CN"/>
                    </w:rPr>
                    <w:t>颗粒物</w:t>
                  </w:r>
                  <w:r>
                    <w:rPr>
                      <w:rFonts w:hint="eastAsia"/>
                      <w:color w:val="auto"/>
                      <w:kern w:val="0"/>
                      <w:sz w:val="21"/>
                      <w:szCs w:val="21"/>
                      <w:lang w:val="en-US" w:eastAsia="zh-CN"/>
                    </w:rPr>
                    <w:t>无</w:t>
                  </w:r>
                  <w:r>
                    <w:rPr>
                      <w:rFonts w:hint="default"/>
                      <w:color w:val="auto"/>
                      <w:kern w:val="0"/>
                      <w:sz w:val="21"/>
                      <w:szCs w:val="21"/>
                      <w:lang w:val="en-US" w:eastAsia="zh-CN"/>
                    </w:rPr>
                    <w:t>组织产生量</w:t>
                  </w:r>
                </w:p>
              </w:tc>
              <w:tc>
                <w:tcPr>
                  <w:tcW w:w="168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C8973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7.86</w:t>
                  </w:r>
                </w:p>
              </w:tc>
            </w:tr>
            <w:tr w14:paraId="01692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901"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652C3F3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破陶瓷砖拋光泥</w:t>
                  </w:r>
                </w:p>
              </w:tc>
              <w:tc>
                <w:tcPr>
                  <w:tcW w:w="1933"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4446259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50270</w:t>
                  </w:r>
                </w:p>
              </w:tc>
              <w:tc>
                <w:tcPr>
                  <w:tcW w:w="2225"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64ED7F6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氟化物有组织产生量</w:t>
                  </w:r>
                </w:p>
              </w:tc>
              <w:tc>
                <w:tcPr>
                  <w:tcW w:w="1686"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1AAB6D1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0.38</w:t>
                  </w:r>
                </w:p>
              </w:tc>
            </w:tr>
            <w:tr w14:paraId="63375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901" w:type="dxa"/>
                  <w:tcBorders>
                    <w:top w:val="single" w:color="auto" w:sz="4" w:space="0"/>
                    <w:left w:val="single" w:color="auto" w:sz="4" w:space="0"/>
                    <w:right w:val="single" w:color="auto" w:sz="4" w:space="0"/>
                    <w:tl2br w:val="nil"/>
                    <w:tr2bl w:val="nil"/>
                  </w:tcBorders>
                  <w:shd w:val="clear" w:color="auto" w:fill="auto"/>
                  <w:noWrap w:val="0"/>
                  <w:vAlign w:val="center"/>
                </w:tcPr>
                <w:p w14:paraId="02272A5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水泥</w:t>
                  </w:r>
                </w:p>
              </w:tc>
              <w:tc>
                <w:tcPr>
                  <w:tcW w:w="1933" w:type="dxa"/>
                  <w:tcBorders>
                    <w:top w:val="single" w:color="auto" w:sz="4" w:space="0"/>
                    <w:left w:val="single" w:color="auto" w:sz="4" w:space="0"/>
                    <w:right w:val="single" w:color="auto" w:sz="4" w:space="0"/>
                    <w:tl2br w:val="nil"/>
                    <w:tr2bl w:val="nil"/>
                  </w:tcBorders>
                  <w:shd w:val="clear" w:color="auto" w:fill="auto"/>
                  <w:noWrap w:val="0"/>
                  <w:vAlign w:val="center"/>
                </w:tcPr>
                <w:p w14:paraId="0CF6C27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14940</w:t>
                  </w:r>
                </w:p>
              </w:tc>
              <w:tc>
                <w:tcPr>
                  <w:tcW w:w="2225" w:type="dxa"/>
                  <w:tcBorders>
                    <w:top w:val="single" w:color="auto" w:sz="4" w:space="0"/>
                    <w:left w:val="single" w:color="auto" w:sz="4" w:space="0"/>
                    <w:right w:val="single" w:color="auto" w:sz="4" w:space="0"/>
                    <w:tl2br w:val="nil"/>
                    <w:tr2bl w:val="nil"/>
                  </w:tcBorders>
                  <w:shd w:val="clear" w:color="auto" w:fill="auto"/>
                  <w:noWrap w:val="0"/>
                  <w:vAlign w:val="center"/>
                </w:tcPr>
                <w:p w14:paraId="517CD16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氟化物</w:t>
                  </w:r>
                  <w:r>
                    <w:rPr>
                      <w:rFonts w:hint="eastAsia"/>
                      <w:color w:val="auto"/>
                      <w:kern w:val="0"/>
                      <w:sz w:val="21"/>
                      <w:szCs w:val="21"/>
                      <w:lang w:val="en-US" w:eastAsia="zh-CN"/>
                    </w:rPr>
                    <w:t>无</w:t>
                  </w:r>
                  <w:r>
                    <w:rPr>
                      <w:rFonts w:hint="default"/>
                      <w:color w:val="auto"/>
                      <w:kern w:val="0"/>
                      <w:sz w:val="21"/>
                      <w:szCs w:val="21"/>
                      <w:lang w:val="en-US" w:eastAsia="zh-CN"/>
                    </w:rPr>
                    <w:t>组织产生量</w:t>
                  </w:r>
                </w:p>
              </w:tc>
              <w:tc>
                <w:tcPr>
                  <w:tcW w:w="1686"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0AD7782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0.07</w:t>
                  </w:r>
                </w:p>
              </w:tc>
            </w:tr>
            <w:tr w14:paraId="2BCD6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901" w:type="dxa"/>
                  <w:tcBorders>
                    <w:top w:val="single" w:color="auto" w:sz="4" w:space="0"/>
                    <w:left w:val="single" w:color="auto" w:sz="4" w:space="0"/>
                    <w:right w:val="single" w:color="auto" w:sz="4" w:space="0"/>
                    <w:tl2br w:val="nil"/>
                    <w:tr2bl w:val="nil"/>
                  </w:tcBorders>
                  <w:shd w:val="clear" w:color="auto" w:fill="auto"/>
                  <w:noWrap w:val="0"/>
                  <w:vAlign w:val="center"/>
                </w:tcPr>
                <w:p w14:paraId="0FE2057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锂渣</w:t>
                  </w:r>
                </w:p>
              </w:tc>
              <w:tc>
                <w:tcPr>
                  <w:tcW w:w="1933" w:type="dxa"/>
                  <w:tcBorders>
                    <w:top w:val="single" w:color="auto" w:sz="4" w:space="0"/>
                    <w:left w:val="single" w:color="auto" w:sz="4" w:space="0"/>
                    <w:right w:val="single" w:color="auto" w:sz="4" w:space="0"/>
                    <w:tl2br w:val="nil"/>
                    <w:tr2bl w:val="nil"/>
                  </w:tcBorders>
                  <w:shd w:val="clear" w:color="auto" w:fill="auto"/>
                  <w:noWrap w:val="0"/>
                  <w:vAlign w:val="center"/>
                </w:tcPr>
                <w:p w14:paraId="11232D8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69720</w:t>
                  </w:r>
                </w:p>
              </w:tc>
              <w:tc>
                <w:tcPr>
                  <w:tcW w:w="2225" w:type="dxa"/>
                  <w:tcBorders>
                    <w:top w:val="single" w:color="auto" w:sz="4" w:space="0"/>
                    <w:left w:val="single" w:color="auto" w:sz="4" w:space="0"/>
                    <w:right w:val="single" w:color="auto" w:sz="4" w:space="0"/>
                    <w:tl2br w:val="nil"/>
                    <w:tr2bl w:val="nil"/>
                  </w:tcBorders>
                  <w:shd w:val="clear" w:color="auto" w:fill="auto"/>
                  <w:noWrap w:val="0"/>
                  <w:vAlign w:val="center"/>
                </w:tcPr>
                <w:p w14:paraId="0BC5EA4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rPr>
                    <w:t>水</w:t>
                  </w:r>
                  <w:r>
                    <w:rPr>
                      <w:rFonts w:hint="eastAsia"/>
                      <w:color w:val="auto"/>
                      <w:kern w:val="0"/>
                      <w:sz w:val="21"/>
                      <w:szCs w:val="21"/>
                      <w:lang w:val="en-US" w:eastAsia="zh-CN"/>
                    </w:rPr>
                    <w:t>损耗</w:t>
                  </w:r>
                </w:p>
              </w:tc>
              <w:tc>
                <w:tcPr>
                  <w:tcW w:w="1686"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66840DC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lang w:val="en-US" w:eastAsia="zh-CN"/>
                    </w:rPr>
                    <w:t>14940</w:t>
                  </w:r>
                </w:p>
              </w:tc>
            </w:tr>
            <w:tr w14:paraId="18F28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901" w:type="dxa"/>
                  <w:tcBorders>
                    <w:top w:val="single" w:color="auto" w:sz="4" w:space="0"/>
                    <w:left w:val="single" w:color="auto" w:sz="4" w:space="0"/>
                    <w:right w:val="single" w:color="auto" w:sz="4" w:space="0"/>
                    <w:tl2br w:val="nil"/>
                    <w:tr2bl w:val="nil"/>
                  </w:tcBorders>
                  <w:shd w:val="clear" w:color="auto" w:fill="auto"/>
                  <w:noWrap w:val="0"/>
                  <w:vAlign w:val="center"/>
                </w:tcPr>
                <w:p w14:paraId="0E98704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固化剂</w:t>
                  </w:r>
                </w:p>
              </w:tc>
              <w:tc>
                <w:tcPr>
                  <w:tcW w:w="1933" w:type="dxa"/>
                  <w:tcBorders>
                    <w:top w:val="single" w:color="auto" w:sz="4" w:space="0"/>
                    <w:left w:val="single" w:color="auto" w:sz="4" w:space="0"/>
                    <w:right w:val="single" w:color="auto" w:sz="4" w:space="0"/>
                    <w:tl2br w:val="nil"/>
                    <w:tr2bl w:val="nil"/>
                  </w:tcBorders>
                  <w:shd w:val="clear" w:color="auto" w:fill="auto"/>
                  <w:noWrap w:val="0"/>
                  <w:vAlign w:val="center"/>
                </w:tcPr>
                <w:p w14:paraId="1138BA1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120</w:t>
                  </w:r>
                </w:p>
              </w:tc>
              <w:tc>
                <w:tcPr>
                  <w:tcW w:w="2225" w:type="dxa"/>
                  <w:tcBorders>
                    <w:top w:val="single" w:color="auto" w:sz="4" w:space="0"/>
                    <w:left w:val="single" w:color="auto" w:sz="4" w:space="0"/>
                    <w:right w:val="single" w:color="auto" w:sz="4" w:space="0"/>
                    <w:tl2br w:val="nil"/>
                    <w:tr2bl w:val="nil"/>
                  </w:tcBorders>
                  <w:shd w:val="clear" w:color="auto" w:fill="auto"/>
                  <w:noWrap w:val="0"/>
                  <w:vAlign w:val="center"/>
                </w:tcPr>
                <w:p w14:paraId="078E602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固废</w:t>
                  </w:r>
                </w:p>
              </w:tc>
              <w:tc>
                <w:tcPr>
                  <w:tcW w:w="1686"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5F3685E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10.51</w:t>
                  </w:r>
                </w:p>
              </w:tc>
            </w:tr>
            <w:tr w14:paraId="4ECFD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901" w:type="dxa"/>
                  <w:tcBorders>
                    <w:top w:val="single" w:color="auto" w:sz="4" w:space="0"/>
                    <w:left w:val="single" w:color="auto" w:sz="4" w:space="0"/>
                    <w:bottom w:val="single" w:color="auto" w:sz="4" w:space="0"/>
                    <w:right w:val="single" w:color="auto" w:sz="4" w:space="0"/>
                    <w:tl2br w:val="nil"/>
                    <w:tr2bl w:val="nil"/>
                  </w:tcBorders>
                  <w:noWrap w:val="0"/>
                  <w:vAlign w:val="top"/>
                </w:tcPr>
                <w:p w14:paraId="7E54384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合计</w:t>
                  </w:r>
                </w:p>
              </w:tc>
              <w:tc>
                <w:tcPr>
                  <w:tcW w:w="1933"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0927D01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214979</w:t>
                  </w:r>
                </w:p>
              </w:tc>
              <w:tc>
                <w:tcPr>
                  <w:tcW w:w="2225" w:type="dxa"/>
                  <w:tcBorders>
                    <w:top w:val="single" w:color="auto" w:sz="4" w:space="0"/>
                    <w:left w:val="single" w:color="auto" w:sz="4" w:space="0"/>
                    <w:bottom w:val="single" w:color="auto" w:sz="4" w:space="0"/>
                    <w:right w:val="single" w:color="auto" w:sz="4" w:space="0"/>
                    <w:tl2br w:val="nil"/>
                    <w:tr2bl w:val="nil"/>
                  </w:tcBorders>
                  <w:noWrap w:val="0"/>
                  <w:vAlign w:val="top"/>
                </w:tcPr>
                <w:p w14:paraId="0A9568D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合计</w:t>
                  </w:r>
                </w:p>
              </w:tc>
              <w:tc>
                <w:tcPr>
                  <w:tcW w:w="1686"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5A56642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214979</w:t>
                  </w:r>
                </w:p>
              </w:tc>
            </w:tr>
            <w:tr w14:paraId="0ECBF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745"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14:paraId="0BBB6F1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再生道路复合稳定料</w:t>
                  </w:r>
                </w:p>
              </w:tc>
            </w:tr>
            <w:tr w14:paraId="0D7F6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901" w:type="dxa"/>
                  <w:tcBorders>
                    <w:top w:val="single" w:color="auto" w:sz="4" w:space="0"/>
                    <w:left w:val="single" w:color="auto" w:sz="4" w:space="0"/>
                    <w:bottom w:val="single" w:color="auto" w:sz="4" w:space="0"/>
                    <w:right w:val="single" w:color="auto" w:sz="4" w:space="0"/>
                    <w:tl2br w:val="nil"/>
                    <w:tr2bl w:val="nil"/>
                  </w:tcBorders>
                  <w:noWrap w:val="0"/>
                  <w:vAlign w:val="top"/>
                </w:tcPr>
                <w:p w14:paraId="30F3EF7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名称</w:t>
                  </w:r>
                </w:p>
              </w:tc>
              <w:tc>
                <w:tcPr>
                  <w:tcW w:w="1933" w:type="dxa"/>
                  <w:tcBorders>
                    <w:top w:val="single" w:color="auto" w:sz="4" w:space="0"/>
                    <w:left w:val="single" w:color="auto" w:sz="4" w:space="0"/>
                    <w:bottom w:val="single" w:color="auto" w:sz="4" w:space="0"/>
                    <w:right w:val="single" w:color="auto" w:sz="4" w:space="0"/>
                    <w:tl2br w:val="nil"/>
                    <w:tr2bl w:val="nil"/>
                  </w:tcBorders>
                  <w:noWrap w:val="0"/>
                  <w:vAlign w:val="top"/>
                </w:tcPr>
                <w:p w14:paraId="2C66CCE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数量（t/a）</w:t>
                  </w:r>
                </w:p>
              </w:tc>
              <w:tc>
                <w:tcPr>
                  <w:tcW w:w="2225" w:type="dxa"/>
                  <w:tcBorders>
                    <w:top w:val="single" w:color="auto" w:sz="4" w:space="0"/>
                    <w:left w:val="single" w:color="auto" w:sz="4" w:space="0"/>
                    <w:bottom w:val="single" w:color="auto" w:sz="4" w:space="0"/>
                    <w:right w:val="single" w:color="auto" w:sz="4" w:space="0"/>
                    <w:tl2br w:val="nil"/>
                    <w:tr2bl w:val="nil"/>
                  </w:tcBorders>
                  <w:noWrap w:val="0"/>
                  <w:vAlign w:val="top"/>
                </w:tcPr>
                <w:p w14:paraId="44167A6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名称</w:t>
                  </w:r>
                </w:p>
              </w:tc>
              <w:tc>
                <w:tcPr>
                  <w:tcW w:w="1686" w:type="dxa"/>
                  <w:tcBorders>
                    <w:top w:val="single" w:color="auto" w:sz="4" w:space="0"/>
                    <w:left w:val="single" w:color="auto" w:sz="4" w:space="0"/>
                    <w:bottom w:val="single" w:color="auto" w:sz="4" w:space="0"/>
                    <w:right w:val="single" w:color="auto" w:sz="4" w:space="0"/>
                    <w:tl2br w:val="nil"/>
                    <w:tr2bl w:val="nil"/>
                  </w:tcBorders>
                  <w:noWrap w:val="0"/>
                  <w:vAlign w:val="top"/>
                </w:tcPr>
                <w:p w14:paraId="7759574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数量（t/a）</w:t>
                  </w:r>
                </w:p>
              </w:tc>
            </w:tr>
            <w:tr w14:paraId="27484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90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85D477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建筑废料</w:t>
                  </w:r>
                </w:p>
              </w:tc>
              <w:tc>
                <w:tcPr>
                  <w:tcW w:w="193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D18D60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150200</w:t>
                  </w:r>
                </w:p>
              </w:tc>
              <w:tc>
                <w:tcPr>
                  <w:tcW w:w="2225" w:type="dxa"/>
                  <w:tcBorders>
                    <w:top w:val="single" w:color="auto" w:sz="4" w:space="0"/>
                    <w:left w:val="single" w:color="auto" w:sz="4" w:space="0"/>
                    <w:bottom w:val="single" w:color="auto" w:sz="4" w:space="0"/>
                    <w:right w:val="single" w:color="auto" w:sz="4" w:space="0"/>
                    <w:tl2br w:val="nil"/>
                    <w:tr2bl w:val="nil"/>
                  </w:tcBorders>
                  <w:noWrap w:val="0"/>
                  <w:vAlign w:val="top"/>
                </w:tcPr>
                <w:p w14:paraId="570B281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再生道路复合稳定料</w:t>
                  </w:r>
                </w:p>
              </w:tc>
              <w:tc>
                <w:tcPr>
                  <w:tcW w:w="168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9F0525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700000</w:t>
                  </w:r>
                </w:p>
              </w:tc>
            </w:tr>
            <w:tr w14:paraId="43C6F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90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B34B3E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脱硫石膏</w:t>
                  </w:r>
                </w:p>
              </w:tc>
              <w:tc>
                <w:tcPr>
                  <w:tcW w:w="193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1EB94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45811</w:t>
                  </w:r>
                </w:p>
              </w:tc>
              <w:tc>
                <w:tcPr>
                  <w:tcW w:w="222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A4E912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颗粒物有组织产生量</w:t>
                  </w:r>
                </w:p>
              </w:tc>
              <w:tc>
                <w:tcPr>
                  <w:tcW w:w="168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6BA22D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60.86</w:t>
                  </w:r>
                </w:p>
              </w:tc>
            </w:tr>
            <w:tr w14:paraId="0CC2D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0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7D6B8A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破陶瓷砖拋光泥</w:t>
                  </w:r>
                </w:p>
              </w:tc>
              <w:tc>
                <w:tcPr>
                  <w:tcW w:w="1933"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36F747C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189730</w:t>
                  </w:r>
                </w:p>
              </w:tc>
              <w:tc>
                <w:tcPr>
                  <w:tcW w:w="222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725A31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颗粒物</w:t>
                  </w:r>
                  <w:r>
                    <w:rPr>
                      <w:rFonts w:hint="eastAsia"/>
                      <w:color w:val="auto"/>
                      <w:kern w:val="0"/>
                      <w:sz w:val="21"/>
                      <w:szCs w:val="21"/>
                      <w:lang w:val="en-US" w:eastAsia="zh-CN"/>
                    </w:rPr>
                    <w:t>无</w:t>
                  </w:r>
                  <w:r>
                    <w:rPr>
                      <w:rFonts w:hint="default"/>
                      <w:color w:val="auto"/>
                      <w:kern w:val="0"/>
                      <w:sz w:val="21"/>
                      <w:szCs w:val="21"/>
                      <w:lang w:val="en-US" w:eastAsia="zh-CN"/>
                    </w:rPr>
                    <w:t>组织产生量</w:t>
                  </w:r>
                </w:p>
              </w:tc>
              <w:tc>
                <w:tcPr>
                  <w:tcW w:w="168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32BDA7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23.72</w:t>
                  </w:r>
                </w:p>
              </w:tc>
            </w:tr>
            <w:tr w14:paraId="497CE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90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23A43C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水泥</w:t>
                  </w:r>
                </w:p>
              </w:tc>
              <w:tc>
                <w:tcPr>
                  <w:tcW w:w="193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F2761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45060</w:t>
                  </w:r>
                </w:p>
              </w:tc>
              <w:tc>
                <w:tcPr>
                  <w:tcW w:w="222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C731F0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氟化物有组织产生量</w:t>
                  </w:r>
                </w:p>
              </w:tc>
              <w:tc>
                <w:tcPr>
                  <w:tcW w:w="168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505D9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1.14</w:t>
                  </w:r>
                </w:p>
              </w:tc>
            </w:tr>
            <w:tr w14:paraId="1236C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901" w:type="dxa"/>
                  <w:tcBorders>
                    <w:top w:val="single" w:color="auto" w:sz="4" w:space="0"/>
                    <w:left w:val="single" w:color="auto" w:sz="4" w:space="0"/>
                    <w:right w:val="single" w:color="auto" w:sz="4" w:space="0"/>
                    <w:tl2br w:val="nil"/>
                    <w:tr2bl w:val="nil"/>
                  </w:tcBorders>
                  <w:shd w:val="clear" w:color="auto" w:fill="auto"/>
                  <w:noWrap w:val="0"/>
                  <w:vAlign w:val="center"/>
                </w:tcPr>
                <w:p w14:paraId="7356427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固化剂</w:t>
                  </w:r>
                </w:p>
              </w:tc>
              <w:tc>
                <w:tcPr>
                  <w:tcW w:w="1933"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6B4FC51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6000</w:t>
                  </w:r>
                </w:p>
              </w:tc>
              <w:tc>
                <w:tcPr>
                  <w:tcW w:w="2225" w:type="dxa"/>
                  <w:tcBorders>
                    <w:top w:val="single" w:color="auto" w:sz="4" w:space="0"/>
                    <w:left w:val="single" w:color="auto" w:sz="4" w:space="0"/>
                    <w:right w:val="single" w:color="auto" w:sz="4" w:space="0"/>
                    <w:tl2br w:val="nil"/>
                    <w:tr2bl w:val="nil"/>
                  </w:tcBorders>
                  <w:noWrap w:val="0"/>
                  <w:vAlign w:val="center"/>
                </w:tcPr>
                <w:p w14:paraId="6893272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default"/>
                      <w:color w:val="auto"/>
                      <w:kern w:val="0"/>
                      <w:sz w:val="21"/>
                      <w:szCs w:val="21"/>
                      <w:lang w:val="en-US" w:eastAsia="zh-CN"/>
                    </w:rPr>
                    <w:t>氟化物</w:t>
                  </w:r>
                  <w:r>
                    <w:rPr>
                      <w:rFonts w:hint="eastAsia"/>
                      <w:color w:val="auto"/>
                      <w:kern w:val="0"/>
                      <w:sz w:val="21"/>
                      <w:szCs w:val="21"/>
                      <w:lang w:val="en-US" w:eastAsia="zh-CN"/>
                    </w:rPr>
                    <w:t>无</w:t>
                  </w:r>
                  <w:r>
                    <w:rPr>
                      <w:rFonts w:hint="default"/>
                      <w:color w:val="auto"/>
                      <w:kern w:val="0"/>
                      <w:sz w:val="21"/>
                      <w:szCs w:val="21"/>
                      <w:lang w:val="en-US" w:eastAsia="zh-CN"/>
                    </w:rPr>
                    <w:t>组织产生量</w:t>
                  </w:r>
                </w:p>
              </w:tc>
              <w:tc>
                <w:tcPr>
                  <w:tcW w:w="1686" w:type="dxa"/>
                  <w:tcBorders>
                    <w:top w:val="single" w:color="auto" w:sz="4" w:space="0"/>
                    <w:left w:val="single" w:color="auto" w:sz="4" w:space="0"/>
                    <w:right w:val="single" w:color="auto" w:sz="4" w:space="0"/>
                    <w:tl2br w:val="nil"/>
                    <w:tr2bl w:val="nil"/>
                  </w:tcBorders>
                  <w:noWrap w:val="0"/>
                  <w:vAlign w:val="center"/>
                </w:tcPr>
                <w:p w14:paraId="1468D69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0.20</w:t>
                  </w:r>
                </w:p>
              </w:tc>
            </w:tr>
            <w:tr w14:paraId="183B7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901" w:type="dxa"/>
                  <w:tcBorders>
                    <w:left w:val="single" w:color="auto" w:sz="4" w:space="0"/>
                    <w:bottom w:val="single" w:color="auto" w:sz="4" w:space="0"/>
                    <w:right w:val="single" w:color="auto" w:sz="4" w:space="0"/>
                    <w:tl2br w:val="nil"/>
                    <w:tr2bl w:val="nil"/>
                  </w:tcBorders>
                  <w:shd w:val="clear" w:color="auto" w:fill="auto"/>
                  <w:noWrap w:val="0"/>
                  <w:vAlign w:val="center"/>
                </w:tcPr>
                <w:p w14:paraId="61B6E49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钙质添加剂</w:t>
                  </w:r>
                </w:p>
              </w:tc>
              <w:tc>
                <w:tcPr>
                  <w:tcW w:w="1933"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1354CC9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5000</w:t>
                  </w:r>
                </w:p>
              </w:tc>
              <w:tc>
                <w:tcPr>
                  <w:tcW w:w="2225" w:type="dxa"/>
                  <w:tcBorders>
                    <w:left w:val="single" w:color="auto" w:sz="4" w:space="0"/>
                    <w:bottom w:val="single" w:color="auto" w:sz="4" w:space="0"/>
                    <w:right w:val="single" w:color="auto" w:sz="4" w:space="0"/>
                    <w:tl2br w:val="nil"/>
                    <w:tr2bl w:val="nil"/>
                  </w:tcBorders>
                  <w:shd w:val="clear" w:color="auto" w:fill="auto"/>
                  <w:noWrap w:val="0"/>
                  <w:vAlign w:val="center"/>
                </w:tcPr>
                <w:p w14:paraId="38FFC0E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水损耗</w:t>
                  </w:r>
                </w:p>
              </w:tc>
              <w:tc>
                <w:tcPr>
                  <w:tcW w:w="1686" w:type="dxa"/>
                  <w:tcBorders>
                    <w:left w:val="single" w:color="auto" w:sz="4" w:space="0"/>
                    <w:bottom w:val="single" w:color="auto" w:sz="4" w:space="0"/>
                    <w:right w:val="single" w:color="auto" w:sz="4" w:space="0"/>
                    <w:tl2br w:val="nil"/>
                    <w:tr2bl w:val="nil"/>
                  </w:tcBorders>
                  <w:noWrap w:val="0"/>
                  <w:vAlign w:val="center"/>
                </w:tcPr>
                <w:p w14:paraId="056F2B3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300</w:t>
                  </w:r>
                </w:p>
              </w:tc>
            </w:tr>
            <w:tr w14:paraId="46736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901" w:type="dxa"/>
                  <w:tcBorders>
                    <w:left w:val="single" w:color="auto" w:sz="4" w:space="0"/>
                    <w:bottom w:val="single" w:color="auto" w:sz="4" w:space="0"/>
                    <w:right w:val="single" w:color="auto" w:sz="4" w:space="0"/>
                    <w:tl2br w:val="nil"/>
                    <w:tr2bl w:val="nil"/>
                  </w:tcBorders>
                  <w:shd w:val="clear" w:color="auto" w:fill="auto"/>
                  <w:noWrap w:val="0"/>
                  <w:vAlign w:val="center"/>
                </w:tcPr>
                <w:p w14:paraId="06B137A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螯合剂</w:t>
                  </w:r>
                </w:p>
              </w:tc>
              <w:tc>
                <w:tcPr>
                  <w:tcW w:w="1933"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557F9A1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2000</w:t>
                  </w:r>
                </w:p>
              </w:tc>
              <w:tc>
                <w:tcPr>
                  <w:tcW w:w="2225" w:type="dxa"/>
                  <w:tcBorders>
                    <w:left w:val="single" w:color="auto" w:sz="4" w:space="0"/>
                    <w:bottom w:val="single" w:color="auto" w:sz="4" w:space="0"/>
                    <w:right w:val="single" w:color="auto" w:sz="4" w:space="0"/>
                    <w:tl2br w:val="nil"/>
                    <w:tr2bl w:val="nil"/>
                  </w:tcBorders>
                  <w:shd w:val="clear" w:color="auto" w:fill="auto"/>
                  <w:noWrap w:val="0"/>
                  <w:vAlign w:val="center"/>
                </w:tcPr>
                <w:p w14:paraId="277ECDC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c>
                <w:tcPr>
                  <w:tcW w:w="1686" w:type="dxa"/>
                  <w:tcBorders>
                    <w:left w:val="single" w:color="auto" w:sz="4" w:space="0"/>
                    <w:bottom w:val="single" w:color="auto" w:sz="4" w:space="0"/>
                    <w:right w:val="single" w:color="auto" w:sz="4" w:space="0"/>
                    <w:tl2br w:val="nil"/>
                    <w:tr2bl w:val="nil"/>
                  </w:tcBorders>
                  <w:noWrap w:val="0"/>
                  <w:vAlign w:val="center"/>
                </w:tcPr>
                <w:p w14:paraId="5CB9A29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p>
              </w:tc>
            </w:tr>
            <w:tr w14:paraId="46CA6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901" w:type="dxa"/>
                  <w:tcBorders>
                    <w:left w:val="single" w:color="auto" w:sz="4" w:space="0"/>
                    <w:bottom w:val="single" w:color="auto" w:sz="4" w:space="0"/>
                    <w:right w:val="single" w:color="auto" w:sz="4" w:space="0"/>
                    <w:tl2br w:val="nil"/>
                    <w:tr2bl w:val="nil"/>
                  </w:tcBorders>
                  <w:shd w:val="clear" w:color="auto" w:fill="auto"/>
                  <w:noWrap w:val="0"/>
                  <w:vAlign w:val="center"/>
                </w:tcPr>
                <w:p w14:paraId="5E4A036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锂渣</w:t>
                  </w:r>
                </w:p>
              </w:tc>
              <w:tc>
                <w:tcPr>
                  <w:tcW w:w="1933"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764DF3F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210280</w:t>
                  </w:r>
                </w:p>
              </w:tc>
              <w:tc>
                <w:tcPr>
                  <w:tcW w:w="2225" w:type="dxa"/>
                  <w:tcBorders>
                    <w:left w:val="single" w:color="auto" w:sz="4" w:space="0"/>
                    <w:bottom w:val="single" w:color="auto" w:sz="4" w:space="0"/>
                    <w:right w:val="single" w:color="auto" w:sz="4" w:space="0"/>
                    <w:tl2br w:val="nil"/>
                    <w:tr2bl w:val="nil"/>
                  </w:tcBorders>
                  <w:shd w:val="clear" w:color="auto" w:fill="auto"/>
                  <w:noWrap w:val="0"/>
                  <w:vAlign w:val="center"/>
                </w:tcPr>
                <w:p w14:paraId="2FD2267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固废</w:t>
                  </w:r>
                </w:p>
              </w:tc>
              <w:tc>
                <w:tcPr>
                  <w:tcW w:w="1686" w:type="dxa"/>
                  <w:tcBorders>
                    <w:left w:val="single" w:color="auto" w:sz="4" w:space="0"/>
                    <w:bottom w:val="single" w:color="auto" w:sz="4" w:space="0"/>
                    <w:right w:val="single" w:color="auto" w:sz="4" w:space="0"/>
                    <w:tl2br w:val="nil"/>
                    <w:tr2bl w:val="nil"/>
                  </w:tcBorders>
                  <w:noWrap w:val="0"/>
                  <w:vAlign w:val="center"/>
                </w:tcPr>
                <w:p w14:paraId="162E016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23.94</w:t>
                  </w:r>
                </w:p>
              </w:tc>
            </w:tr>
            <w:tr w14:paraId="2A0E2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901" w:type="dxa"/>
                  <w:tcBorders>
                    <w:left w:val="single" w:color="auto" w:sz="4" w:space="0"/>
                    <w:bottom w:val="single" w:color="auto" w:sz="4" w:space="0"/>
                    <w:right w:val="single" w:color="auto" w:sz="4" w:space="0"/>
                    <w:tl2br w:val="nil"/>
                    <w:tr2bl w:val="nil"/>
                  </w:tcBorders>
                  <w:shd w:val="clear" w:color="auto" w:fill="auto"/>
                  <w:noWrap w:val="0"/>
                  <w:vAlign w:val="center"/>
                </w:tcPr>
                <w:p w14:paraId="5D1D4D0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回用固废</w:t>
                  </w:r>
                </w:p>
              </w:tc>
              <w:tc>
                <w:tcPr>
                  <w:tcW w:w="1933"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top"/>
                </w:tcPr>
                <w:p w14:paraId="34D260B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88.86</w:t>
                  </w:r>
                </w:p>
              </w:tc>
              <w:tc>
                <w:tcPr>
                  <w:tcW w:w="2225" w:type="dxa"/>
                  <w:tcBorders>
                    <w:top w:val="single" w:color="auto" w:sz="4" w:space="0"/>
                    <w:left w:val="single" w:color="auto" w:sz="4" w:space="0"/>
                    <w:bottom w:val="single" w:color="auto" w:sz="4" w:space="0"/>
                    <w:right w:val="single" w:color="auto" w:sz="4" w:space="0"/>
                    <w:tl2br w:val="nil"/>
                    <w:tr2bl w:val="nil"/>
                  </w:tcBorders>
                  <w:noWrap w:val="0"/>
                  <w:vAlign w:val="top"/>
                </w:tcPr>
                <w:p w14:paraId="7785C1B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1686" w:type="dxa"/>
                  <w:tcBorders>
                    <w:top w:val="single" w:color="auto" w:sz="4" w:space="0"/>
                    <w:left w:val="single" w:color="auto" w:sz="4" w:space="0"/>
                    <w:bottom w:val="single" w:color="auto" w:sz="4" w:space="0"/>
                    <w:right w:val="single" w:color="auto" w:sz="4" w:space="0"/>
                    <w:tl2br w:val="nil"/>
                    <w:tr2bl w:val="nil"/>
                  </w:tcBorders>
                  <w:noWrap w:val="0"/>
                  <w:vAlign w:val="top"/>
                </w:tcPr>
                <w:p w14:paraId="116C263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r>
            <w:tr w14:paraId="12A56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901" w:type="dxa"/>
                  <w:tcBorders>
                    <w:left w:val="single" w:color="auto" w:sz="4" w:space="0"/>
                    <w:bottom w:val="single" w:color="auto" w:sz="4" w:space="0"/>
                    <w:right w:val="single" w:color="auto" w:sz="4" w:space="0"/>
                    <w:tl2br w:val="nil"/>
                    <w:tr2bl w:val="nil"/>
                  </w:tcBorders>
                  <w:shd w:val="clear" w:color="auto" w:fill="auto"/>
                  <w:noWrap w:val="0"/>
                  <w:vAlign w:val="center"/>
                </w:tcPr>
                <w:p w14:paraId="691F448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水</w:t>
                  </w:r>
                </w:p>
              </w:tc>
              <w:tc>
                <w:tcPr>
                  <w:tcW w:w="1933"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6C05531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46240</w:t>
                  </w:r>
                </w:p>
              </w:tc>
              <w:tc>
                <w:tcPr>
                  <w:tcW w:w="2225" w:type="dxa"/>
                  <w:tcBorders>
                    <w:top w:val="single" w:color="auto" w:sz="4" w:space="0"/>
                    <w:left w:val="single" w:color="auto" w:sz="4" w:space="0"/>
                    <w:bottom w:val="single" w:color="auto" w:sz="4" w:space="0"/>
                    <w:right w:val="single" w:color="auto" w:sz="4" w:space="0"/>
                    <w:tl2br w:val="nil"/>
                    <w:tr2bl w:val="nil"/>
                  </w:tcBorders>
                  <w:noWrap w:val="0"/>
                  <w:vAlign w:val="top"/>
                </w:tcPr>
                <w:p w14:paraId="266824D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1686" w:type="dxa"/>
                  <w:tcBorders>
                    <w:top w:val="single" w:color="auto" w:sz="4" w:space="0"/>
                    <w:left w:val="single" w:color="auto" w:sz="4" w:space="0"/>
                    <w:bottom w:val="single" w:color="auto" w:sz="4" w:space="0"/>
                    <w:right w:val="single" w:color="auto" w:sz="4" w:space="0"/>
                    <w:tl2br w:val="nil"/>
                    <w:tr2bl w:val="nil"/>
                  </w:tcBorders>
                  <w:noWrap w:val="0"/>
                  <w:vAlign w:val="top"/>
                </w:tcPr>
                <w:p w14:paraId="502E925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r>
            <w:tr w14:paraId="276A3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90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2FF47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合计</w:t>
                  </w:r>
                </w:p>
              </w:tc>
              <w:tc>
                <w:tcPr>
                  <w:tcW w:w="1933"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2FABCB7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700409.86</w:t>
                  </w:r>
                </w:p>
              </w:tc>
              <w:tc>
                <w:tcPr>
                  <w:tcW w:w="2225" w:type="dxa"/>
                  <w:tcBorders>
                    <w:top w:val="single" w:color="auto" w:sz="4" w:space="0"/>
                    <w:left w:val="single" w:color="auto" w:sz="4" w:space="0"/>
                    <w:bottom w:val="single" w:color="auto" w:sz="4" w:space="0"/>
                    <w:right w:val="single" w:color="auto" w:sz="4" w:space="0"/>
                    <w:tl2br w:val="nil"/>
                    <w:tr2bl w:val="nil"/>
                  </w:tcBorders>
                  <w:noWrap w:val="0"/>
                  <w:vAlign w:val="top"/>
                </w:tcPr>
                <w:p w14:paraId="5509059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合计</w:t>
                  </w:r>
                </w:p>
              </w:tc>
              <w:tc>
                <w:tcPr>
                  <w:tcW w:w="1686" w:type="dxa"/>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194B4FF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700409.86</w:t>
                  </w:r>
                </w:p>
              </w:tc>
            </w:tr>
          </w:tbl>
          <w:p w14:paraId="10F33F52">
            <w:pPr>
              <w:keepNext w:val="0"/>
              <w:keepLines w:val="0"/>
              <w:pageBreakBefore/>
              <w:widowControl/>
              <w:numPr>
                <w:ilvl w:val="0"/>
                <w:numId w:val="0"/>
              </w:numPr>
              <w:suppressLineNumbers w:val="0"/>
              <w:spacing w:before="0" w:beforeLines="0" w:beforeAutospacing="0" w:after="0" w:afterLines="0" w:afterAutospacing="0" w:line="240" w:lineRule="auto"/>
              <w:ind w:left="0" w:leftChars="0" w:right="0" w:firstLine="0" w:firstLineChars="0"/>
              <w:jc w:val="center"/>
              <w:rPr>
                <w:rFonts w:hint="eastAsia" w:ascii="黑体" w:hAnsi="黑体" w:eastAsia="黑体" w:cs="Times New Roman"/>
                <w:snapToGrid w:val="0"/>
                <w:color w:val="auto"/>
                <w:sz w:val="30"/>
                <w:szCs w:val="30"/>
                <w:vertAlign w:val="baseline"/>
                <w:lang w:val="en-US" w:eastAsia="zh-CN"/>
              </w:rPr>
            </w:pPr>
            <w:r>
              <w:rPr>
                <w:rFonts w:hint="eastAsia" w:ascii="黑体" w:hAnsi="黑体" w:eastAsia="黑体" w:cs="Times New Roman"/>
                <w:snapToGrid w:val="0"/>
                <w:color w:val="auto"/>
                <w:sz w:val="30"/>
                <w:szCs w:val="30"/>
                <w:vertAlign w:val="baseline"/>
                <w:lang w:val="en-US" w:eastAsia="zh-CN"/>
              </w:rPr>
              <w:drawing>
                <wp:inline distT="0" distB="0" distL="114300" distR="114300">
                  <wp:extent cx="4552950" cy="3304540"/>
                  <wp:effectExtent l="0" t="0" r="3810" b="2540"/>
                  <wp:docPr id="9" name="F360BE8B-6686-4F3D-AEAF-501FE73E4058-5" descr="C:/Users/zxh/AppData/Local/Temp/绘图1(1).png绘图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360BE8B-6686-4F3D-AEAF-501FE73E4058-5" descr="C:/Users/zxh/AppData/Local/Temp/绘图1(1).png绘图1(1)"/>
                          <pic:cNvPicPr>
                            <a:picLocks noChangeAspect="1"/>
                          </pic:cNvPicPr>
                        </pic:nvPicPr>
                        <pic:blipFill>
                          <a:blip r:embed="rId13"/>
                          <a:stretch>
                            <a:fillRect/>
                          </a:stretch>
                        </pic:blipFill>
                        <pic:spPr>
                          <a:xfrm>
                            <a:off x="0" y="0"/>
                            <a:ext cx="4552950" cy="3304540"/>
                          </a:xfrm>
                          <a:prstGeom prst="rect">
                            <a:avLst/>
                          </a:prstGeom>
                        </pic:spPr>
                      </pic:pic>
                    </a:graphicData>
                  </a:graphic>
                </wp:inline>
              </w:drawing>
            </w:r>
          </w:p>
          <w:p w14:paraId="117B4C5D">
            <w:pPr>
              <w:keepNext w:val="0"/>
              <w:keepLines w:val="0"/>
              <w:pageBreakBefore/>
              <w:widowControl/>
              <w:numPr>
                <w:ilvl w:val="0"/>
                <w:numId w:val="0"/>
              </w:numPr>
              <w:suppressLineNumbers w:val="0"/>
              <w:spacing w:before="0" w:beforeLines="0" w:beforeAutospacing="0" w:after="0" w:afterLines="0" w:afterAutospacing="0" w:line="240" w:lineRule="auto"/>
              <w:ind w:left="0" w:leftChars="0" w:right="0" w:firstLine="0" w:firstLineChars="0"/>
              <w:jc w:val="center"/>
              <w:rPr>
                <w:rFonts w:hint="eastAsia"/>
                <w:b/>
                <w:color w:val="auto"/>
                <w:sz w:val="21"/>
                <w:szCs w:val="21"/>
                <w:lang w:val="en-US" w:eastAsia="zh-CN"/>
              </w:rPr>
            </w:pPr>
            <w:r>
              <w:rPr>
                <w:rFonts w:hint="eastAsia"/>
                <w:b/>
                <w:color w:val="auto"/>
                <w:sz w:val="21"/>
                <w:szCs w:val="21"/>
                <w:lang w:val="en-US" w:eastAsia="zh-CN"/>
              </w:rPr>
              <w:t>图2-5免烧砖物料平衡图（单位t/a）</w:t>
            </w:r>
          </w:p>
          <w:p w14:paraId="6AC5DF0D">
            <w:pPr>
              <w:keepNext w:val="0"/>
              <w:keepLines w:val="0"/>
              <w:pageBreakBefore/>
              <w:widowControl/>
              <w:numPr>
                <w:ilvl w:val="0"/>
                <w:numId w:val="0"/>
              </w:numPr>
              <w:suppressLineNumbers w:val="0"/>
              <w:spacing w:before="0" w:beforeLines="0" w:beforeAutospacing="0" w:after="0" w:afterLines="0" w:afterAutospacing="0" w:line="240" w:lineRule="auto"/>
              <w:ind w:left="0" w:leftChars="0" w:right="0" w:firstLine="0" w:firstLineChars="0"/>
              <w:jc w:val="center"/>
              <w:rPr>
                <w:rFonts w:hint="eastAsia"/>
                <w:b/>
                <w:color w:val="auto"/>
                <w:sz w:val="21"/>
                <w:szCs w:val="21"/>
                <w:lang w:val="en-US" w:eastAsia="zh-CN"/>
              </w:rPr>
            </w:pPr>
            <w:r>
              <w:rPr>
                <w:rFonts w:hint="eastAsia"/>
                <w:b/>
                <w:color w:val="auto"/>
                <w:sz w:val="21"/>
                <w:szCs w:val="21"/>
                <w:lang w:val="en-US" w:eastAsia="zh-CN"/>
              </w:rPr>
              <w:drawing>
                <wp:inline distT="0" distB="0" distL="114300" distR="114300">
                  <wp:extent cx="4537075" cy="3422015"/>
                  <wp:effectExtent l="0" t="0" r="4445" b="6985"/>
                  <wp:docPr id="10" name="F360BE8B-6686-4F3D-AEAF-501FE73E4058-6" descr="C:/Users/zxh/AppData/Local/Temp/绘图1(2).png绘图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360BE8B-6686-4F3D-AEAF-501FE73E4058-6" descr="C:/Users/zxh/AppData/Local/Temp/绘图1(2).png绘图1(2)"/>
                          <pic:cNvPicPr>
                            <a:picLocks noChangeAspect="1"/>
                          </pic:cNvPicPr>
                        </pic:nvPicPr>
                        <pic:blipFill>
                          <a:blip r:embed="rId14"/>
                          <a:stretch>
                            <a:fillRect/>
                          </a:stretch>
                        </pic:blipFill>
                        <pic:spPr>
                          <a:xfrm>
                            <a:off x="0" y="0"/>
                            <a:ext cx="4537075" cy="3422015"/>
                          </a:xfrm>
                          <a:prstGeom prst="rect">
                            <a:avLst/>
                          </a:prstGeom>
                        </pic:spPr>
                      </pic:pic>
                    </a:graphicData>
                  </a:graphic>
                </wp:inline>
              </w:drawing>
            </w:r>
          </w:p>
          <w:p w14:paraId="7FF6F122">
            <w:pPr>
              <w:keepNext w:val="0"/>
              <w:keepLines w:val="0"/>
              <w:pageBreakBefore/>
              <w:widowControl/>
              <w:numPr>
                <w:ilvl w:val="0"/>
                <w:numId w:val="0"/>
              </w:numPr>
              <w:suppressLineNumbers w:val="0"/>
              <w:spacing w:before="0" w:beforeLines="0" w:beforeAutospacing="0" w:after="0" w:afterLines="0" w:afterAutospacing="0" w:line="240" w:lineRule="auto"/>
              <w:ind w:left="0" w:leftChars="0" w:right="0" w:firstLine="0" w:firstLineChars="0"/>
              <w:jc w:val="center"/>
              <w:rPr>
                <w:rFonts w:hint="default"/>
                <w:b/>
                <w:color w:val="auto"/>
                <w:sz w:val="21"/>
                <w:szCs w:val="21"/>
                <w:lang w:val="en-US" w:eastAsia="zh-CN"/>
              </w:rPr>
            </w:pPr>
            <w:r>
              <w:rPr>
                <w:rFonts w:hint="eastAsia"/>
                <w:b/>
                <w:color w:val="auto"/>
                <w:sz w:val="21"/>
                <w:szCs w:val="21"/>
                <w:lang w:val="en-US" w:eastAsia="zh-CN"/>
              </w:rPr>
              <w:t>图2-6再生道路复合稳定料物料平衡图（单位t/a）</w:t>
            </w:r>
          </w:p>
          <w:p w14:paraId="1193F060">
            <w:pPr>
              <w:keepNext w:val="0"/>
              <w:keepLines w:val="0"/>
              <w:pageBreakBefore/>
              <w:widowControl/>
              <w:suppressLineNumbers w:val="0"/>
              <w:spacing w:before="0" w:beforeLines="0" w:beforeAutospacing="0" w:after="0" w:afterLines="0" w:afterAutospacing="0"/>
              <w:ind w:left="0" w:right="0" w:firstLine="482"/>
              <w:rPr>
                <w:rFonts w:hint="eastAsia" w:ascii="宋体" w:hAnsi="宋体" w:cs="宋体"/>
                <w:b/>
                <w:color w:val="auto"/>
                <w:kern w:val="0"/>
                <w:sz w:val="24"/>
                <w:szCs w:val="20"/>
                <w:lang w:val="en-US" w:eastAsia="zh-CN"/>
              </w:rPr>
            </w:pPr>
            <w:r>
              <w:rPr>
                <w:rFonts w:hint="eastAsia" w:ascii="宋体" w:hAnsi="宋体" w:cs="宋体"/>
                <w:b/>
                <w:color w:val="auto"/>
                <w:kern w:val="0"/>
                <w:sz w:val="24"/>
                <w:szCs w:val="20"/>
                <w:lang w:val="en-US" w:eastAsia="zh-CN"/>
              </w:rPr>
              <w:t>4、项目重金属平衡分析</w:t>
            </w:r>
          </w:p>
          <w:p w14:paraId="567D0EA3">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项目铊平衡分析</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36"/>
              <w:gridCol w:w="1080"/>
              <w:gridCol w:w="800"/>
              <w:gridCol w:w="1122"/>
              <w:gridCol w:w="911"/>
              <w:gridCol w:w="1426"/>
              <w:gridCol w:w="1218"/>
            </w:tblGrid>
            <w:tr w14:paraId="7617B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020" w:type="pct"/>
                  <w:gridSpan w:val="4"/>
                  <w:vAlign w:val="center"/>
                </w:tcPr>
                <w:p w14:paraId="58B122F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投入</w:t>
                  </w:r>
                </w:p>
              </w:tc>
              <w:tc>
                <w:tcPr>
                  <w:tcW w:w="2979" w:type="pct"/>
                  <w:gridSpan w:val="4"/>
                  <w:vAlign w:val="center"/>
                </w:tcPr>
                <w:p w14:paraId="5FDE17A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产出</w:t>
                  </w:r>
                </w:p>
              </w:tc>
            </w:tr>
            <w:tr w14:paraId="336DC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0" w:type="pct"/>
                  <w:vAlign w:val="center"/>
                </w:tcPr>
                <w:p w14:paraId="6AC428B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名称</w:t>
                  </w:r>
                </w:p>
              </w:tc>
              <w:tc>
                <w:tcPr>
                  <w:tcW w:w="532" w:type="pct"/>
                  <w:vAlign w:val="center"/>
                </w:tcPr>
                <w:p w14:paraId="115E3B7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数量（t/a）</w:t>
                  </w:r>
                </w:p>
              </w:tc>
              <w:tc>
                <w:tcPr>
                  <w:tcW w:w="687" w:type="pct"/>
                  <w:vAlign w:val="center"/>
                </w:tcPr>
                <w:p w14:paraId="202C916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元素含量（mg/kg）</w:t>
                  </w:r>
                </w:p>
              </w:tc>
              <w:tc>
                <w:tcPr>
                  <w:tcW w:w="509" w:type="pct"/>
                  <w:vAlign w:val="center"/>
                </w:tcPr>
                <w:p w14:paraId="19A1504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元素量（t/a）</w:t>
                  </w:r>
                </w:p>
              </w:tc>
              <w:tc>
                <w:tcPr>
                  <w:tcW w:w="714" w:type="pct"/>
                  <w:vAlign w:val="center"/>
                </w:tcPr>
                <w:p w14:paraId="23F61BD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名称</w:t>
                  </w:r>
                </w:p>
              </w:tc>
              <w:tc>
                <w:tcPr>
                  <w:tcW w:w="580" w:type="pct"/>
                  <w:vAlign w:val="center"/>
                </w:tcPr>
                <w:p w14:paraId="74F4C17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数量（t/a）</w:t>
                  </w:r>
                </w:p>
              </w:tc>
              <w:tc>
                <w:tcPr>
                  <w:tcW w:w="908" w:type="pct"/>
                  <w:vAlign w:val="center"/>
                </w:tcPr>
                <w:p w14:paraId="73AB75E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元素含量（mg/kg）</w:t>
                  </w:r>
                </w:p>
              </w:tc>
              <w:tc>
                <w:tcPr>
                  <w:tcW w:w="775" w:type="pct"/>
                  <w:vAlign w:val="center"/>
                </w:tcPr>
                <w:p w14:paraId="2DF85AC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元素量（t/a）</w:t>
                  </w:r>
                </w:p>
              </w:tc>
            </w:tr>
            <w:tr w14:paraId="28626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0" w:type="pct"/>
                  <w:vAlign w:val="center"/>
                </w:tcPr>
                <w:p w14:paraId="05C0B56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锂渣</w:t>
                  </w:r>
                </w:p>
              </w:tc>
              <w:tc>
                <w:tcPr>
                  <w:tcW w:w="532" w:type="pct"/>
                  <w:vAlign w:val="center"/>
                </w:tcPr>
                <w:p w14:paraId="19CA22E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280000</w:t>
                  </w:r>
                </w:p>
              </w:tc>
              <w:tc>
                <w:tcPr>
                  <w:tcW w:w="687" w:type="pct"/>
                  <w:vAlign w:val="center"/>
                </w:tcPr>
                <w:p w14:paraId="7439C15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11.7</w:t>
                  </w:r>
                </w:p>
              </w:tc>
              <w:tc>
                <w:tcPr>
                  <w:tcW w:w="509" w:type="pct"/>
                  <w:vAlign w:val="center"/>
                </w:tcPr>
                <w:p w14:paraId="0887E39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3.276</w:t>
                  </w:r>
                </w:p>
              </w:tc>
              <w:tc>
                <w:tcPr>
                  <w:tcW w:w="714" w:type="pct"/>
                  <w:vAlign w:val="center"/>
                </w:tcPr>
                <w:p w14:paraId="70141D3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免烧砖</w:t>
                  </w:r>
                </w:p>
              </w:tc>
              <w:tc>
                <w:tcPr>
                  <w:tcW w:w="580" w:type="pct"/>
                  <w:vAlign w:val="center"/>
                </w:tcPr>
                <w:p w14:paraId="6221A81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200000</w:t>
                  </w:r>
                </w:p>
              </w:tc>
              <w:tc>
                <w:tcPr>
                  <w:tcW w:w="908" w:type="pct"/>
                  <w:vAlign w:val="center"/>
                </w:tcPr>
                <w:p w14:paraId="74269BC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4.07</w:t>
                  </w:r>
                </w:p>
              </w:tc>
              <w:tc>
                <w:tcPr>
                  <w:tcW w:w="775" w:type="pct"/>
                  <w:vAlign w:val="center"/>
                </w:tcPr>
                <w:p w14:paraId="0469647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0.81549</w:t>
                  </w:r>
                </w:p>
              </w:tc>
            </w:tr>
            <w:tr w14:paraId="60544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0" w:type="pct"/>
                  <w:vAlign w:val="center"/>
                </w:tcPr>
                <w:p w14:paraId="25B293A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32" w:type="pct"/>
                  <w:vAlign w:val="center"/>
                </w:tcPr>
                <w:p w14:paraId="22C4E83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687" w:type="pct"/>
                  <w:vAlign w:val="center"/>
                </w:tcPr>
                <w:p w14:paraId="6AF5A44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09" w:type="pct"/>
                  <w:vAlign w:val="center"/>
                </w:tcPr>
                <w:p w14:paraId="5E1B9FA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714" w:type="pct"/>
                  <w:vAlign w:val="center"/>
                </w:tcPr>
                <w:p w14:paraId="5B20956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再生道路复合稳定料</w:t>
                  </w:r>
                </w:p>
              </w:tc>
              <w:tc>
                <w:tcPr>
                  <w:tcW w:w="580" w:type="pct"/>
                  <w:vAlign w:val="center"/>
                </w:tcPr>
                <w:p w14:paraId="479F5D3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700000</w:t>
                  </w:r>
                </w:p>
              </w:tc>
              <w:tc>
                <w:tcPr>
                  <w:tcW w:w="908" w:type="pct"/>
                  <w:vAlign w:val="center"/>
                </w:tcPr>
                <w:p w14:paraId="5996EFB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0.35</w:t>
                  </w:r>
                </w:p>
              </w:tc>
              <w:tc>
                <w:tcPr>
                  <w:tcW w:w="775" w:type="pct"/>
                  <w:vAlign w:val="center"/>
                </w:tcPr>
                <w:p w14:paraId="507FE00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2.459925</w:t>
                  </w:r>
                </w:p>
              </w:tc>
            </w:tr>
            <w:tr w14:paraId="5E7DA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0" w:type="pct"/>
                  <w:vAlign w:val="center"/>
                </w:tcPr>
                <w:p w14:paraId="39EFBFF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32" w:type="pct"/>
                  <w:vAlign w:val="center"/>
                </w:tcPr>
                <w:p w14:paraId="6693182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687" w:type="pct"/>
                  <w:vAlign w:val="center"/>
                </w:tcPr>
                <w:p w14:paraId="670F255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09" w:type="pct"/>
                  <w:vAlign w:val="center"/>
                </w:tcPr>
                <w:p w14:paraId="1637B9D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714" w:type="pct"/>
                  <w:vAlign w:val="center"/>
                </w:tcPr>
                <w:p w14:paraId="7C343D9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粉尘</w:t>
                  </w:r>
                </w:p>
              </w:tc>
              <w:tc>
                <w:tcPr>
                  <w:tcW w:w="580" w:type="pct"/>
                  <w:vAlign w:val="center"/>
                </w:tcPr>
                <w:p w14:paraId="00BB4FA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112.62</w:t>
                  </w:r>
                </w:p>
              </w:tc>
              <w:tc>
                <w:tcPr>
                  <w:tcW w:w="908" w:type="pct"/>
                  <w:vAlign w:val="center"/>
                </w:tcPr>
                <w:p w14:paraId="5EED131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4.43</w:t>
                  </w:r>
                </w:p>
              </w:tc>
              <w:tc>
                <w:tcPr>
                  <w:tcW w:w="775" w:type="pct"/>
                  <w:vAlign w:val="center"/>
                </w:tcPr>
                <w:p w14:paraId="788A2DA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0.0005</w:t>
                  </w:r>
                </w:p>
              </w:tc>
            </w:tr>
            <w:tr w14:paraId="1AED9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0" w:type="pct"/>
                  <w:vAlign w:val="center"/>
                </w:tcPr>
                <w:p w14:paraId="5BEE3D1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32" w:type="pct"/>
                  <w:vAlign w:val="center"/>
                </w:tcPr>
                <w:p w14:paraId="6495C60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687" w:type="pct"/>
                  <w:vAlign w:val="center"/>
                </w:tcPr>
                <w:p w14:paraId="248ADD1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09" w:type="pct"/>
                  <w:vAlign w:val="center"/>
                </w:tcPr>
                <w:p w14:paraId="693A1CC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714" w:type="pct"/>
                  <w:vAlign w:val="center"/>
                </w:tcPr>
                <w:p w14:paraId="7754EBE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残次品</w:t>
                  </w:r>
                </w:p>
              </w:tc>
              <w:tc>
                <w:tcPr>
                  <w:tcW w:w="580" w:type="pct"/>
                  <w:vAlign w:val="center"/>
                </w:tcPr>
                <w:p w14:paraId="57245CF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23.94</w:t>
                  </w:r>
                </w:p>
              </w:tc>
              <w:tc>
                <w:tcPr>
                  <w:tcW w:w="908" w:type="pct"/>
                  <w:vAlign w:val="center"/>
                </w:tcPr>
                <w:p w14:paraId="57832BD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3.55</w:t>
                  </w:r>
                </w:p>
              </w:tc>
              <w:tc>
                <w:tcPr>
                  <w:tcW w:w="775" w:type="pct"/>
                  <w:vAlign w:val="center"/>
                </w:tcPr>
                <w:p w14:paraId="1427021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0.000085</w:t>
                  </w:r>
                </w:p>
              </w:tc>
            </w:tr>
            <w:tr w14:paraId="25CDC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511" w:type="pct"/>
                  <w:gridSpan w:val="3"/>
                  <w:vAlign w:val="center"/>
                </w:tcPr>
                <w:p w14:paraId="78524D5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合计</w:t>
                  </w:r>
                </w:p>
              </w:tc>
              <w:tc>
                <w:tcPr>
                  <w:tcW w:w="509" w:type="pct"/>
                  <w:vAlign w:val="center"/>
                </w:tcPr>
                <w:p w14:paraId="289E748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3.276</w:t>
                  </w:r>
                </w:p>
              </w:tc>
              <w:tc>
                <w:tcPr>
                  <w:tcW w:w="2203" w:type="pct"/>
                  <w:gridSpan w:val="3"/>
                  <w:vAlign w:val="center"/>
                </w:tcPr>
                <w:p w14:paraId="06C43BF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合计</w:t>
                  </w:r>
                </w:p>
              </w:tc>
              <w:tc>
                <w:tcPr>
                  <w:tcW w:w="775" w:type="pct"/>
                  <w:vAlign w:val="center"/>
                </w:tcPr>
                <w:p w14:paraId="5AABBEDC">
                  <w:pPr>
                    <w:keepNext w:val="0"/>
                    <w:keepLines w:val="0"/>
                    <w:widowControl/>
                    <w:suppressLineNumbers w:val="0"/>
                    <w:spacing w:before="0" w:beforeAutospacing="0" w:after="0" w:afterAutospacing="0"/>
                    <w:ind w:left="0" w:right="0" w:firstLine="420" w:firstLineChars="200"/>
                    <w:jc w:val="both"/>
                    <w:textAlignment w:val="center"/>
                    <w:rPr>
                      <w:rFonts w:hint="default"/>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3.276</w:t>
                  </w:r>
                </w:p>
              </w:tc>
            </w:tr>
          </w:tbl>
          <w:p w14:paraId="46A8DA79">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项目硫平衡分析</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
              <w:gridCol w:w="780"/>
              <w:gridCol w:w="1180"/>
              <w:gridCol w:w="940"/>
              <w:gridCol w:w="1187"/>
              <w:gridCol w:w="939"/>
              <w:gridCol w:w="1365"/>
              <w:gridCol w:w="986"/>
            </w:tblGrid>
            <w:tr w14:paraId="12D26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148" w:type="pct"/>
                  <w:gridSpan w:val="4"/>
                  <w:vAlign w:val="center"/>
                </w:tcPr>
                <w:p w14:paraId="31E8E04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投入</w:t>
                  </w:r>
                </w:p>
              </w:tc>
              <w:tc>
                <w:tcPr>
                  <w:tcW w:w="2851" w:type="pct"/>
                  <w:gridSpan w:val="4"/>
                  <w:vAlign w:val="center"/>
                </w:tcPr>
                <w:p w14:paraId="2B30A99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产出</w:t>
                  </w:r>
                </w:p>
              </w:tc>
            </w:tr>
            <w:tr w14:paraId="10E25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300" w:type="pct"/>
                  <w:vAlign w:val="center"/>
                </w:tcPr>
                <w:p w14:paraId="12D41D3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名称</w:t>
                  </w:r>
                </w:p>
              </w:tc>
              <w:tc>
                <w:tcPr>
                  <w:tcW w:w="496" w:type="pct"/>
                  <w:vAlign w:val="center"/>
                </w:tcPr>
                <w:p w14:paraId="418F437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数量（t/a）</w:t>
                  </w:r>
                </w:p>
              </w:tc>
              <w:tc>
                <w:tcPr>
                  <w:tcW w:w="751" w:type="pct"/>
                  <w:vAlign w:val="center"/>
                </w:tcPr>
                <w:p w14:paraId="7601B0C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元素含量（%）</w:t>
                  </w:r>
                </w:p>
              </w:tc>
              <w:tc>
                <w:tcPr>
                  <w:tcW w:w="598" w:type="pct"/>
                  <w:vAlign w:val="center"/>
                </w:tcPr>
                <w:p w14:paraId="5CC6214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元素量（t/a）</w:t>
                  </w:r>
                </w:p>
              </w:tc>
              <w:tc>
                <w:tcPr>
                  <w:tcW w:w="756" w:type="pct"/>
                  <w:vAlign w:val="center"/>
                </w:tcPr>
                <w:p w14:paraId="05C3D8F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名称</w:t>
                  </w:r>
                </w:p>
              </w:tc>
              <w:tc>
                <w:tcPr>
                  <w:tcW w:w="598" w:type="pct"/>
                  <w:vAlign w:val="center"/>
                </w:tcPr>
                <w:p w14:paraId="75D980A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数量（t/a）</w:t>
                  </w:r>
                </w:p>
              </w:tc>
              <w:tc>
                <w:tcPr>
                  <w:tcW w:w="869" w:type="pct"/>
                  <w:vAlign w:val="center"/>
                </w:tcPr>
                <w:p w14:paraId="4AB5D9F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元素含量（%）</w:t>
                  </w:r>
                </w:p>
              </w:tc>
              <w:tc>
                <w:tcPr>
                  <w:tcW w:w="628" w:type="pct"/>
                  <w:vAlign w:val="center"/>
                </w:tcPr>
                <w:p w14:paraId="4DF830F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元素量（t/a）</w:t>
                  </w:r>
                </w:p>
              </w:tc>
            </w:tr>
            <w:tr w14:paraId="1F70C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300" w:type="pct"/>
                  <w:vAlign w:val="center"/>
                </w:tcPr>
                <w:p w14:paraId="099C6F4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锂渣</w:t>
                  </w:r>
                </w:p>
              </w:tc>
              <w:tc>
                <w:tcPr>
                  <w:tcW w:w="496" w:type="pct"/>
                  <w:vAlign w:val="center"/>
                </w:tcPr>
                <w:p w14:paraId="781C964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280000</w:t>
                  </w:r>
                </w:p>
              </w:tc>
              <w:tc>
                <w:tcPr>
                  <w:tcW w:w="751" w:type="pct"/>
                  <w:vAlign w:val="center"/>
                </w:tcPr>
                <w:p w14:paraId="5F35577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0.658</w:t>
                  </w:r>
                </w:p>
              </w:tc>
              <w:tc>
                <w:tcPr>
                  <w:tcW w:w="598" w:type="pct"/>
                  <w:vAlign w:val="center"/>
                </w:tcPr>
                <w:p w14:paraId="744B6DB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1842.4</w:t>
                  </w:r>
                </w:p>
              </w:tc>
              <w:tc>
                <w:tcPr>
                  <w:tcW w:w="756" w:type="pct"/>
                  <w:vAlign w:val="center"/>
                </w:tcPr>
                <w:p w14:paraId="63B36C5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免烧砖</w:t>
                  </w:r>
                </w:p>
              </w:tc>
              <w:tc>
                <w:tcPr>
                  <w:tcW w:w="598" w:type="pct"/>
                  <w:vAlign w:val="center"/>
                </w:tcPr>
                <w:p w14:paraId="577A583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200000</w:t>
                  </w:r>
                </w:p>
              </w:tc>
              <w:tc>
                <w:tcPr>
                  <w:tcW w:w="1365" w:type="dxa"/>
                  <w:vAlign w:val="center"/>
                </w:tcPr>
                <w:p w14:paraId="34D19BC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1.57</w:t>
                  </w:r>
                </w:p>
              </w:tc>
              <w:tc>
                <w:tcPr>
                  <w:tcW w:w="986" w:type="dxa"/>
                  <w:shd w:val="clear" w:color="auto" w:fill="auto"/>
                  <w:vAlign w:val="center"/>
                </w:tcPr>
                <w:p w14:paraId="1105767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458.626</w:t>
                  </w:r>
                </w:p>
              </w:tc>
            </w:tr>
            <w:tr w14:paraId="4848B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300" w:type="pct"/>
                  <w:vAlign w:val="center"/>
                </w:tcPr>
                <w:p w14:paraId="0545923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脱硫石膏</w:t>
                  </w:r>
                </w:p>
              </w:tc>
              <w:tc>
                <w:tcPr>
                  <w:tcW w:w="496" w:type="pct"/>
                  <w:vAlign w:val="center"/>
                </w:tcPr>
                <w:p w14:paraId="7A41797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61000</w:t>
                  </w:r>
                </w:p>
              </w:tc>
              <w:tc>
                <w:tcPr>
                  <w:tcW w:w="751" w:type="pct"/>
                  <w:vAlign w:val="center"/>
                </w:tcPr>
                <w:p w14:paraId="23E3F92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17.69</w:t>
                  </w:r>
                </w:p>
              </w:tc>
              <w:tc>
                <w:tcPr>
                  <w:tcW w:w="598" w:type="pct"/>
                  <w:vAlign w:val="center"/>
                </w:tcPr>
                <w:p w14:paraId="27E915C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10790.9</w:t>
                  </w:r>
                </w:p>
              </w:tc>
              <w:tc>
                <w:tcPr>
                  <w:tcW w:w="756" w:type="pct"/>
                  <w:vAlign w:val="center"/>
                </w:tcPr>
                <w:p w14:paraId="45B0F08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再生道路复合稳定料</w:t>
                  </w:r>
                </w:p>
              </w:tc>
              <w:tc>
                <w:tcPr>
                  <w:tcW w:w="598" w:type="pct"/>
                  <w:vAlign w:val="center"/>
                </w:tcPr>
                <w:p w14:paraId="4017902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700000</w:t>
                  </w:r>
                </w:p>
              </w:tc>
              <w:tc>
                <w:tcPr>
                  <w:tcW w:w="1365" w:type="dxa"/>
                  <w:vAlign w:val="center"/>
                </w:tcPr>
                <w:p w14:paraId="454C284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0.135</w:t>
                  </w:r>
                </w:p>
              </w:tc>
              <w:tc>
                <w:tcPr>
                  <w:tcW w:w="986" w:type="dxa"/>
                  <w:shd w:val="clear" w:color="auto" w:fill="auto"/>
                  <w:vAlign w:val="center"/>
                </w:tcPr>
                <w:p w14:paraId="46E9058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1383.445</w:t>
                  </w:r>
                </w:p>
              </w:tc>
            </w:tr>
            <w:tr w14:paraId="709CD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300" w:type="pct"/>
                  <w:vAlign w:val="center"/>
                </w:tcPr>
                <w:p w14:paraId="456CA69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496" w:type="pct"/>
                  <w:vAlign w:val="center"/>
                </w:tcPr>
                <w:p w14:paraId="14897A9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751" w:type="pct"/>
                  <w:vAlign w:val="center"/>
                </w:tcPr>
                <w:p w14:paraId="6A82FF2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98" w:type="pct"/>
                  <w:vAlign w:val="center"/>
                </w:tcPr>
                <w:p w14:paraId="137DE9F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756" w:type="pct"/>
                  <w:vAlign w:val="center"/>
                </w:tcPr>
                <w:p w14:paraId="1472364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粉尘</w:t>
                  </w:r>
                </w:p>
              </w:tc>
              <w:tc>
                <w:tcPr>
                  <w:tcW w:w="598" w:type="pct"/>
                  <w:vAlign w:val="center"/>
                </w:tcPr>
                <w:p w14:paraId="0F72F06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112.62</w:t>
                  </w:r>
                </w:p>
              </w:tc>
              <w:tc>
                <w:tcPr>
                  <w:tcW w:w="1365" w:type="dxa"/>
                  <w:vAlign w:val="center"/>
                </w:tcPr>
                <w:p w14:paraId="14CB77F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1.01</w:t>
                  </w:r>
                </w:p>
              </w:tc>
              <w:tc>
                <w:tcPr>
                  <w:tcW w:w="986" w:type="dxa"/>
                  <w:vAlign w:val="center"/>
                </w:tcPr>
                <w:p w14:paraId="5C9B83E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1.14</w:t>
                  </w:r>
                </w:p>
              </w:tc>
            </w:tr>
            <w:tr w14:paraId="32553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300" w:type="pct"/>
                  <w:vAlign w:val="center"/>
                </w:tcPr>
                <w:p w14:paraId="5AA933F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496" w:type="pct"/>
                  <w:vAlign w:val="center"/>
                </w:tcPr>
                <w:p w14:paraId="23426DA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751" w:type="pct"/>
                  <w:vAlign w:val="center"/>
                </w:tcPr>
                <w:p w14:paraId="7D78A51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98" w:type="pct"/>
                  <w:vAlign w:val="center"/>
                </w:tcPr>
                <w:p w14:paraId="73C77C8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756" w:type="pct"/>
                  <w:vAlign w:val="center"/>
                </w:tcPr>
                <w:p w14:paraId="5B3C239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残次品</w:t>
                  </w:r>
                </w:p>
              </w:tc>
              <w:tc>
                <w:tcPr>
                  <w:tcW w:w="598" w:type="pct"/>
                  <w:vAlign w:val="center"/>
                </w:tcPr>
                <w:p w14:paraId="7E373BF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23.94</w:t>
                  </w:r>
                </w:p>
              </w:tc>
              <w:tc>
                <w:tcPr>
                  <w:tcW w:w="1365" w:type="dxa"/>
                  <w:vAlign w:val="center"/>
                </w:tcPr>
                <w:p w14:paraId="4CBF2C5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1.25</w:t>
                  </w:r>
                </w:p>
              </w:tc>
              <w:tc>
                <w:tcPr>
                  <w:tcW w:w="986" w:type="dxa"/>
                  <w:vAlign w:val="center"/>
                </w:tcPr>
                <w:p w14:paraId="5DF3E7E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0.3</w:t>
                  </w:r>
                </w:p>
              </w:tc>
            </w:tr>
            <w:tr w14:paraId="59F4C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549" w:type="pct"/>
                  <w:gridSpan w:val="3"/>
                  <w:vAlign w:val="center"/>
                </w:tcPr>
                <w:p w14:paraId="5243133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合计</w:t>
                  </w:r>
                </w:p>
              </w:tc>
              <w:tc>
                <w:tcPr>
                  <w:tcW w:w="598" w:type="pct"/>
                  <w:vAlign w:val="center"/>
                </w:tcPr>
                <w:p w14:paraId="065BCE1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1842.4</w:t>
                  </w:r>
                </w:p>
              </w:tc>
              <w:tc>
                <w:tcPr>
                  <w:tcW w:w="2223" w:type="pct"/>
                  <w:gridSpan w:val="3"/>
                  <w:vAlign w:val="center"/>
                </w:tcPr>
                <w:p w14:paraId="75A378F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合计</w:t>
                  </w:r>
                </w:p>
              </w:tc>
              <w:tc>
                <w:tcPr>
                  <w:tcW w:w="628" w:type="pct"/>
                  <w:vAlign w:val="center"/>
                </w:tcPr>
                <w:p w14:paraId="3257EF0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1842.4</w:t>
                  </w:r>
                </w:p>
              </w:tc>
            </w:tr>
            <w:tr w14:paraId="0E5E1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5000" w:type="pct"/>
                  <w:gridSpan w:val="8"/>
                  <w:vAlign w:val="center"/>
                </w:tcPr>
                <w:p w14:paraId="78DC02C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注：脱硫石膏主要成分为二水硫酸钙，含量通常为90%-95%，二水硫酸钙中硫元素的质量分数为18.62%,当纯度为95%时硫含量=95%*18.62%=17.69%</w:t>
                  </w:r>
                </w:p>
              </w:tc>
            </w:tr>
          </w:tbl>
          <w:p w14:paraId="7B663157">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项目氟平衡分析</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
              <w:gridCol w:w="864"/>
              <w:gridCol w:w="1120"/>
              <w:gridCol w:w="940"/>
              <w:gridCol w:w="1228"/>
              <w:gridCol w:w="917"/>
              <w:gridCol w:w="1344"/>
              <w:gridCol w:w="988"/>
            </w:tblGrid>
            <w:tr w14:paraId="582CD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148" w:type="pct"/>
                  <w:gridSpan w:val="4"/>
                  <w:vAlign w:val="center"/>
                </w:tcPr>
                <w:p w14:paraId="02DC6FB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投入</w:t>
                  </w:r>
                </w:p>
              </w:tc>
              <w:tc>
                <w:tcPr>
                  <w:tcW w:w="2851" w:type="pct"/>
                  <w:gridSpan w:val="4"/>
                  <w:vAlign w:val="center"/>
                </w:tcPr>
                <w:p w14:paraId="169CC5F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产出</w:t>
                  </w:r>
                </w:p>
              </w:tc>
            </w:tr>
            <w:tr w14:paraId="1C340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5" w:type="pct"/>
                  <w:vAlign w:val="center"/>
                </w:tcPr>
                <w:p w14:paraId="796EC3C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名称</w:t>
                  </w:r>
                </w:p>
              </w:tc>
              <w:tc>
                <w:tcPr>
                  <w:tcW w:w="550" w:type="pct"/>
                  <w:vAlign w:val="center"/>
                </w:tcPr>
                <w:p w14:paraId="757F487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数量（t/a）</w:t>
                  </w:r>
                </w:p>
              </w:tc>
              <w:tc>
                <w:tcPr>
                  <w:tcW w:w="713" w:type="pct"/>
                  <w:vAlign w:val="center"/>
                </w:tcPr>
                <w:p w14:paraId="22B1269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元素含量（g/kg）</w:t>
                  </w:r>
                </w:p>
              </w:tc>
              <w:tc>
                <w:tcPr>
                  <w:tcW w:w="598" w:type="pct"/>
                  <w:vAlign w:val="center"/>
                </w:tcPr>
                <w:p w14:paraId="36ABB09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元素量（t/a）</w:t>
                  </w:r>
                </w:p>
              </w:tc>
              <w:tc>
                <w:tcPr>
                  <w:tcW w:w="782" w:type="pct"/>
                  <w:vAlign w:val="center"/>
                </w:tcPr>
                <w:p w14:paraId="290EA2E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名称</w:t>
                  </w:r>
                </w:p>
              </w:tc>
              <w:tc>
                <w:tcPr>
                  <w:tcW w:w="584" w:type="pct"/>
                  <w:vAlign w:val="center"/>
                </w:tcPr>
                <w:p w14:paraId="29C3E9E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数量（t/a）</w:t>
                  </w:r>
                </w:p>
              </w:tc>
              <w:tc>
                <w:tcPr>
                  <w:tcW w:w="856" w:type="pct"/>
                  <w:vAlign w:val="center"/>
                </w:tcPr>
                <w:p w14:paraId="3497016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元素含量（g/kg）</w:t>
                  </w:r>
                </w:p>
              </w:tc>
              <w:tc>
                <w:tcPr>
                  <w:tcW w:w="629" w:type="pct"/>
                  <w:vAlign w:val="center"/>
                </w:tcPr>
                <w:p w14:paraId="2C848E5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元素量（t/a）</w:t>
                  </w:r>
                </w:p>
              </w:tc>
            </w:tr>
            <w:tr w14:paraId="7D956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5" w:type="pct"/>
                  <w:vAlign w:val="center"/>
                </w:tcPr>
                <w:p w14:paraId="306BF5C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锂渣</w:t>
                  </w:r>
                </w:p>
              </w:tc>
              <w:tc>
                <w:tcPr>
                  <w:tcW w:w="550" w:type="pct"/>
                  <w:vAlign w:val="center"/>
                </w:tcPr>
                <w:p w14:paraId="11C7F2F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280000</w:t>
                  </w:r>
                </w:p>
              </w:tc>
              <w:tc>
                <w:tcPr>
                  <w:tcW w:w="713" w:type="pct"/>
                  <w:vAlign w:val="center"/>
                </w:tcPr>
                <w:p w14:paraId="464F1E8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18.0</w:t>
                  </w:r>
                </w:p>
              </w:tc>
              <w:tc>
                <w:tcPr>
                  <w:tcW w:w="598" w:type="pct"/>
                  <w:shd w:val="clear" w:color="auto" w:fill="auto"/>
                  <w:vAlign w:val="center"/>
                </w:tcPr>
                <w:p w14:paraId="5B15F313">
                  <w:pPr>
                    <w:keepNext w:val="0"/>
                    <w:keepLines w:val="0"/>
                    <w:widowControl/>
                    <w:suppressLineNumbers w:val="0"/>
                    <w:spacing w:before="0" w:beforeAutospacing="0" w:after="0" w:afterAutospacing="0"/>
                    <w:ind w:left="0" w:leftChars="0" w:right="0" w:firstLine="0" w:firstLineChars="0"/>
                    <w:jc w:val="both"/>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5040</w:t>
                  </w:r>
                </w:p>
              </w:tc>
              <w:tc>
                <w:tcPr>
                  <w:tcW w:w="782" w:type="pct"/>
                  <w:vAlign w:val="center"/>
                </w:tcPr>
                <w:p w14:paraId="1CB2843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免烧砖</w:t>
                  </w:r>
                </w:p>
              </w:tc>
              <w:tc>
                <w:tcPr>
                  <w:tcW w:w="584" w:type="pct"/>
                  <w:vAlign w:val="center"/>
                </w:tcPr>
                <w:p w14:paraId="3C586CF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200000</w:t>
                  </w:r>
                </w:p>
              </w:tc>
              <w:tc>
                <w:tcPr>
                  <w:tcW w:w="856" w:type="pct"/>
                  <w:vAlign w:val="center"/>
                </w:tcPr>
                <w:p w14:paraId="6286B19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6.273</w:t>
                  </w:r>
                </w:p>
              </w:tc>
              <w:tc>
                <w:tcPr>
                  <w:tcW w:w="629" w:type="pct"/>
                  <w:shd w:val="clear" w:color="auto" w:fill="auto"/>
                  <w:vAlign w:val="center"/>
                </w:tcPr>
                <w:p w14:paraId="1BBA22B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1254.6</w:t>
                  </w:r>
                </w:p>
              </w:tc>
            </w:tr>
            <w:tr w14:paraId="10080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5" w:type="pct"/>
                  <w:vAlign w:val="center"/>
                </w:tcPr>
                <w:p w14:paraId="4BE1A2A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50" w:type="pct"/>
                  <w:vAlign w:val="center"/>
                </w:tcPr>
                <w:p w14:paraId="0E40E58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713" w:type="pct"/>
                  <w:vAlign w:val="center"/>
                </w:tcPr>
                <w:p w14:paraId="7046241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98" w:type="pct"/>
                  <w:vAlign w:val="center"/>
                </w:tcPr>
                <w:p w14:paraId="5B244DD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782" w:type="pct"/>
                  <w:vAlign w:val="center"/>
                </w:tcPr>
                <w:p w14:paraId="53AFB5B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再生道路复合稳定料</w:t>
                  </w:r>
                </w:p>
              </w:tc>
              <w:tc>
                <w:tcPr>
                  <w:tcW w:w="584" w:type="pct"/>
                  <w:vAlign w:val="center"/>
                </w:tcPr>
                <w:p w14:paraId="6C5C3AE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700000</w:t>
                  </w:r>
                </w:p>
              </w:tc>
              <w:tc>
                <w:tcPr>
                  <w:tcW w:w="856" w:type="pct"/>
                  <w:vAlign w:val="center"/>
                </w:tcPr>
                <w:p w14:paraId="507A260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0.541</w:t>
                  </w:r>
                </w:p>
              </w:tc>
              <w:tc>
                <w:tcPr>
                  <w:tcW w:w="629" w:type="pct"/>
                  <w:shd w:val="clear" w:color="auto" w:fill="auto"/>
                  <w:vAlign w:val="center"/>
                </w:tcPr>
                <w:p w14:paraId="7ED048E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3784.5</w:t>
                  </w:r>
                </w:p>
              </w:tc>
            </w:tr>
            <w:tr w14:paraId="3BF3D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5" w:type="pct"/>
                  <w:vAlign w:val="center"/>
                </w:tcPr>
                <w:p w14:paraId="1BD8963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50" w:type="pct"/>
                  <w:vAlign w:val="center"/>
                </w:tcPr>
                <w:p w14:paraId="082E041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713" w:type="pct"/>
                  <w:vAlign w:val="center"/>
                </w:tcPr>
                <w:p w14:paraId="3CA14C4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98" w:type="pct"/>
                  <w:vAlign w:val="center"/>
                </w:tcPr>
                <w:p w14:paraId="6964811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782" w:type="pct"/>
                  <w:vAlign w:val="center"/>
                </w:tcPr>
                <w:p w14:paraId="496D9AD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粉尘</w:t>
                  </w:r>
                </w:p>
              </w:tc>
              <w:tc>
                <w:tcPr>
                  <w:tcW w:w="584" w:type="pct"/>
                  <w:vAlign w:val="center"/>
                </w:tcPr>
                <w:p w14:paraId="1B7A16F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112.62</w:t>
                  </w:r>
                </w:p>
              </w:tc>
              <w:tc>
                <w:tcPr>
                  <w:tcW w:w="856" w:type="pct"/>
                  <w:vAlign w:val="center"/>
                </w:tcPr>
                <w:p w14:paraId="0722B2AF">
                  <w:pPr>
                    <w:keepNext w:val="0"/>
                    <w:keepLines w:val="0"/>
                    <w:widowControl/>
                    <w:suppressLineNumbers w:val="0"/>
                    <w:spacing w:before="0" w:beforeAutospacing="0" w:after="0" w:afterAutospacing="0"/>
                    <w:ind w:left="0" w:right="0" w:firstLine="420" w:firstLineChars="200"/>
                    <w:jc w:val="center"/>
                    <w:textAlignment w:val="center"/>
                    <w:rPr>
                      <w:rFonts w:hint="default"/>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6.21</w:t>
                  </w:r>
                  <w:r>
                    <w:rPr>
                      <w:rFonts w:hint="eastAsia" w:ascii="Times New Roman" w:hAnsi="Times New Roman" w:cs="Times New Roman"/>
                      <w:i w:val="0"/>
                      <w:iCs w:val="0"/>
                      <w:color w:val="auto"/>
                      <w:kern w:val="0"/>
                      <w:sz w:val="21"/>
                      <w:szCs w:val="21"/>
                      <w:u w:val="none"/>
                      <w:lang w:val="en-US" w:eastAsia="zh-CN" w:bidi="ar"/>
                    </w:rPr>
                    <w:t>6</w:t>
                  </w:r>
                </w:p>
              </w:tc>
              <w:tc>
                <w:tcPr>
                  <w:tcW w:w="629" w:type="pct"/>
                  <w:vAlign w:val="center"/>
                </w:tcPr>
                <w:p w14:paraId="7738490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0.7</w:t>
                  </w:r>
                </w:p>
              </w:tc>
            </w:tr>
            <w:tr w14:paraId="074B1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5" w:type="pct"/>
                  <w:vAlign w:val="center"/>
                </w:tcPr>
                <w:p w14:paraId="364ABE1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50" w:type="pct"/>
                  <w:vAlign w:val="center"/>
                </w:tcPr>
                <w:p w14:paraId="76CE017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713" w:type="pct"/>
                  <w:vAlign w:val="center"/>
                </w:tcPr>
                <w:p w14:paraId="2DC6432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98" w:type="pct"/>
                  <w:vAlign w:val="center"/>
                </w:tcPr>
                <w:p w14:paraId="11D4A54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782" w:type="pct"/>
                  <w:vAlign w:val="center"/>
                </w:tcPr>
                <w:p w14:paraId="0ACFCA1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残次品</w:t>
                  </w:r>
                </w:p>
              </w:tc>
              <w:tc>
                <w:tcPr>
                  <w:tcW w:w="584" w:type="pct"/>
                  <w:vAlign w:val="center"/>
                </w:tcPr>
                <w:p w14:paraId="48C17FE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23.94</w:t>
                  </w:r>
                </w:p>
              </w:tc>
              <w:tc>
                <w:tcPr>
                  <w:tcW w:w="856" w:type="pct"/>
                  <w:vAlign w:val="center"/>
                </w:tcPr>
                <w:p w14:paraId="3D350E6C">
                  <w:pPr>
                    <w:keepNext w:val="0"/>
                    <w:keepLines w:val="0"/>
                    <w:widowControl/>
                    <w:suppressLineNumbers w:val="0"/>
                    <w:spacing w:before="0" w:beforeAutospacing="0" w:after="0" w:afterAutospacing="0"/>
                    <w:ind w:left="0" w:right="0" w:firstLine="420" w:firstLineChars="200"/>
                    <w:jc w:val="center"/>
                    <w:textAlignment w:val="center"/>
                    <w:rPr>
                      <w:rFonts w:hint="default"/>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8.35</w:t>
                  </w:r>
                  <w:r>
                    <w:rPr>
                      <w:rFonts w:hint="eastAsia" w:ascii="Times New Roman" w:hAnsi="Times New Roman" w:cs="Times New Roman"/>
                      <w:i w:val="0"/>
                      <w:iCs w:val="0"/>
                      <w:color w:val="auto"/>
                      <w:kern w:val="0"/>
                      <w:sz w:val="21"/>
                      <w:szCs w:val="21"/>
                      <w:u w:val="none"/>
                      <w:lang w:val="en-US" w:eastAsia="zh-CN" w:bidi="ar"/>
                    </w:rPr>
                    <w:t>4</w:t>
                  </w:r>
                </w:p>
              </w:tc>
              <w:tc>
                <w:tcPr>
                  <w:tcW w:w="629" w:type="pct"/>
                  <w:vAlign w:val="center"/>
                </w:tcPr>
                <w:p w14:paraId="560DBDA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0.2</w:t>
                  </w:r>
                </w:p>
              </w:tc>
            </w:tr>
            <w:tr w14:paraId="0FDE9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549" w:type="pct"/>
                  <w:gridSpan w:val="3"/>
                  <w:vAlign w:val="center"/>
                </w:tcPr>
                <w:p w14:paraId="66A3381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合计</w:t>
                  </w:r>
                </w:p>
              </w:tc>
              <w:tc>
                <w:tcPr>
                  <w:tcW w:w="598" w:type="pct"/>
                  <w:shd w:val="clear" w:color="auto" w:fill="auto"/>
                  <w:vAlign w:val="center"/>
                </w:tcPr>
                <w:p w14:paraId="64CB6541">
                  <w:pPr>
                    <w:keepNext w:val="0"/>
                    <w:keepLines w:val="0"/>
                    <w:widowControl/>
                    <w:suppressLineNumbers w:val="0"/>
                    <w:spacing w:before="0" w:beforeAutospacing="0" w:after="0" w:afterAutospacing="0"/>
                    <w:ind w:left="0" w:leftChars="0" w:right="0" w:firstLine="0" w:firstLineChars="0"/>
                    <w:jc w:val="both"/>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5040</w:t>
                  </w:r>
                </w:p>
              </w:tc>
              <w:tc>
                <w:tcPr>
                  <w:tcW w:w="2222" w:type="pct"/>
                  <w:gridSpan w:val="3"/>
                  <w:vAlign w:val="center"/>
                </w:tcPr>
                <w:p w14:paraId="1F53D8F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合计</w:t>
                  </w:r>
                </w:p>
              </w:tc>
              <w:tc>
                <w:tcPr>
                  <w:tcW w:w="629" w:type="pct"/>
                  <w:vAlign w:val="center"/>
                </w:tcPr>
                <w:p w14:paraId="751A955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5040</w:t>
                  </w:r>
                </w:p>
              </w:tc>
            </w:tr>
          </w:tbl>
          <w:p w14:paraId="28437B1C">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项目铬平衡表</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
              <w:gridCol w:w="864"/>
              <w:gridCol w:w="1160"/>
              <w:gridCol w:w="900"/>
              <w:gridCol w:w="1227"/>
              <w:gridCol w:w="917"/>
              <w:gridCol w:w="1344"/>
              <w:gridCol w:w="989"/>
            </w:tblGrid>
            <w:tr w14:paraId="68AEF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148" w:type="pct"/>
                  <w:gridSpan w:val="4"/>
                  <w:vAlign w:val="center"/>
                </w:tcPr>
                <w:p w14:paraId="6D56F11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投入</w:t>
                  </w:r>
                </w:p>
              </w:tc>
              <w:tc>
                <w:tcPr>
                  <w:tcW w:w="2851" w:type="pct"/>
                  <w:gridSpan w:val="4"/>
                  <w:vAlign w:val="center"/>
                </w:tcPr>
                <w:p w14:paraId="5AA1ED3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产出</w:t>
                  </w:r>
                </w:p>
              </w:tc>
            </w:tr>
            <w:tr w14:paraId="0B926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5" w:type="pct"/>
                  <w:vAlign w:val="center"/>
                </w:tcPr>
                <w:p w14:paraId="22ACE39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名称</w:t>
                  </w:r>
                </w:p>
              </w:tc>
              <w:tc>
                <w:tcPr>
                  <w:tcW w:w="550" w:type="pct"/>
                  <w:vAlign w:val="center"/>
                </w:tcPr>
                <w:p w14:paraId="398602A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数量（t/a）</w:t>
                  </w:r>
                </w:p>
              </w:tc>
              <w:tc>
                <w:tcPr>
                  <w:tcW w:w="738" w:type="pct"/>
                  <w:vAlign w:val="center"/>
                </w:tcPr>
                <w:p w14:paraId="738BD50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元素含量（mg/kg）</w:t>
                  </w:r>
                </w:p>
              </w:tc>
              <w:tc>
                <w:tcPr>
                  <w:tcW w:w="573" w:type="pct"/>
                  <w:vAlign w:val="center"/>
                </w:tcPr>
                <w:p w14:paraId="028E246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元素量（t/a）</w:t>
                  </w:r>
                </w:p>
              </w:tc>
              <w:tc>
                <w:tcPr>
                  <w:tcW w:w="781" w:type="pct"/>
                  <w:vAlign w:val="center"/>
                </w:tcPr>
                <w:p w14:paraId="3DBED10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名称</w:t>
                  </w:r>
                </w:p>
              </w:tc>
              <w:tc>
                <w:tcPr>
                  <w:tcW w:w="584" w:type="pct"/>
                  <w:vAlign w:val="center"/>
                </w:tcPr>
                <w:p w14:paraId="634A871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数量（t/a）</w:t>
                  </w:r>
                </w:p>
              </w:tc>
              <w:tc>
                <w:tcPr>
                  <w:tcW w:w="856" w:type="pct"/>
                  <w:vAlign w:val="center"/>
                </w:tcPr>
                <w:p w14:paraId="5B1DED5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元素含量（mg/kg）</w:t>
                  </w:r>
                </w:p>
              </w:tc>
              <w:tc>
                <w:tcPr>
                  <w:tcW w:w="630" w:type="pct"/>
                  <w:vAlign w:val="center"/>
                </w:tcPr>
                <w:p w14:paraId="61B2BE8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元素量（t/a）</w:t>
                  </w:r>
                </w:p>
              </w:tc>
            </w:tr>
            <w:tr w14:paraId="76AB8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5" w:type="pct"/>
                  <w:vAlign w:val="center"/>
                </w:tcPr>
                <w:p w14:paraId="3522D16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锂渣</w:t>
                  </w:r>
                </w:p>
              </w:tc>
              <w:tc>
                <w:tcPr>
                  <w:tcW w:w="550" w:type="pct"/>
                  <w:vAlign w:val="center"/>
                </w:tcPr>
                <w:p w14:paraId="2BA8C04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280000</w:t>
                  </w:r>
                </w:p>
              </w:tc>
              <w:tc>
                <w:tcPr>
                  <w:tcW w:w="738" w:type="pct"/>
                  <w:vAlign w:val="center"/>
                </w:tcPr>
                <w:p w14:paraId="6132E92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20.8</w:t>
                  </w:r>
                </w:p>
              </w:tc>
              <w:tc>
                <w:tcPr>
                  <w:tcW w:w="573" w:type="pct"/>
                  <w:shd w:val="clear" w:color="auto" w:fill="auto"/>
                  <w:vAlign w:val="center"/>
                </w:tcPr>
                <w:p w14:paraId="4A70727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5.824</w:t>
                  </w:r>
                </w:p>
              </w:tc>
              <w:tc>
                <w:tcPr>
                  <w:tcW w:w="781" w:type="pct"/>
                  <w:vAlign w:val="center"/>
                </w:tcPr>
                <w:p w14:paraId="79E981A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免烧砖</w:t>
                  </w:r>
                </w:p>
              </w:tc>
              <w:tc>
                <w:tcPr>
                  <w:tcW w:w="584" w:type="pct"/>
                  <w:vAlign w:val="center"/>
                </w:tcPr>
                <w:p w14:paraId="175FA5B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200000</w:t>
                  </w:r>
                </w:p>
              </w:tc>
              <w:tc>
                <w:tcPr>
                  <w:tcW w:w="856" w:type="pct"/>
                  <w:vAlign w:val="center"/>
                </w:tcPr>
                <w:p w14:paraId="52EA691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7.2488</w:t>
                  </w:r>
                </w:p>
              </w:tc>
              <w:tc>
                <w:tcPr>
                  <w:tcW w:w="630" w:type="pct"/>
                  <w:shd w:val="clear" w:color="auto" w:fill="auto"/>
                  <w:vAlign w:val="center"/>
                </w:tcPr>
                <w:p w14:paraId="3F1F3ED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1.44976</w:t>
                  </w:r>
                </w:p>
              </w:tc>
            </w:tr>
            <w:tr w14:paraId="225F4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5" w:type="pct"/>
                  <w:vAlign w:val="center"/>
                </w:tcPr>
                <w:p w14:paraId="37BBE22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50" w:type="pct"/>
                  <w:vAlign w:val="center"/>
                </w:tcPr>
                <w:p w14:paraId="52B1698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738" w:type="pct"/>
                  <w:vAlign w:val="center"/>
                </w:tcPr>
                <w:p w14:paraId="76782CF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73" w:type="pct"/>
                  <w:vAlign w:val="center"/>
                </w:tcPr>
                <w:p w14:paraId="6C1981B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781" w:type="pct"/>
                  <w:vAlign w:val="center"/>
                </w:tcPr>
                <w:p w14:paraId="26CD318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再生道路复合稳定料</w:t>
                  </w:r>
                </w:p>
              </w:tc>
              <w:tc>
                <w:tcPr>
                  <w:tcW w:w="584" w:type="pct"/>
                  <w:vAlign w:val="center"/>
                </w:tcPr>
                <w:p w14:paraId="77A1A46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700000</w:t>
                  </w:r>
                </w:p>
              </w:tc>
              <w:tc>
                <w:tcPr>
                  <w:tcW w:w="856" w:type="pct"/>
                  <w:vAlign w:val="center"/>
                </w:tcPr>
                <w:p w14:paraId="6B13F73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0.6247</w:t>
                  </w:r>
                </w:p>
              </w:tc>
              <w:tc>
                <w:tcPr>
                  <w:tcW w:w="630" w:type="pct"/>
                  <w:shd w:val="clear" w:color="auto" w:fill="auto"/>
                  <w:vAlign w:val="center"/>
                </w:tcPr>
                <w:p w14:paraId="2862A5F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4.3732</w:t>
                  </w:r>
                </w:p>
              </w:tc>
            </w:tr>
            <w:tr w14:paraId="72FC1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5" w:type="pct"/>
                  <w:vAlign w:val="center"/>
                </w:tcPr>
                <w:p w14:paraId="6D5370F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50" w:type="pct"/>
                  <w:vAlign w:val="center"/>
                </w:tcPr>
                <w:p w14:paraId="43C23D6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738" w:type="pct"/>
                  <w:vAlign w:val="center"/>
                </w:tcPr>
                <w:p w14:paraId="273804D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73" w:type="pct"/>
                  <w:vAlign w:val="center"/>
                </w:tcPr>
                <w:p w14:paraId="33F61BF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781" w:type="pct"/>
                  <w:vAlign w:val="center"/>
                </w:tcPr>
                <w:p w14:paraId="2A637C2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粉尘</w:t>
                  </w:r>
                </w:p>
              </w:tc>
              <w:tc>
                <w:tcPr>
                  <w:tcW w:w="584" w:type="pct"/>
                  <w:vAlign w:val="center"/>
                </w:tcPr>
                <w:p w14:paraId="6022390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112.62</w:t>
                  </w:r>
                </w:p>
              </w:tc>
              <w:tc>
                <w:tcPr>
                  <w:tcW w:w="856" w:type="pct"/>
                  <w:vAlign w:val="center"/>
                </w:tcPr>
                <w:p w14:paraId="59A6CE6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8.879</w:t>
                  </w:r>
                </w:p>
              </w:tc>
              <w:tc>
                <w:tcPr>
                  <w:tcW w:w="630" w:type="pct"/>
                  <w:vAlign w:val="center"/>
                </w:tcPr>
                <w:p w14:paraId="2ED8870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0.001</w:t>
                  </w:r>
                </w:p>
              </w:tc>
            </w:tr>
            <w:tr w14:paraId="13A79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85" w:type="pct"/>
                  <w:vAlign w:val="center"/>
                </w:tcPr>
                <w:p w14:paraId="7286BCB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50" w:type="pct"/>
                  <w:vAlign w:val="center"/>
                </w:tcPr>
                <w:p w14:paraId="18F7322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738" w:type="pct"/>
                  <w:vAlign w:val="center"/>
                </w:tcPr>
                <w:p w14:paraId="6B99183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573" w:type="pct"/>
                  <w:vAlign w:val="center"/>
                </w:tcPr>
                <w:p w14:paraId="2BBF043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p>
              </w:tc>
              <w:tc>
                <w:tcPr>
                  <w:tcW w:w="781" w:type="pct"/>
                  <w:vAlign w:val="center"/>
                </w:tcPr>
                <w:p w14:paraId="7DDA09C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残次品</w:t>
                  </w:r>
                </w:p>
              </w:tc>
              <w:tc>
                <w:tcPr>
                  <w:tcW w:w="584" w:type="pct"/>
                  <w:vAlign w:val="center"/>
                </w:tcPr>
                <w:p w14:paraId="6439CC7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23.94</w:t>
                  </w:r>
                </w:p>
              </w:tc>
              <w:tc>
                <w:tcPr>
                  <w:tcW w:w="856" w:type="pct"/>
                  <w:vAlign w:val="center"/>
                </w:tcPr>
                <w:p w14:paraId="2519459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1.671</w:t>
                  </w:r>
                </w:p>
              </w:tc>
              <w:tc>
                <w:tcPr>
                  <w:tcW w:w="630" w:type="pct"/>
                  <w:vAlign w:val="center"/>
                </w:tcPr>
                <w:p w14:paraId="53E532C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0.00004</w:t>
                  </w:r>
                </w:p>
              </w:tc>
            </w:tr>
            <w:tr w14:paraId="18AB1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574" w:type="pct"/>
                  <w:gridSpan w:val="3"/>
                  <w:vAlign w:val="center"/>
                </w:tcPr>
                <w:p w14:paraId="36C7E02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lang w:val="en-US" w:eastAsia="zh-CN"/>
                    </w:rPr>
                  </w:pPr>
                  <w:r>
                    <w:rPr>
                      <w:rFonts w:hint="eastAsia"/>
                      <w:color w:val="auto"/>
                      <w:kern w:val="0"/>
                      <w:sz w:val="21"/>
                      <w:szCs w:val="21"/>
                      <w:lang w:val="en-US" w:eastAsia="zh-CN"/>
                    </w:rPr>
                    <w:t>合计</w:t>
                  </w:r>
                </w:p>
              </w:tc>
              <w:tc>
                <w:tcPr>
                  <w:tcW w:w="573" w:type="pct"/>
                  <w:shd w:val="clear" w:color="auto" w:fill="auto"/>
                  <w:vAlign w:val="center"/>
                </w:tcPr>
                <w:p w14:paraId="74875F6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default"/>
                      <w:color w:val="auto"/>
                      <w:kern w:val="0"/>
                      <w:sz w:val="21"/>
                      <w:szCs w:val="21"/>
                      <w:lang w:val="en-US" w:eastAsia="zh-CN"/>
                    </w:rPr>
                    <w:t>5.824</w:t>
                  </w:r>
                </w:p>
              </w:tc>
              <w:tc>
                <w:tcPr>
                  <w:tcW w:w="2221" w:type="pct"/>
                  <w:gridSpan w:val="3"/>
                  <w:vAlign w:val="center"/>
                </w:tcPr>
                <w:p w14:paraId="7243D24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合计</w:t>
                  </w:r>
                </w:p>
              </w:tc>
              <w:tc>
                <w:tcPr>
                  <w:tcW w:w="630" w:type="pct"/>
                  <w:vAlign w:val="center"/>
                </w:tcPr>
                <w:p w14:paraId="6C80878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lang w:val="en-US" w:eastAsia="zh-CN"/>
                    </w:rPr>
                  </w:pPr>
                  <w:r>
                    <w:rPr>
                      <w:rFonts w:hint="eastAsia"/>
                      <w:color w:val="auto"/>
                      <w:kern w:val="0"/>
                      <w:sz w:val="21"/>
                      <w:szCs w:val="21"/>
                      <w:lang w:val="en-US" w:eastAsia="zh-CN"/>
                    </w:rPr>
                    <w:t>5.824</w:t>
                  </w:r>
                </w:p>
              </w:tc>
            </w:tr>
          </w:tbl>
          <w:p w14:paraId="5A4CDB13">
            <w:pPr>
              <w:keepNext w:val="0"/>
              <w:keepLines w:val="0"/>
              <w:pageBreakBefore/>
              <w:widowControl/>
              <w:numPr>
                <w:ilvl w:val="0"/>
                <w:numId w:val="0"/>
              </w:numPr>
              <w:suppressLineNumbers w:val="0"/>
              <w:spacing w:before="0" w:beforeLines="0" w:beforeAutospacing="0" w:after="0" w:afterLines="0" w:afterAutospacing="0"/>
              <w:ind w:left="480" w:leftChars="200" w:right="0" w:firstLine="422"/>
              <w:jc w:val="center"/>
              <w:rPr>
                <w:rFonts w:hint="default" w:cs="Times New Roman"/>
                <w:b/>
                <w:color w:val="auto"/>
                <w:sz w:val="21"/>
                <w:szCs w:val="21"/>
                <w:lang w:val="en-US" w:eastAsia="zh-CN"/>
              </w:rPr>
            </w:pPr>
          </w:p>
        </w:tc>
      </w:tr>
      <w:tr w14:paraId="5C230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6" w:hRule="atLeast"/>
        </w:trPr>
        <w:tc>
          <w:tcPr>
            <w:tcW w:w="447" w:type="dxa"/>
            <w:vAlign w:val="center"/>
          </w:tcPr>
          <w:p w14:paraId="505AA9EF">
            <w:pPr>
              <w:pStyle w:val="24"/>
              <w:keepNext w:val="0"/>
              <w:keepLines w:val="0"/>
              <w:numPr>
                <w:ilvl w:val="0"/>
                <w:numId w:val="0"/>
              </w:numPr>
              <w:suppressLineNumbers w:val="0"/>
              <w:ind w:left="0" w:right="0"/>
              <w:jc w:val="center"/>
              <w:outlineLvl w:val="9"/>
              <w:rPr>
                <w:rFonts w:hint="eastAsia" w:ascii="黑体" w:hAnsi="黑体" w:eastAsia="黑体" w:cs="Times New Roman"/>
                <w:snapToGrid w:val="0"/>
                <w:color w:val="auto"/>
                <w:sz w:val="24"/>
                <w:szCs w:val="24"/>
                <w:vertAlign w:val="baseline"/>
              </w:rPr>
            </w:pPr>
            <w:r>
              <w:rPr>
                <w:rFonts w:hint="eastAsia" w:ascii="宋体" w:hAnsi="宋体" w:eastAsia="宋体" w:cs="宋体"/>
                <w:b w:val="0"/>
                <w:bCs w:val="0"/>
                <w:snapToGrid w:val="0"/>
                <w:color w:val="auto"/>
                <w:sz w:val="21"/>
                <w:szCs w:val="21"/>
                <w:vertAlign w:val="baseline"/>
                <w:lang w:val="en-US" w:eastAsia="zh-CN"/>
              </w:rPr>
              <w:t>原有环境污染问题</w:t>
            </w:r>
          </w:p>
        </w:tc>
        <w:tc>
          <w:tcPr>
            <w:tcW w:w="8075" w:type="dxa"/>
            <w:vAlign w:val="center"/>
          </w:tcPr>
          <w:p w14:paraId="21AF4CA2">
            <w:pPr>
              <w:keepNext w:val="0"/>
              <w:keepLines w:val="0"/>
              <w:pageBreakBefore/>
              <w:widowControl/>
              <w:numPr>
                <w:ilvl w:val="0"/>
                <w:numId w:val="0"/>
              </w:numPr>
              <w:suppressLineNumbers w:val="0"/>
              <w:spacing w:before="0" w:beforeLines="0" w:beforeAutospacing="0" w:after="0" w:afterLines="0" w:afterAutospacing="0"/>
              <w:ind w:left="0" w:right="0" w:firstLine="482"/>
              <w:rPr>
                <w:rFonts w:hint="default" w:ascii="Times New Roman" w:hAnsi="Times New Roman" w:eastAsia="宋体" w:cs="Times New Roman"/>
                <w:b/>
                <w:color w:val="auto"/>
                <w:sz w:val="24"/>
                <w:szCs w:val="24"/>
                <w:lang w:val="en-US" w:eastAsia="zh-CN"/>
              </w:rPr>
            </w:pPr>
            <w:r>
              <w:rPr>
                <w:rFonts w:hint="eastAsia" w:ascii="Times New Roman" w:hAnsi="Times New Roman" w:eastAsia="宋体" w:cs="Times New Roman"/>
                <w:b/>
                <w:color w:val="auto"/>
                <w:sz w:val="24"/>
                <w:szCs w:val="24"/>
                <w:lang w:val="en-US" w:eastAsia="zh-CN"/>
              </w:rPr>
              <w:t>一、现有工程概述环保审批情况</w:t>
            </w:r>
          </w:p>
          <w:p w14:paraId="30ADDA80">
            <w:pPr>
              <w:keepNext w:val="0"/>
              <w:keepLines w:val="0"/>
              <w:pageBreakBefore/>
              <w:widowControl/>
              <w:suppressLineNumbers w:val="0"/>
              <w:spacing w:before="0" w:beforeLines="0" w:beforeAutospacing="0" w:after="0" w:afterLines="0" w:afterAutospacing="0"/>
              <w:ind w:left="0" w:right="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本项目租赁地块不在生产江西富利高陶瓷有限公司的生产活动全部停止。</w:t>
            </w:r>
          </w:p>
          <w:p w14:paraId="2163ADA7">
            <w:pPr>
              <w:keepNext w:val="0"/>
              <w:keepLines w:val="0"/>
              <w:pageBreakBefore/>
              <w:widowControl/>
              <w:suppressLineNumbers w:val="0"/>
              <w:spacing w:before="0" w:beforeLines="0" w:beforeAutospacing="0" w:after="0" w:afterLines="0" w:afterAutospacing="0"/>
              <w:ind w:left="0" w:right="0"/>
              <w:rPr>
                <w:rFonts w:hint="default"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依托江西富利高陶瓷有限公司的可行性</w:t>
            </w:r>
            <w:r>
              <w:rPr>
                <w:rFonts w:hint="eastAsia" w:cs="Times New Roman"/>
                <w:color w:val="auto"/>
                <w:sz w:val="24"/>
                <w:szCs w:val="24"/>
                <w:lang w:val="en-US" w:eastAsia="zh-CN"/>
              </w:rPr>
              <w:t>：原江西富利高陶瓷有限公司生产废水经沉淀池处理、生活污水经化粪池处理，废气喷雾制粉工序产生的废气经旋风除尘+碱液喷淋+40m排气筒排放，辊道窑废气经湿式电除尘+湿法脱硫+36m排气筒排放，现已全部拆除，租赁时厂房处于闲置状态，租赁面积足够本项目生产，本项目化粪池、应急事故池、初期雨水池、雨污分流措施依托江西富利高陶瓷有限公司现有设备，本项目不产生生产废水，废气仅为颗粒物、氟化物且达标排放，对环境影响较小依托江西富利高陶瓷有限公司可行。</w:t>
            </w:r>
          </w:p>
          <w:p w14:paraId="5C750C82">
            <w:pPr>
              <w:keepNext w:val="0"/>
              <w:keepLines w:val="0"/>
              <w:pageBreakBefore/>
              <w:widowControl/>
              <w:suppressLineNumbers w:val="0"/>
              <w:spacing w:before="0" w:beforeLines="0" w:beforeAutospacing="0" w:after="0" w:afterLines="0" w:afterAutospacing="0"/>
              <w:ind w:left="0" w:right="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江西富利高陶瓷有限公司</w:t>
            </w:r>
            <w:r>
              <w:rPr>
                <w:rFonts w:hint="eastAsia" w:cs="Times New Roman"/>
                <w:color w:val="auto"/>
                <w:sz w:val="24"/>
                <w:szCs w:val="24"/>
                <w:lang w:val="en-US" w:eastAsia="zh-CN"/>
              </w:rPr>
              <w:t>环保手续，该公司</w:t>
            </w:r>
            <w:r>
              <w:rPr>
                <w:rFonts w:hint="eastAsia" w:ascii="Times New Roman" w:hAnsi="Times New Roman" w:eastAsia="宋体" w:cs="Times New Roman"/>
                <w:color w:val="auto"/>
                <w:sz w:val="24"/>
                <w:szCs w:val="24"/>
                <w:lang w:val="en-US" w:eastAsia="zh-CN"/>
              </w:rPr>
              <w:t>于2007年3月编制《年产1300万</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eastAsia" w:ascii="Times New Roman" w:hAnsi="Times New Roman" w:eastAsia="宋体" w:cs="Times New Roman"/>
                <w:color w:val="auto"/>
                <w:sz w:val="24"/>
                <w:szCs w:val="24"/>
                <w:lang w:val="en-US" w:eastAsia="zh-CN"/>
              </w:rPr>
              <w:t>建筑陶瓷项目环境影响报告表》，原宜春市环境保护局于2007年12月以宜环督字</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2007</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年256号文予以批复，于2011年6月以宜环评字</w:t>
            </w:r>
            <w:r>
              <w:rPr>
                <w:rFonts w:hint="eastAsia" w:cs="Times New Roman"/>
                <w:color w:val="auto"/>
                <w:sz w:val="24"/>
                <w:szCs w:val="24"/>
                <w:lang w:val="en-US" w:eastAsia="zh-CN"/>
              </w:rPr>
              <w:t>〔2011〕321号</w:t>
            </w:r>
            <w:r>
              <w:rPr>
                <w:rFonts w:hint="eastAsia" w:ascii="Times New Roman" w:hAnsi="Times New Roman" w:eastAsia="宋体" w:cs="Times New Roman"/>
                <w:color w:val="auto"/>
                <w:sz w:val="24"/>
                <w:szCs w:val="24"/>
                <w:lang w:val="en-US" w:eastAsia="zh-CN"/>
              </w:rPr>
              <w:t>文予以验收批复。于2012年编制《江西富利高陶瓷有限公司节材型超薄陶瓷砖循环经济关键技术产业化示范项目环境影响报告书》，宜春市环境保护局于2012年12月以宜环评字</w:t>
            </w:r>
            <w:r>
              <w:rPr>
                <w:rFonts w:hint="eastAsia" w:cs="Times New Roman"/>
                <w:color w:val="auto"/>
                <w:sz w:val="24"/>
                <w:szCs w:val="24"/>
                <w:lang w:val="en-US" w:eastAsia="zh-CN"/>
              </w:rPr>
              <w:t>〔2012〕137号</w:t>
            </w:r>
            <w:r>
              <w:rPr>
                <w:rFonts w:hint="eastAsia" w:ascii="Times New Roman" w:hAnsi="Times New Roman" w:eastAsia="宋体" w:cs="Times New Roman"/>
                <w:color w:val="auto"/>
                <w:sz w:val="24"/>
                <w:szCs w:val="24"/>
                <w:lang w:val="en-US" w:eastAsia="zh-CN"/>
              </w:rPr>
              <w:t>文予以批复，该项目一期年产360万平方米高品质超薄型陶瓷砖于2015年9月通过竣工环保验收（宜环评验字</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2015</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103号），二期工程尚未建设，2022年3月完成了排污许可证的申请（许可证编号：91360983MA7ET1T919001V）。</w:t>
            </w:r>
          </w:p>
          <w:p w14:paraId="11413EE2">
            <w:pPr>
              <w:keepNext w:val="0"/>
              <w:keepLines w:val="0"/>
              <w:pageBreakBefore/>
              <w:widowControl/>
              <w:suppressLineNumbers w:val="0"/>
              <w:spacing w:before="0" w:beforeLines="0" w:beforeAutospacing="0" w:after="0" w:afterLines="0" w:afterAutospacing="0"/>
              <w:ind w:left="0" w:right="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租赁江西富利高陶瓷有限公司烧成车间1（西南侧1条干燥窑与1套风机已拆除、东侧烧成窑已拆除、8台原料球磨机、2搅拌机已拆除、西北侧为仓库）由于双方在租赁前达成已空厂房的形式租赁，厂房设备拆除由江西富利高陶瓷有限公司记录负责，设备由江西富利高陶瓷有限公司外售，原江西富利高陶瓷有限公司生产废水经沉淀池处理、生活污水经化粪池处理，废气喷雾制粉工序产生的废气经旋风除尘+碱液喷淋+40m排气筒排放，辊道窑废气经湿式电除尘+湿法脱硫+36m排气筒排放，现已全部拆除，租赁时厂房处于闲置状态，对于双方环境保护责任，执行环境</w:t>
            </w:r>
            <w:r>
              <w:rPr>
                <w:rFonts w:hint="eastAsia" w:cs="Times New Roman"/>
                <w:color w:val="auto"/>
                <w:sz w:val="24"/>
                <w:szCs w:val="24"/>
                <w:lang w:val="en-US" w:eastAsia="zh-CN"/>
              </w:rPr>
              <w:t>生态环境部</w:t>
            </w:r>
            <w:r>
              <w:rPr>
                <w:rFonts w:hint="eastAsia" w:ascii="Times New Roman" w:hAnsi="Times New Roman" w:eastAsia="宋体" w:cs="Times New Roman"/>
                <w:color w:val="auto"/>
                <w:sz w:val="24"/>
                <w:szCs w:val="24"/>
                <w:lang w:val="en-US" w:eastAsia="zh-CN"/>
              </w:rPr>
              <w:t>提出的相关办法，即“坚持谁污染谁治理，实行终身责任制”，化粪池、应急事故池、初期雨水池、雨污分流措施依托江西富利高陶瓷有限公司现有设备，由江西中源再生资源利用有限公司经营过程中引起的废水、废气、固废问题，全部由我方全权负责相关事宜，包括设置废水、废气、固废合适的处理处置措施。本项目属于新建项目，故无原有环境污染问题存在。</w:t>
            </w:r>
          </w:p>
          <w:p w14:paraId="1D7ABC53">
            <w:pPr>
              <w:keepNext w:val="0"/>
              <w:keepLines w:val="0"/>
              <w:pageBreakBefore/>
              <w:widowControl/>
              <w:suppressLineNumbers w:val="0"/>
              <w:spacing w:before="0" w:beforeLines="0" w:beforeAutospacing="0" w:after="0" w:afterLines="0" w:afterAutospacing="0"/>
              <w:ind w:left="0" w:right="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根据《企业设备、建（构）筑物拆除活动污染防治技术指南》-“8.4设备拆除”：拆除前，应通过查阅施工记录或环境监理记录进一步确定设备中的物料及表面沾染污染物已被清理干净，否则应首先参照设备内部物料放空及污染物清理相关要求进行清理，确保设备中的物料及表面沾染污染物已被清理干净。若设备整体移除，应在设备上贴上标签，说明其来源及最终目的地，并做好记录。遗留物料、残留污染物、遗留设备、建（构）筑物等土壤污染风险点所在区域；发现的土壤颜色、质地、气味等发生明显变化的疑似土壤污染区域；拆除过</w:t>
            </w:r>
            <w:r>
              <w:rPr>
                <w:rFonts w:hint="eastAsia" w:cs="Times New Roman"/>
                <w:color w:val="auto"/>
                <w:sz w:val="24"/>
                <w:szCs w:val="24"/>
                <w:lang w:val="en-US" w:eastAsia="zh-CN"/>
              </w:rPr>
              <w:t>程中</w:t>
            </w:r>
            <w:r>
              <w:rPr>
                <w:rFonts w:hint="eastAsia" w:ascii="Times New Roman" w:hAnsi="Times New Roman" w:eastAsia="宋体" w:cs="Times New Roman"/>
                <w:color w:val="auto"/>
                <w:sz w:val="24"/>
                <w:szCs w:val="24"/>
                <w:lang w:val="en-US" w:eastAsia="zh-CN"/>
              </w:rPr>
              <w:t>发现的因物料或污染物泄露而受到影响的区域等。本项目生产设备由江西富利高陶瓷有限公司在2024年时已全部拆除，设备拆除记录与去向由江西富利高陶瓷有限公司记录，项目租赁时为空厂房，项目未发现疑似土壤污染区域。</w:t>
            </w:r>
          </w:p>
          <w:p w14:paraId="1E3B3A4C">
            <w:pPr>
              <w:keepNext w:val="0"/>
              <w:keepLines w:val="0"/>
              <w:pageBreakBefore/>
              <w:widowControl/>
              <w:suppressLineNumbers w:val="0"/>
              <w:spacing w:before="0" w:beforeLines="0" w:beforeAutospacing="0" w:after="0" w:afterLines="0" w:afterAutospacing="0"/>
              <w:ind w:left="0" w:right="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公司环评情况：江西中源再生资源利用有限公司，于2024年12月委托编制了《江西中源再生资源利用有限公司一般工业固废再生利用建设项目环境影响报告表》，并于2025年3月10日通过了宜春市高安生态环境局审批（文号为高环评字</w:t>
            </w:r>
            <w:r>
              <w:rPr>
                <w:rFonts w:hint="eastAsia" w:cs="Times New Roman"/>
                <w:color w:val="auto"/>
                <w:sz w:val="24"/>
                <w:szCs w:val="24"/>
                <w:lang w:val="en-US" w:eastAsia="zh-CN"/>
              </w:rPr>
              <w:t>〔2025〕10号</w:t>
            </w:r>
            <w:r>
              <w:rPr>
                <w:rFonts w:hint="eastAsia" w:ascii="Times New Roman" w:hAnsi="Times New Roman" w:eastAsia="宋体" w:cs="Times New Roman"/>
                <w:color w:val="auto"/>
                <w:sz w:val="24"/>
                <w:szCs w:val="24"/>
                <w:lang w:val="en-US" w:eastAsia="zh-CN"/>
              </w:rPr>
              <w:t>）。</w:t>
            </w:r>
          </w:p>
          <w:p w14:paraId="6B967350">
            <w:pPr>
              <w:keepNext w:val="0"/>
              <w:keepLines w:val="0"/>
              <w:pageBreakBefore/>
              <w:widowControl/>
              <w:suppressLineNumbers w:val="0"/>
              <w:spacing w:before="0" w:beforeLines="0" w:beforeAutospacing="0" w:after="0" w:afterLines="0" w:afterAutospacing="0"/>
              <w:ind w:left="0" w:right="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现在因考虑公司生产成本及优化生产时长，计划调整生产所需原料，产品产量及生产工艺不发生改变，主要调整如下：</w:t>
            </w:r>
            <w:r>
              <w:rPr>
                <w:rFonts w:hint="eastAsia" w:cs="Times New Roman"/>
                <w:color w:val="auto"/>
                <w:sz w:val="24"/>
                <w:szCs w:val="24"/>
                <w:lang w:val="en-US" w:eastAsia="zh-CN"/>
              </w:rPr>
              <w:t>采用28万吨锂渣，替代原有的7万吨脱硫石膏、10万吨破陶瓷抛光泥及10万吨建筑废料（小计27万吨）。此外，配方中需相应增加900吨固化剂</w:t>
            </w:r>
          </w:p>
          <w:p w14:paraId="3E802820">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2" w:firstLineChars="200"/>
              <w:rPr>
                <w:rFonts w:hint="default" w:cs="Times New Roman"/>
                <w:b/>
                <w:color w:val="auto"/>
                <w:kern w:val="2"/>
                <w:sz w:val="24"/>
                <w:szCs w:val="24"/>
                <w:lang w:val="en-US" w:eastAsia="zh-CN" w:bidi="ar-SA"/>
              </w:rPr>
            </w:pPr>
            <w:r>
              <w:rPr>
                <w:rFonts w:hint="eastAsia" w:cs="Times New Roman"/>
                <w:b/>
                <w:color w:val="auto"/>
                <w:kern w:val="2"/>
                <w:sz w:val="24"/>
                <w:szCs w:val="24"/>
                <w:lang w:val="en-US" w:eastAsia="zh-CN" w:bidi="ar-SA"/>
              </w:rPr>
              <w:t>二、现有工程概况</w:t>
            </w:r>
          </w:p>
          <w:p w14:paraId="43557387">
            <w:pPr>
              <w:keepNext w:val="0"/>
              <w:keepLines w:val="0"/>
              <w:pageBreakBefore/>
              <w:widowControl/>
              <w:suppressLineNumbers w:val="0"/>
              <w:spacing w:before="0" w:beforeLines="0" w:beforeAutospacing="0" w:after="0" w:afterLines="0" w:afterAutospacing="0"/>
              <w:ind w:left="0" w:right="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（1）现有工程设备情况</w:t>
            </w:r>
          </w:p>
          <w:p w14:paraId="694A9177">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现有项目设备情况</w:t>
            </w:r>
          </w:p>
          <w:tbl>
            <w:tblPr>
              <w:tblStyle w:val="28"/>
              <w:tblW w:w="4984"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642"/>
              <w:gridCol w:w="1868"/>
              <w:gridCol w:w="1860"/>
              <w:gridCol w:w="2577"/>
              <w:gridCol w:w="882"/>
            </w:tblGrid>
            <w:tr w14:paraId="1C14D03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tblHeader/>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D3658B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序号</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F1363F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设备名称</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433600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数量（台）</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53A3C3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型号</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240007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eastAsia="宋体"/>
                      <w:color w:val="auto"/>
                      <w:kern w:val="0"/>
                      <w:sz w:val="21"/>
                      <w:szCs w:val="21"/>
                      <w:lang w:val="en-US" w:eastAsia="zh-CN"/>
                    </w:rPr>
                    <w:t>备注</w:t>
                  </w:r>
                </w:p>
              </w:tc>
            </w:tr>
            <w:tr w14:paraId="11C6A27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5000" w:type="pct"/>
                  <w:gridSpan w:val="5"/>
                  <w:tcBorders>
                    <w:top w:val="single" w:color="auto" w:sz="2" w:space="0"/>
                    <w:left w:val="single" w:color="auto" w:sz="2" w:space="0"/>
                    <w:bottom w:val="single" w:color="auto" w:sz="2" w:space="0"/>
                    <w:right w:val="single" w:color="auto" w:sz="2" w:space="0"/>
                    <w:tl2br w:val="nil"/>
                    <w:tr2bl w:val="nil"/>
                  </w:tcBorders>
                  <w:noWrap w:val="0"/>
                  <w:vAlign w:val="center"/>
                </w:tcPr>
                <w:p w14:paraId="632F8BA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rPr>
                    <w:t>预处理</w:t>
                  </w:r>
                  <w:r>
                    <w:rPr>
                      <w:rFonts w:hint="eastAsia"/>
                      <w:color w:val="auto"/>
                      <w:kern w:val="0"/>
                      <w:sz w:val="21"/>
                      <w:szCs w:val="21"/>
                      <w:lang w:eastAsia="zh-CN"/>
                    </w:rPr>
                    <w:t>（</w:t>
                  </w:r>
                  <w:r>
                    <w:rPr>
                      <w:rFonts w:hint="eastAsia"/>
                      <w:color w:val="auto"/>
                      <w:kern w:val="0"/>
                      <w:sz w:val="21"/>
                      <w:szCs w:val="21"/>
                      <w:lang w:val="en-US" w:eastAsia="zh-CN"/>
                    </w:rPr>
                    <w:t>建筑废料）生产设备</w:t>
                  </w:r>
                </w:p>
              </w:tc>
            </w:tr>
            <w:tr w14:paraId="090E653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A7C3E6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default"/>
                      <w:color w:val="auto"/>
                      <w:kern w:val="0"/>
                      <w:sz w:val="21"/>
                      <w:szCs w:val="21"/>
                    </w:rPr>
                    <w:t>1</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1E87C9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泥石分离机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7CBCC4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46424C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1240</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FCBFCC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lang w:val="en-US" w:eastAsia="zh-CN"/>
                    </w:rPr>
                  </w:pPr>
                </w:p>
              </w:tc>
            </w:tr>
            <w:tr w14:paraId="61F46F5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5AEE8C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default"/>
                      <w:color w:val="auto"/>
                      <w:kern w:val="0"/>
                      <w:sz w:val="21"/>
                      <w:szCs w:val="21"/>
                    </w:rPr>
                    <w:t>2</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C99799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颚频式破碎机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4BA5CA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15E510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69</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E95583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p>
              </w:tc>
            </w:tr>
            <w:tr w14:paraId="0D91AF0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9F11DA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default"/>
                      <w:color w:val="auto"/>
                      <w:kern w:val="0"/>
                      <w:sz w:val="21"/>
                      <w:szCs w:val="21"/>
                    </w:rPr>
                    <w:t>3</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7AD5B8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反击破碎机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85C104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FA73AA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1214型</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E8DADB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p>
              </w:tc>
            </w:tr>
            <w:tr w14:paraId="23B3833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B6CD91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4</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9B6605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对滚机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C157BD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E7AE10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1210</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6FD911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rPr>
                  </w:pPr>
                </w:p>
              </w:tc>
            </w:tr>
            <w:tr w14:paraId="11654A6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33E757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5</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27944B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锤式破碎机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321A6E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D145C9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1214</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F8671A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p>
              </w:tc>
            </w:tr>
            <w:tr w14:paraId="4605011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D7D184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6</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D78894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振动筛选机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703706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2</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947949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2470</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3B2F5A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rPr>
                  </w:pPr>
                </w:p>
              </w:tc>
            </w:tr>
            <w:tr w14:paraId="443955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8C718B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7</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D6140A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给料机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D33714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90A3AF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1038</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654633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p>
              </w:tc>
            </w:tr>
            <w:tr w14:paraId="3658A2E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990008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8</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E3E9DF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螺旋输送器</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AD968F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87F4EA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219</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18B627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p>
              </w:tc>
            </w:tr>
            <w:tr w14:paraId="5BB0F59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F937B3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9</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108E1C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振动筛（磁选机）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1ABA9F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51D0D0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lang w:val="en-US" w:eastAsia="zh-CN"/>
                    </w:rPr>
                    <w:t>/</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BD0078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p>
              </w:tc>
            </w:tr>
            <w:tr w14:paraId="20C5AC0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5000" w:type="pct"/>
                  <w:gridSpan w:val="5"/>
                  <w:tcBorders>
                    <w:top w:val="single" w:color="auto" w:sz="2" w:space="0"/>
                    <w:left w:val="single" w:color="auto" w:sz="2" w:space="0"/>
                    <w:bottom w:val="single" w:color="auto" w:sz="2" w:space="0"/>
                    <w:right w:val="single" w:color="auto" w:sz="2" w:space="0"/>
                    <w:tl2br w:val="nil"/>
                    <w:tr2bl w:val="nil"/>
                  </w:tcBorders>
                  <w:noWrap w:val="0"/>
                  <w:vAlign w:val="center"/>
                </w:tcPr>
                <w:p w14:paraId="6A19979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rPr>
                    <w:t>免烧砖（环保砖）</w:t>
                  </w:r>
                  <w:r>
                    <w:rPr>
                      <w:rFonts w:hint="eastAsia" w:ascii="Times New Roman" w:hAnsi="Times New Roman" w:eastAsia="宋体" w:cs="Times New Roman"/>
                      <w:color w:val="auto"/>
                      <w:kern w:val="0"/>
                      <w:sz w:val="21"/>
                      <w:szCs w:val="21"/>
                      <w:lang w:val="en-US" w:eastAsia="zh-CN"/>
                    </w:rPr>
                    <w:t>生产设备</w:t>
                  </w:r>
                </w:p>
              </w:tc>
            </w:tr>
            <w:tr w14:paraId="5092841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F4F5C8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9</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9D33BD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自动配料机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426CD5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D59202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8650×2000×2900</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4D73A8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p>
              </w:tc>
            </w:tr>
            <w:tr w14:paraId="18BE803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33DAA1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10</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2E47B7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水泥</w:t>
                  </w:r>
                  <w:r>
                    <w:rPr>
                      <w:rFonts w:hint="eastAsia"/>
                      <w:color w:val="auto"/>
                      <w:kern w:val="0"/>
                      <w:sz w:val="21"/>
                      <w:szCs w:val="21"/>
                      <w:lang w:eastAsia="zh-CN"/>
                    </w:rPr>
                    <w:t>秤</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E41B81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ACC0AE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2500</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32DDFD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p>
              </w:tc>
            </w:tr>
            <w:tr w14:paraId="59041FE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57ED8F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11</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820C92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自动搅拌系统</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3B4065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2BF9C3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eastAsia="宋体"/>
                      <w:color w:val="auto"/>
                      <w:kern w:val="0"/>
                      <w:sz w:val="21"/>
                      <w:szCs w:val="21"/>
                      <w:lang w:val="en-US" w:eastAsia="zh-CN"/>
                    </w:rPr>
                  </w:pPr>
                  <w:r>
                    <w:rPr>
                      <w:rFonts w:hint="eastAsia"/>
                      <w:color w:val="auto"/>
                      <w:kern w:val="0"/>
                      <w:sz w:val="21"/>
                      <w:szCs w:val="21"/>
                    </w:rPr>
                    <w:t>MP75</w:t>
                  </w:r>
                  <w:r>
                    <w:rPr>
                      <w:rFonts w:hint="eastAsia"/>
                      <w:color w:val="auto"/>
                      <w:kern w:val="0"/>
                      <w:sz w:val="21"/>
                      <w:szCs w:val="21"/>
                      <w:lang w:val="en-US" w:eastAsia="zh-CN"/>
                    </w:rPr>
                    <w:t>0</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1A0805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p>
              </w:tc>
            </w:tr>
            <w:tr w14:paraId="4CD08EE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FE8B3B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12</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825C5F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成型系统</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38E620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591338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80ABE5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p>
              </w:tc>
            </w:tr>
            <w:tr w14:paraId="52E31D3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3C4A09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13</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8C53B36">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码垛系统</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87B8D8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7C8ACCA">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1200×1200×1200mm</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E45D75B">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p>
              </w:tc>
            </w:tr>
            <w:tr w14:paraId="4A89DC4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D03BBE3">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14</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E2FC13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免烧砖模具</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AB517B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30套</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0266DC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5C0BA8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p>
              </w:tc>
            </w:tr>
            <w:tr w14:paraId="276C6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5000" w:type="pct"/>
                  <w:gridSpan w:val="5"/>
                  <w:tcBorders>
                    <w:top w:val="single" w:color="auto" w:sz="2" w:space="0"/>
                    <w:left w:val="single" w:color="auto" w:sz="2" w:space="0"/>
                    <w:bottom w:val="single" w:color="auto" w:sz="2" w:space="0"/>
                    <w:right w:val="single" w:color="auto" w:sz="2" w:space="0"/>
                    <w:tl2br w:val="nil"/>
                    <w:tr2bl w:val="nil"/>
                  </w:tcBorders>
                  <w:noWrap w:val="0"/>
                  <w:vAlign w:val="center"/>
                </w:tcPr>
                <w:p w14:paraId="2BC7311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rPr>
                    <w:t>再生道路复合稳定料</w:t>
                  </w:r>
                  <w:r>
                    <w:rPr>
                      <w:rFonts w:hint="eastAsia" w:ascii="Times New Roman" w:hAnsi="Times New Roman" w:eastAsia="宋体" w:cs="Times New Roman"/>
                      <w:color w:val="auto"/>
                      <w:kern w:val="0"/>
                      <w:sz w:val="21"/>
                      <w:szCs w:val="21"/>
                      <w:lang w:val="en-US" w:eastAsia="zh-CN"/>
                    </w:rPr>
                    <w:t>生产设备</w:t>
                  </w:r>
                </w:p>
              </w:tc>
            </w:tr>
            <w:tr w14:paraId="2D5241E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3416FD1">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15</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88535B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自动搅拌系统</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3ABAEB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2</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B5EF91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MP750</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145DBA7">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p>
              </w:tc>
            </w:tr>
            <w:tr w14:paraId="1900AE9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50A9355">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16</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579F72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水泥</w:t>
                  </w:r>
                  <w:r>
                    <w:rPr>
                      <w:rFonts w:hint="eastAsia"/>
                      <w:color w:val="auto"/>
                      <w:kern w:val="0"/>
                      <w:sz w:val="21"/>
                      <w:szCs w:val="21"/>
                      <w:lang w:eastAsia="zh-CN"/>
                    </w:rPr>
                    <w:t>秤</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AE519B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9E9D9F4">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2500</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321F20E">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p>
              </w:tc>
            </w:tr>
            <w:tr w14:paraId="1ACCF8C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AD55BC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17</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B5612FF">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自动配料机</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BFFBD7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362ACE8">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color w:val="auto"/>
                      <w:kern w:val="0"/>
                      <w:sz w:val="21"/>
                      <w:szCs w:val="21"/>
                    </w:rPr>
                  </w:pPr>
                  <w:r>
                    <w:rPr>
                      <w:rFonts w:hint="eastAsia"/>
                      <w:color w:val="auto"/>
                      <w:kern w:val="0"/>
                      <w:sz w:val="21"/>
                      <w:szCs w:val="21"/>
                    </w:rPr>
                    <w:t>8650×2000×2900</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46E424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p>
              </w:tc>
            </w:tr>
            <w:tr w14:paraId="29194E8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10"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5B2D9A0">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18</w:t>
                  </w:r>
                </w:p>
              </w:tc>
              <w:tc>
                <w:tcPr>
                  <w:tcW w:w="119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45D9E2C">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水泥储存仓</w:t>
                  </w:r>
                </w:p>
              </w:tc>
              <w:tc>
                <w:tcPr>
                  <w:tcW w:w="1188"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F403D32">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color w:val="auto"/>
                      <w:kern w:val="0"/>
                      <w:sz w:val="21"/>
                      <w:szCs w:val="21"/>
                    </w:rPr>
                  </w:pPr>
                  <w:r>
                    <w:rPr>
                      <w:rFonts w:hint="eastAsia"/>
                      <w:color w:val="auto"/>
                      <w:kern w:val="0"/>
                      <w:sz w:val="21"/>
                      <w:szCs w:val="21"/>
                    </w:rPr>
                    <w:t>1</w:t>
                  </w:r>
                </w:p>
              </w:tc>
              <w:tc>
                <w:tcPr>
                  <w:tcW w:w="164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9584789">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default" w:eastAsia="宋体"/>
                      <w:color w:val="auto"/>
                      <w:kern w:val="0"/>
                      <w:sz w:val="21"/>
                      <w:szCs w:val="21"/>
                      <w:lang w:val="en-US" w:eastAsia="zh-CN"/>
                    </w:rPr>
                  </w:pPr>
                  <w:r>
                    <w:rPr>
                      <w:rFonts w:hint="eastAsia"/>
                      <w:color w:val="auto"/>
                      <w:kern w:val="0"/>
                      <w:sz w:val="21"/>
                      <w:szCs w:val="21"/>
                      <w:lang w:val="en-US" w:eastAsia="zh-CN"/>
                    </w:rPr>
                    <w:t>300t</w:t>
                  </w:r>
                </w:p>
              </w:tc>
              <w:tc>
                <w:tcPr>
                  <w:tcW w:w="562"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AFF579D">
                  <w:pPr>
                    <w:keepNext w:val="0"/>
                    <w:keepLines w:val="0"/>
                    <w:pageBreakBefore/>
                    <w:widowControl/>
                    <w:suppressLineNumbers w:val="0"/>
                    <w:spacing w:before="0" w:beforeLines="0" w:beforeAutospacing="0" w:after="0" w:afterLines="0" w:afterAutospacing="0" w:line="360" w:lineRule="exact"/>
                    <w:ind w:left="0" w:right="0" w:firstLine="0" w:firstLineChars="0"/>
                    <w:jc w:val="center"/>
                    <w:rPr>
                      <w:rFonts w:hint="eastAsia" w:ascii="Times New Roman" w:hAnsi="Times New Roman" w:eastAsia="宋体" w:cs="Times New Roman"/>
                      <w:color w:val="auto"/>
                      <w:kern w:val="0"/>
                      <w:sz w:val="21"/>
                      <w:szCs w:val="21"/>
                    </w:rPr>
                  </w:pPr>
                </w:p>
              </w:tc>
            </w:tr>
          </w:tbl>
          <w:p w14:paraId="7A73AECE">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kern w:val="2"/>
                <w:sz w:val="24"/>
                <w:szCs w:val="24"/>
                <w:lang w:val="en-US" w:eastAsia="zh-CN" w:bidi="ar-SA"/>
              </w:rPr>
              <w:t>（2）现有</w:t>
            </w:r>
            <w:r>
              <w:rPr>
                <w:rFonts w:hint="eastAsia" w:ascii="Times New Roman" w:hAnsi="Times New Roman" w:eastAsia="宋体" w:cs="Times New Roman"/>
                <w:color w:val="auto"/>
                <w:sz w:val="24"/>
                <w:szCs w:val="24"/>
                <w:lang w:val="en-US" w:eastAsia="zh-CN"/>
              </w:rPr>
              <w:t>产品方案</w:t>
            </w:r>
          </w:p>
          <w:p w14:paraId="7CA5B6F1">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品方案</w:t>
            </w:r>
          </w:p>
          <w:tbl>
            <w:tblPr>
              <w:tblStyle w:val="28"/>
              <w:tblW w:w="4992"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15"/>
              <w:gridCol w:w="1059"/>
              <w:gridCol w:w="3897"/>
              <w:gridCol w:w="1970"/>
            </w:tblGrid>
            <w:tr w14:paraId="5D69A50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58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318BA8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产品</w:t>
                  </w:r>
                </w:p>
              </w:tc>
              <w:tc>
                <w:tcPr>
                  <w:tcW w:w="67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1A28790">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产能（万t/年）</w:t>
                  </w:r>
                </w:p>
              </w:tc>
              <w:tc>
                <w:tcPr>
                  <w:tcW w:w="248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8B4B561">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产品质量标准</w:t>
                  </w:r>
                </w:p>
              </w:tc>
              <w:tc>
                <w:tcPr>
                  <w:tcW w:w="125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809A8CA">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规格</w:t>
                  </w:r>
                </w:p>
              </w:tc>
            </w:tr>
            <w:tr w14:paraId="4881C4F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58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3DC4B1C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免烧砖（环保砖）</w:t>
                  </w:r>
                </w:p>
              </w:tc>
              <w:tc>
                <w:tcPr>
                  <w:tcW w:w="67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3711477">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20</w:t>
                  </w:r>
                </w:p>
              </w:tc>
              <w:tc>
                <w:tcPr>
                  <w:tcW w:w="248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FD887E3">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弯曲：&lt;3mm、长：</w:t>
                  </w:r>
                  <w:r>
                    <w:rPr>
                      <w:rFonts w:hint="default" w:ascii="Times New Roman" w:hAnsi="Times New Roman" w:eastAsia="微软雅黑" w:cs="Times New Roman"/>
                      <w:color w:val="auto"/>
                      <w:kern w:val="0"/>
                      <w:sz w:val="21"/>
                      <w:szCs w:val="21"/>
                    </w:rPr>
                    <w:t>±</w:t>
                  </w:r>
                  <w:r>
                    <w:rPr>
                      <w:rFonts w:hint="default" w:ascii="Times New Roman" w:hAnsi="Times New Roman" w:cs="Times New Roman"/>
                      <w:color w:val="auto"/>
                      <w:kern w:val="0"/>
                      <w:sz w:val="21"/>
                      <w:szCs w:val="21"/>
                    </w:rPr>
                    <w:t>3mm、宽：±3mm、高：±3mm</w:t>
                  </w:r>
                  <w:r>
                    <w:rPr>
                      <w:rFonts w:hint="eastAsia" w:cs="Times New Roman"/>
                      <w:color w:val="auto"/>
                      <w:kern w:val="0"/>
                      <w:sz w:val="21"/>
                      <w:szCs w:val="21"/>
                      <w:lang w:eastAsia="zh-CN"/>
                    </w:rPr>
                    <w:t>，</w:t>
                  </w:r>
                  <w:r>
                    <w:rPr>
                      <w:rFonts w:hint="default" w:ascii="Times New Roman" w:hAnsi="Times New Roman" w:cs="Times New Roman"/>
                      <w:color w:val="auto"/>
                      <w:kern w:val="0"/>
                      <w:sz w:val="21"/>
                      <w:szCs w:val="21"/>
                    </w:rPr>
                    <w:t>抗压强度Mpa：平均值不小于2.5、单块最小值不小于2.0，吸水率应不大于18%，干燥收缩率应不大于0.065%。</w:t>
                  </w:r>
                </w:p>
              </w:tc>
              <w:tc>
                <w:tcPr>
                  <w:tcW w:w="125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448C45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轻集料混凝土小型空心砌块（GB/T 15229-2011）</w:t>
                  </w:r>
                </w:p>
              </w:tc>
            </w:tr>
            <w:tr w14:paraId="11CA39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584"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35F3F1F">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4"/>
                      <w:szCs w:val="24"/>
                    </w:rPr>
                  </w:pPr>
                  <w:r>
                    <w:rPr>
                      <w:rFonts w:hint="default" w:ascii="Times New Roman" w:hAnsi="Times New Roman" w:cs="Times New Roman"/>
                      <w:color w:val="auto"/>
                      <w:sz w:val="21"/>
                      <w:szCs w:val="21"/>
                      <w:lang w:bidi="ar"/>
                    </w:rPr>
                    <w:t>再生道路复合稳定料</w:t>
                  </w:r>
                </w:p>
              </w:tc>
              <w:tc>
                <w:tcPr>
                  <w:tcW w:w="67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9994181">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70</w:t>
                  </w:r>
                </w:p>
              </w:tc>
              <w:tc>
                <w:tcPr>
                  <w:tcW w:w="2485"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E9EEB9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混凝土强度等级：石粉含量MB&lt;1.4，C55~C30≤70%；坍落度：100</w:t>
                  </w:r>
                  <w:r>
                    <w:rPr>
                      <w:rFonts w:hint="eastAsia" w:cs="Times New Roman"/>
                      <w:color w:val="auto"/>
                      <w:kern w:val="0"/>
                      <w:sz w:val="21"/>
                      <w:szCs w:val="21"/>
                      <w:lang w:eastAsia="zh-CN"/>
                    </w:rPr>
                    <w:t>～</w:t>
                  </w:r>
                  <w:r>
                    <w:rPr>
                      <w:rFonts w:hint="default" w:ascii="Times New Roman" w:hAnsi="Times New Roman" w:cs="Times New Roman"/>
                      <w:color w:val="auto"/>
                      <w:kern w:val="0"/>
                      <w:sz w:val="21"/>
                      <w:szCs w:val="21"/>
                    </w:rPr>
                    <w:t>150mm；维勃稠度20</w:t>
                  </w:r>
                  <w:r>
                    <w:rPr>
                      <w:rFonts w:hint="eastAsia" w:cs="Times New Roman"/>
                      <w:color w:val="auto"/>
                      <w:kern w:val="0"/>
                      <w:sz w:val="21"/>
                      <w:szCs w:val="21"/>
                      <w:lang w:eastAsia="zh-CN"/>
                    </w:rPr>
                    <w:t>～</w:t>
                  </w:r>
                  <w:r>
                    <w:rPr>
                      <w:rFonts w:hint="default" w:ascii="Times New Roman" w:hAnsi="Times New Roman" w:cs="Times New Roman"/>
                      <w:color w:val="auto"/>
                      <w:kern w:val="0"/>
                      <w:sz w:val="21"/>
                      <w:szCs w:val="21"/>
                    </w:rPr>
                    <w:t>11s；扩展度350</w:t>
                  </w:r>
                  <w:r>
                    <w:rPr>
                      <w:rFonts w:hint="eastAsia" w:cs="Times New Roman"/>
                      <w:color w:val="auto"/>
                      <w:kern w:val="0"/>
                      <w:sz w:val="21"/>
                      <w:szCs w:val="21"/>
                      <w:lang w:eastAsia="zh-CN"/>
                    </w:rPr>
                    <w:t>～</w:t>
                  </w:r>
                  <w:r>
                    <w:rPr>
                      <w:rFonts w:hint="default" w:ascii="Times New Roman" w:hAnsi="Times New Roman" w:cs="Times New Roman"/>
                      <w:color w:val="auto"/>
                      <w:kern w:val="0"/>
                      <w:sz w:val="21"/>
                      <w:szCs w:val="21"/>
                    </w:rPr>
                    <w:t>410mm。</w:t>
                  </w:r>
                </w:p>
              </w:tc>
              <w:tc>
                <w:tcPr>
                  <w:tcW w:w="1253"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B959370">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kern w:val="0"/>
                      <w:sz w:val="21"/>
                      <w:szCs w:val="21"/>
                    </w:rPr>
                  </w:pPr>
                  <w:r>
                    <w:rPr>
                      <w:rFonts w:hint="eastAsia" w:cs="Times New Roman"/>
                      <w:color w:val="auto"/>
                      <w:kern w:val="0"/>
                      <w:sz w:val="21"/>
                      <w:szCs w:val="21"/>
                      <w:lang w:eastAsia="zh-CN"/>
                    </w:rPr>
                    <w:t>《</w:t>
                  </w:r>
                  <w:r>
                    <w:rPr>
                      <w:rFonts w:hint="default" w:ascii="Times New Roman" w:hAnsi="Times New Roman" w:cs="Times New Roman"/>
                      <w:color w:val="auto"/>
                      <w:kern w:val="0"/>
                      <w:sz w:val="21"/>
                      <w:szCs w:val="21"/>
                    </w:rPr>
                    <w:t>混凝土质量控制标准》（GB50164-2011）</w:t>
                  </w:r>
                </w:p>
              </w:tc>
            </w:tr>
            <w:tr w14:paraId="67026E6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7" w:hRule="atLeast"/>
              </w:trPr>
              <w:tc>
                <w:tcPr>
                  <w:tcW w:w="5000" w:type="pct"/>
                  <w:gridSpan w:val="4"/>
                  <w:tcBorders>
                    <w:top w:val="single" w:color="auto" w:sz="2" w:space="0"/>
                    <w:left w:val="single" w:color="auto" w:sz="2" w:space="0"/>
                    <w:bottom w:val="single" w:color="auto" w:sz="2" w:space="0"/>
                    <w:right w:val="single" w:color="auto" w:sz="2" w:space="0"/>
                    <w:tl2br w:val="nil"/>
                    <w:tr2bl w:val="nil"/>
                  </w:tcBorders>
                  <w:noWrap w:val="0"/>
                  <w:vAlign w:val="center"/>
                </w:tcPr>
                <w:p w14:paraId="5E839D86">
                  <w:pPr>
                    <w:keepNext w:val="0"/>
                    <w:keepLines w:val="0"/>
                    <w:pageBreakBefore/>
                    <w:widowControl/>
                    <w:suppressLineNumbers w:val="0"/>
                    <w:spacing w:before="0" w:beforeLines="0" w:beforeAutospacing="0" w:after="0" w:afterLines="0" w:afterAutospacing="0" w:line="240" w:lineRule="auto"/>
                    <w:ind w:left="0" w:right="0" w:firstLine="0" w:firstLineChars="0"/>
                    <w:jc w:val="left"/>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sz w:val="21"/>
                      <w:szCs w:val="21"/>
                      <w:lang w:bidi="ar"/>
                    </w:rPr>
                    <w:t>注：免烧砖</w:t>
                  </w:r>
                  <w:r>
                    <w:rPr>
                      <w:rFonts w:hint="default" w:ascii="Times New Roman" w:hAnsi="Times New Roman" w:cs="Times New Roman"/>
                      <w:color w:val="auto"/>
                      <w:sz w:val="21"/>
                      <w:szCs w:val="21"/>
                      <w:lang w:bidi="ar"/>
                    </w:rPr>
                    <w:t>（10×20×5cm每块2.5kg）</w:t>
                  </w:r>
                  <w:r>
                    <w:rPr>
                      <w:rFonts w:hint="eastAsia" w:cs="Times New Roman"/>
                      <w:color w:val="auto"/>
                      <w:sz w:val="21"/>
                      <w:szCs w:val="21"/>
                      <w:lang w:eastAsia="zh-CN" w:bidi="ar"/>
                    </w:rPr>
                    <w:t>，</w:t>
                  </w:r>
                  <w:r>
                    <w:rPr>
                      <w:rFonts w:hint="eastAsia" w:cs="Times New Roman"/>
                      <w:color w:val="auto"/>
                      <w:sz w:val="21"/>
                      <w:szCs w:val="21"/>
                      <w:lang w:val="en-US" w:eastAsia="zh-CN" w:bidi="ar"/>
                    </w:rPr>
                    <w:t>年产约8000万块砖</w:t>
                  </w:r>
                </w:p>
              </w:tc>
            </w:tr>
          </w:tbl>
          <w:p w14:paraId="4CC6B662">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（3）现有工程主要原辅料</w:t>
            </w:r>
          </w:p>
          <w:p w14:paraId="5860441A">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现有工程原辅材料</w:t>
            </w:r>
          </w:p>
          <w:tbl>
            <w:tblPr>
              <w:tblStyle w:val="28"/>
              <w:tblW w:w="4998"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34"/>
              <w:gridCol w:w="3465"/>
              <w:gridCol w:w="1219"/>
              <w:gridCol w:w="2433"/>
            </w:tblGrid>
            <w:tr w14:paraId="2480D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rPr>
              <w:tc>
                <w:tcPr>
                  <w:tcW w:w="46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80EDF5E">
                  <w:pPr>
                    <w:keepNext w:val="0"/>
                    <w:keepLines w:val="0"/>
                    <w:pageBreakBefore/>
                    <w:widowControl/>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序号</w:t>
                  </w:r>
                </w:p>
              </w:tc>
              <w:tc>
                <w:tcPr>
                  <w:tcW w:w="220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159E6417">
                  <w:pPr>
                    <w:keepNext w:val="0"/>
                    <w:keepLines w:val="0"/>
                    <w:pageBreakBefore/>
                    <w:widowControl/>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名称</w:t>
                  </w:r>
                </w:p>
              </w:tc>
              <w:tc>
                <w:tcPr>
                  <w:tcW w:w="77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A4C31CB">
                  <w:pPr>
                    <w:keepNext w:val="0"/>
                    <w:keepLines w:val="0"/>
                    <w:pageBreakBefore/>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年用量</w:t>
                  </w:r>
                </w:p>
              </w:tc>
              <w:tc>
                <w:tcPr>
                  <w:tcW w:w="154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47266B0">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储存位置</w:t>
                  </w:r>
                </w:p>
              </w:tc>
            </w:tr>
            <w:tr w14:paraId="135DC8F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rPr>
              <w:tc>
                <w:tcPr>
                  <w:tcW w:w="46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347427E">
                  <w:pPr>
                    <w:keepNext w:val="0"/>
                    <w:keepLines w:val="0"/>
                    <w:pageBreakBefore/>
                    <w:widowControl/>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220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547BCF1">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脱硫石膏（含水率</w:t>
                  </w:r>
                  <w:r>
                    <w:rPr>
                      <w:rFonts w:hint="eastAsia" w:cs="Times New Roman"/>
                      <w:color w:val="auto"/>
                      <w:sz w:val="21"/>
                      <w:szCs w:val="21"/>
                      <w:lang w:eastAsia="zh-CN" w:bidi="ar"/>
                    </w:rPr>
                    <w:t>10%—17%</w:t>
                  </w:r>
                  <w:r>
                    <w:rPr>
                      <w:rFonts w:hint="default" w:ascii="Times New Roman" w:hAnsi="Times New Roman" w:cs="Times New Roman"/>
                      <w:color w:val="auto"/>
                      <w:sz w:val="21"/>
                      <w:szCs w:val="21"/>
                      <w:lang w:bidi="ar"/>
                    </w:rPr>
                    <w:t>）</w:t>
                  </w:r>
                </w:p>
              </w:tc>
              <w:tc>
                <w:tcPr>
                  <w:tcW w:w="77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5D02DFF">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1</w:t>
                  </w:r>
                  <w:r>
                    <w:rPr>
                      <w:rFonts w:hint="eastAsia" w:cs="Times New Roman"/>
                      <w:color w:val="auto"/>
                      <w:sz w:val="21"/>
                      <w:szCs w:val="21"/>
                      <w:lang w:val="en-US" w:eastAsia="zh-CN" w:bidi="ar"/>
                    </w:rPr>
                    <w:t>4.1</w:t>
                  </w:r>
                  <w:r>
                    <w:rPr>
                      <w:rFonts w:hint="default" w:ascii="Times New Roman" w:hAnsi="Times New Roman" w:cs="Times New Roman"/>
                      <w:color w:val="auto"/>
                      <w:sz w:val="21"/>
                      <w:szCs w:val="21"/>
                      <w:lang w:bidi="ar"/>
                    </w:rPr>
                    <w:t>万吨</w:t>
                  </w:r>
                </w:p>
              </w:tc>
              <w:tc>
                <w:tcPr>
                  <w:tcW w:w="154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3D97C6B">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分区存放，仓库封闭</w:t>
                  </w:r>
                </w:p>
              </w:tc>
            </w:tr>
            <w:tr w14:paraId="18418E2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rPr>
              <w:tc>
                <w:tcPr>
                  <w:tcW w:w="46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776F2FD9">
                  <w:pPr>
                    <w:keepNext w:val="0"/>
                    <w:keepLines w:val="0"/>
                    <w:pageBreakBefore/>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w:t>
                  </w:r>
                </w:p>
              </w:tc>
              <w:tc>
                <w:tcPr>
                  <w:tcW w:w="220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2ED319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破陶瓷砖拋光泥</w:t>
                  </w:r>
                </w:p>
              </w:tc>
              <w:tc>
                <w:tcPr>
                  <w:tcW w:w="77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564E039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eastAsia" w:cs="Times New Roman"/>
                      <w:color w:val="auto"/>
                      <w:sz w:val="21"/>
                      <w:szCs w:val="21"/>
                      <w:lang w:val="en-US" w:eastAsia="zh-CN" w:bidi="ar"/>
                    </w:rPr>
                    <w:t>34</w:t>
                  </w:r>
                  <w:r>
                    <w:rPr>
                      <w:rFonts w:hint="default" w:ascii="Times New Roman" w:hAnsi="Times New Roman" w:cs="Times New Roman"/>
                      <w:color w:val="auto"/>
                      <w:sz w:val="21"/>
                      <w:szCs w:val="21"/>
                      <w:lang w:bidi="ar"/>
                    </w:rPr>
                    <w:t>万吨</w:t>
                  </w:r>
                </w:p>
              </w:tc>
              <w:tc>
                <w:tcPr>
                  <w:tcW w:w="154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2F7383C1">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分区存放，仓库封闭</w:t>
                  </w:r>
                </w:p>
              </w:tc>
            </w:tr>
            <w:tr w14:paraId="4E5D9A9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467"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7B0A10A">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220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44FE0409">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建筑废料（含水率10%以下）</w:t>
                  </w:r>
                </w:p>
              </w:tc>
              <w:tc>
                <w:tcPr>
                  <w:tcW w:w="776" w:type="pct"/>
                  <w:tcBorders>
                    <w:top w:val="single" w:color="auto" w:sz="2" w:space="0"/>
                    <w:left w:val="single" w:color="auto" w:sz="2" w:space="0"/>
                    <w:bottom w:val="single" w:color="auto" w:sz="2" w:space="0"/>
                    <w:right w:val="single" w:color="auto" w:sz="2" w:space="0"/>
                    <w:tl2br w:val="nil"/>
                    <w:tr2bl w:val="nil"/>
                  </w:tcBorders>
                  <w:noWrap w:val="0"/>
                  <w:vAlign w:val="center"/>
                </w:tcPr>
                <w:p w14:paraId="6736C36B">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30万吨</w:t>
                  </w:r>
                </w:p>
              </w:tc>
              <w:tc>
                <w:tcPr>
                  <w:tcW w:w="1549" w:type="pct"/>
                  <w:tcBorders>
                    <w:top w:val="single" w:color="auto" w:sz="2" w:space="0"/>
                    <w:left w:val="single" w:color="auto" w:sz="2" w:space="0"/>
                    <w:bottom w:val="single" w:color="auto" w:sz="2" w:space="0"/>
                    <w:right w:val="single" w:color="auto" w:sz="2" w:space="0"/>
                    <w:tl2br w:val="nil"/>
                    <w:tr2bl w:val="nil"/>
                  </w:tcBorders>
                  <w:noWrap w:val="0"/>
                  <w:vAlign w:val="center"/>
                </w:tcPr>
                <w:p w14:paraId="06821566">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分区存放，仓库封闭</w:t>
                  </w:r>
                </w:p>
              </w:tc>
            </w:tr>
            <w:tr w14:paraId="63A2282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4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E30F4F3">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4</w:t>
                  </w:r>
                </w:p>
              </w:tc>
              <w:tc>
                <w:tcPr>
                  <w:tcW w:w="2206"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445FA02">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cs="Times New Roman"/>
                      <w:color w:val="auto"/>
                      <w:sz w:val="21"/>
                      <w:szCs w:val="21"/>
                      <w:lang w:bidi="ar"/>
                    </w:rPr>
                    <w:t>水泥</w:t>
                  </w:r>
                </w:p>
              </w:tc>
              <w:tc>
                <w:tcPr>
                  <w:tcW w:w="776"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680887C">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cs="Times New Roman"/>
                      <w:color w:val="auto"/>
                      <w:sz w:val="21"/>
                      <w:szCs w:val="21"/>
                      <w:lang w:bidi="ar"/>
                    </w:rPr>
                    <w:t>6万吨</w:t>
                  </w:r>
                </w:p>
              </w:tc>
              <w:tc>
                <w:tcPr>
                  <w:tcW w:w="1549"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1E7D7DC">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cs="Times New Roman"/>
                      <w:color w:val="auto"/>
                      <w:sz w:val="21"/>
                      <w:szCs w:val="21"/>
                      <w:lang w:val="en-US" w:eastAsia="zh-CN" w:bidi="ar"/>
                    </w:rPr>
                  </w:pPr>
                  <w:r>
                    <w:rPr>
                      <w:rFonts w:hint="default" w:ascii="Times New Roman" w:hAnsi="Times New Roman" w:cs="Times New Roman"/>
                      <w:color w:val="auto"/>
                      <w:sz w:val="21"/>
                      <w:szCs w:val="21"/>
                      <w:lang w:val="en-US" w:eastAsia="zh-CN" w:bidi="ar"/>
                    </w:rPr>
                    <w:t>分区存放，水泥筒</w:t>
                  </w:r>
                </w:p>
              </w:tc>
            </w:tr>
            <w:tr w14:paraId="70EC145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rPr>
              <w:tc>
                <w:tcPr>
                  <w:tcW w:w="4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0E94A64">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5</w:t>
                  </w:r>
                </w:p>
              </w:tc>
              <w:tc>
                <w:tcPr>
                  <w:tcW w:w="2206"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3E83143">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cs="Times New Roman"/>
                      <w:color w:val="auto"/>
                      <w:sz w:val="21"/>
                      <w:szCs w:val="21"/>
                      <w:lang w:bidi="ar"/>
                    </w:rPr>
                    <w:t>钙质添加剂</w:t>
                  </w:r>
                </w:p>
              </w:tc>
              <w:tc>
                <w:tcPr>
                  <w:tcW w:w="776"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21FFEAA8">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cs="Times New Roman"/>
                      <w:color w:val="auto"/>
                      <w:sz w:val="21"/>
                      <w:szCs w:val="21"/>
                      <w:lang w:bidi="ar"/>
                    </w:rPr>
                    <w:t>6000吨</w:t>
                  </w:r>
                </w:p>
              </w:tc>
              <w:tc>
                <w:tcPr>
                  <w:tcW w:w="1549"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370F1D32">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w:t>
                  </w:r>
                </w:p>
              </w:tc>
            </w:tr>
            <w:tr w14:paraId="283FA71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4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2C6E23E">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6</w:t>
                  </w:r>
                </w:p>
              </w:tc>
              <w:tc>
                <w:tcPr>
                  <w:tcW w:w="2206"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5609E61B">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cs="Times New Roman"/>
                      <w:color w:val="auto"/>
                      <w:sz w:val="21"/>
                      <w:szCs w:val="21"/>
                      <w:lang w:bidi="ar"/>
                    </w:rPr>
                    <w:t>固化剂</w:t>
                  </w:r>
                </w:p>
              </w:tc>
              <w:tc>
                <w:tcPr>
                  <w:tcW w:w="776"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AB7E31B">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cs="Times New Roman"/>
                      <w:color w:val="auto"/>
                      <w:sz w:val="21"/>
                      <w:szCs w:val="21"/>
                      <w:lang w:val="en-US" w:eastAsia="zh-CN" w:bidi="ar"/>
                    </w:rPr>
                    <w:t>7</w:t>
                  </w:r>
                  <w:r>
                    <w:rPr>
                      <w:rFonts w:hint="eastAsia" w:ascii="Times New Roman" w:hAnsi="Times New Roman" w:cs="Times New Roman"/>
                      <w:color w:val="auto"/>
                      <w:sz w:val="21"/>
                      <w:szCs w:val="21"/>
                      <w:lang w:val="en-US" w:eastAsia="zh-CN" w:bidi="ar"/>
                    </w:rPr>
                    <w:t>00</w:t>
                  </w:r>
                  <w:r>
                    <w:rPr>
                      <w:rFonts w:hint="default" w:ascii="Times New Roman" w:hAnsi="Times New Roman" w:cs="Times New Roman"/>
                      <w:color w:val="auto"/>
                      <w:sz w:val="21"/>
                      <w:szCs w:val="21"/>
                      <w:lang w:bidi="ar"/>
                    </w:rPr>
                    <w:t>0吨</w:t>
                  </w:r>
                </w:p>
              </w:tc>
              <w:tc>
                <w:tcPr>
                  <w:tcW w:w="1549"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119D5075">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w:t>
                  </w:r>
                </w:p>
              </w:tc>
            </w:tr>
            <w:tr w14:paraId="6E2C29C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 w:hRule="atLeast"/>
              </w:trPr>
              <w:tc>
                <w:tcPr>
                  <w:tcW w:w="467"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7903A663">
                  <w:pPr>
                    <w:keepNext w:val="0"/>
                    <w:keepLines w:val="0"/>
                    <w:pageBreakBefore/>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7</w:t>
                  </w:r>
                </w:p>
              </w:tc>
              <w:tc>
                <w:tcPr>
                  <w:tcW w:w="2206"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7E5FB7B">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eastAsia" w:cs="Times New Roman"/>
                      <w:color w:val="auto"/>
                      <w:sz w:val="21"/>
                      <w:szCs w:val="21"/>
                      <w:lang w:val="en-US" w:eastAsia="zh-CN" w:bidi="ar"/>
                    </w:rPr>
                    <w:t>水</w:t>
                  </w:r>
                </w:p>
              </w:tc>
              <w:tc>
                <w:tcPr>
                  <w:tcW w:w="776"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62A781D7">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cs="Times New Roman"/>
                      <w:color w:val="auto"/>
                      <w:sz w:val="21"/>
                      <w:szCs w:val="21"/>
                      <w:lang w:val="en-US" w:eastAsia="zh-CN" w:bidi="ar"/>
                    </w:rPr>
                    <w:t>64458吨</w:t>
                  </w:r>
                </w:p>
              </w:tc>
              <w:tc>
                <w:tcPr>
                  <w:tcW w:w="1549" w:type="pct"/>
                  <w:tcBorders>
                    <w:top w:val="single" w:color="auto" w:sz="2" w:space="0"/>
                    <w:left w:val="single" w:color="auto" w:sz="2" w:space="0"/>
                    <w:bottom w:val="single" w:color="auto" w:sz="2" w:space="0"/>
                    <w:right w:val="single" w:color="auto" w:sz="2" w:space="0"/>
                    <w:tl2br w:val="nil"/>
                    <w:tr2bl w:val="nil"/>
                  </w:tcBorders>
                  <w:shd w:val="clear" w:color="auto" w:fill="auto"/>
                  <w:noWrap w:val="0"/>
                  <w:vAlign w:val="center"/>
                </w:tcPr>
                <w:p w14:paraId="01DEDB38">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w:t>
                  </w:r>
                </w:p>
              </w:tc>
            </w:tr>
          </w:tbl>
          <w:p w14:paraId="28C1127E">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2" w:firstLineChars="200"/>
              <w:rPr>
                <w:rFonts w:hint="eastAsia" w:ascii="Times New Roman" w:hAnsi="Times New Roman" w:eastAsia="宋体" w:cs="Times New Roman"/>
                <w:b/>
                <w:color w:val="auto"/>
                <w:sz w:val="24"/>
                <w:szCs w:val="24"/>
                <w:lang w:val="en-US" w:eastAsia="zh-CN"/>
              </w:rPr>
            </w:pPr>
            <w:r>
              <w:rPr>
                <w:rFonts w:hint="eastAsia" w:cs="Times New Roman"/>
                <w:b/>
                <w:color w:val="auto"/>
                <w:kern w:val="2"/>
                <w:sz w:val="24"/>
                <w:szCs w:val="24"/>
                <w:lang w:val="en-US" w:eastAsia="zh-CN" w:bidi="ar-SA"/>
              </w:rPr>
              <w:t>三</w:t>
            </w:r>
            <w:r>
              <w:rPr>
                <w:rFonts w:hint="eastAsia" w:ascii="Times New Roman" w:hAnsi="Times New Roman" w:eastAsia="宋体" w:cs="Times New Roman"/>
                <w:b/>
                <w:color w:val="auto"/>
                <w:kern w:val="2"/>
                <w:sz w:val="24"/>
                <w:szCs w:val="24"/>
                <w:lang w:val="en-US" w:eastAsia="zh-CN" w:bidi="ar-SA"/>
              </w:rPr>
              <w:t>、</w:t>
            </w:r>
            <w:r>
              <w:rPr>
                <w:rFonts w:hint="eastAsia" w:ascii="Times New Roman" w:hAnsi="Times New Roman" w:eastAsia="宋体" w:cs="Times New Roman"/>
                <w:b/>
                <w:color w:val="auto"/>
                <w:sz w:val="24"/>
                <w:szCs w:val="24"/>
                <w:lang w:val="en-US" w:eastAsia="zh-CN"/>
              </w:rPr>
              <w:t>现有工程污染物排放情况</w:t>
            </w:r>
          </w:p>
          <w:p w14:paraId="13DB70F9">
            <w:pPr>
              <w:keepNext w:val="0"/>
              <w:keepLines w:val="0"/>
              <w:pageBreakBefore/>
              <w:widowControl/>
              <w:suppressLineNumbers w:val="0"/>
              <w:spacing w:before="0" w:beforeLines="0" w:beforeAutospacing="0" w:after="0" w:afterLines="0" w:afterAutospacing="0"/>
              <w:ind w:left="0" w:right="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根据江西明森环保科技有限公司于2024年12月出具的《江西中源再生资源利用有限公司一般工业固废再生利用建设项目环境影响报告表》，项目变更后污染排放情况如下：</w:t>
            </w:r>
          </w:p>
          <w:p w14:paraId="1016253E">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项目变更前后污染物排放情况（t/a）</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1307"/>
              <w:gridCol w:w="1306"/>
              <w:gridCol w:w="1306"/>
              <w:gridCol w:w="1306"/>
              <w:gridCol w:w="1306"/>
            </w:tblGrid>
            <w:tr w14:paraId="229CD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vAlign w:val="center"/>
                </w:tcPr>
                <w:p w14:paraId="3C9044BA">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类别</w:t>
                  </w:r>
                </w:p>
              </w:tc>
              <w:tc>
                <w:tcPr>
                  <w:tcW w:w="1307" w:type="dxa"/>
                  <w:vAlign w:val="center"/>
                </w:tcPr>
                <w:p w14:paraId="1AF52F57">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污染物名称</w:t>
                  </w:r>
                </w:p>
              </w:tc>
              <w:tc>
                <w:tcPr>
                  <w:tcW w:w="1306" w:type="dxa"/>
                  <w:vAlign w:val="center"/>
                </w:tcPr>
                <w:p w14:paraId="6AB2EA8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变更前排放量</w:t>
                  </w:r>
                </w:p>
              </w:tc>
              <w:tc>
                <w:tcPr>
                  <w:tcW w:w="1306" w:type="dxa"/>
                  <w:vAlign w:val="center"/>
                </w:tcPr>
                <w:p w14:paraId="3D65730B">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变更后排放量</w:t>
                  </w:r>
                </w:p>
              </w:tc>
              <w:tc>
                <w:tcPr>
                  <w:tcW w:w="1306" w:type="dxa"/>
                  <w:vAlign w:val="center"/>
                </w:tcPr>
                <w:p w14:paraId="755B7FBC">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变动情况</w:t>
                  </w:r>
                </w:p>
              </w:tc>
              <w:tc>
                <w:tcPr>
                  <w:tcW w:w="1306" w:type="dxa"/>
                  <w:vAlign w:val="center"/>
                </w:tcPr>
                <w:p w14:paraId="73061927">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百分比/%</w:t>
                  </w:r>
                </w:p>
              </w:tc>
            </w:tr>
            <w:tr w14:paraId="7E4A9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vMerge w:val="restart"/>
                  <w:vAlign w:val="center"/>
                </w:tcPr>
                <w:p w14:paraId="35200C9B">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废气</w:t>
                  </w:r>
                </w:p>
              </w:tc>
              <w:tc>
                <w:tcPr>
                  <w:tcW w:w="1307" w:type="dxa"/>
                  <w:vAlign w:val="center"/>
                </w:tcPr>
                <w:p w14:paraId="3D05A0E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颗粒物</w:t>
                  </w:r>
                </w:p>
              </w:tc>
              <w:tc>
                <w:tcPr>
                  <w:tcW w:w="1306" w:type="dxa"/>
                  <w:vAlign w:val="center"/>
                </w:tcPr>
                <w:p w14:paraId="01FF2B17">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2.513</w:t>
                  </w:r>
                </w:p>
              </w:tc>
              <w:tc>
                <w:tcPr>
                  <w:tcW w:w="1306" w:type="dxa"/>
                  <w:vAlign w:val="center"/>
                </w:tcPr>
                <w:p w14:paraId="002DDB3B">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3.321</w:t>
                  </w:r>
                </w:p>
              </w:tc>
              <w:tc>
                <w:tcPr>
                  <w:tcW w:w="1306" w:type="dxa"/>
                  <w:vAlign w:val="center"/>
                </w:tcPr>
                <w:p w14:paraId="2CAA5EB2">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+0.808</w:t>
                  </w:r>
                </w:p>
              </w:tc>
              <w:tc>
                <w:tcPr>
                  <w:tcW w:w="1306" w:type="dxa"/>
                  <w:vAlign w:val="center"/>
                </w:tcPr>
                <w:p w14:paraId="6EED7585">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+32.15</w:t>
                  </w:r>
                </w:p>
              </w:tc>
            </w:tr>
            <w:tr w14:paraId="0B172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vMerge w:val="continue"/>
                  <w:vAlign w:val="center"/>
                </w:tcPr>
                <w:p w14:paraId="071CA7E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p>
              </w:tc>
              <w:tc>
                <w:tcPr>
                  <w:tcW w:w="1307" w:type="dxa"/>
                  <w:vAlign w:val="center"/>
                </w:tcPr>
                <w:p w14:paraId="643D83E0">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氟化物</w:t>
                  </w:r>
                </w:p>
              </w:tc>
              <w:tc>
                <w:tcPr>
                  <w:tcW w:w="1306" w:type="dxa"/>
                  <w:vAlign w:val="center"/>
                </w:tcPr>
                <w:p w14:paraId="76753E13">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cs="Times New Roman"/>
                      <w:color w:val="auto"/>
                      <w:lang w:val="en-US" w:eastAsia="zh-CN"/>
                    </w:rPr>
                    <w:t>/</w:t>
                  </w:r>
                </w:p>
              </w:tc>
              <w:tc>
                <w:tcPr>
                  <w:tcW w:w="1306" w:type="dxa"/>
                  <w:vAlign w:val="center"/>
                </w:tcPr>
                <w:p w14:paraId="26B12C0E">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0.0424</w:t>
                  </w:r>
                </w:p>
              </w:tc>
              <w:tc>
                <w:tcPr>
                  <w:tcW w:w="1306" w:type="dxa"/>
                  <w:vAlign w:val="center"/>
                </w:tcPr>
                <w:p w14:paraId="5CDF4EB2">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+0.0424</w:t>
                  </w:r>
                </w:p>
              </w:tc>
              <w:tc>
                <w:tcPr>
                  <w:tcW w:w="1306" w:type="dxa"/>
                  <w:vAlign w:val="center"/>
                </w:tcPr>
                <w:p w14:paraId="6E787B5C">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100</w:t>
                  </w:r>
                </w:p>
              </w:tc>
            </w:tr>
            <w:tr w14:paraId="71DB8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vMerge w:val="restart"/>
                  <w:vAlign w:val="center"/>
                </w:tcPr>
                <w:p w14:paraId="4279D67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废水</w:t>
                  </w:r>
                </w:p>
              </w:tc>
              <w:tc>
                <w:tcPr>
                  <w:tcW w:w="1307" w:type="dxa"/>
                  <w:vAlign w:val="center"/>
                </w:tcPr>
                <w:p w14:paraId="26C4A3A3">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lang w:val="en-US" w:eastAsia="zh-CN"/>
                    </w:rPr>
                    <w:t>CODcr</w:t>
                  </w:r>
                </w:p>
              </w:tc>
              <w:tc>
                <w:tcPr>
                  <w:tcW w:w="1306" w:type="dxa"/>
                  <w:vAlign w:val="center"/>
                </w:tcPr>
                <w:p w14:paraId="2D112795">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0.672</w:t>
                  </w:r>
                </w:p>
              </w:tc>
              <w:tc>
                <w:tcPr>
                  <w:tcW w:w="1306" w:type="dxa"/>
                  <w:vAlign w:val="center"/>
                </w:tcPr>
                <w:p w14:paraId="2F475530">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lang w:val="en-US" w:eastAsia="zh-CN" w:bidi="ar"/>
                    </w:rPr>
                  </w:pPr>
                  <w:r>
                    <w:rPr>
                      <w:rFonts w:hint="eastAsia"/>
                      <w:color w:val="auto"/>
                      <w:lang w:val="en-US" w:eastAsia="zh-CN"/>
                    </w:rPr>
                    <w:t>0.144</w:t>
                  </w:r>
                </w:p>
              </w:tc>
              <w:tc>
                <w:tcPr>
                  <w:tcW w:w="1306" w:type="dxa"/>
                  <w:vAlign w:val="center"/>
                </w:tcPr>
                <w:p w14:paraId="4070853F">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w:t>
                  </w:r>
                  <w:r>
                    <w:rPr>
                      <w:rFonts w:hint="default" w:ascii="Times New Roman" w:hAnsi="Times New Roman" w:eastAsia="宋体" w:cs="Times New Roman"/>
                      <w:color w:val="auto"/>
                      <w:sz w:val="21"/>
                      <w:szCs w:val="21"/>
                      <w:lang w:val="en-US" w:eastAsia="zh-CN" w:bidi="ar"/>
                    </w:rPr>
                    <w:t>0.528</w:t>
                  </w:r>
                </w:p>
              </w:tc>
              <w:tc>
                <w:tcPr>
                  <w:tcW w:w="1306" w:type="dxa"/>
                  <w:vAlign w:val="center"/>
                </w:tcPr>
                <w:p w14:paraId="10AF0ED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w:t>
                  </w:r>
                  <w:r>
                    <w:rPr>
                      <w:rFonts w:hint="default" w:ascii="Times New Roman" w:hAnsi="Times New Roman" w:eastAsia="宋体" w:cs="Times New Roman"/>
                      <w:color w:val="auto"/>
                      <w:sz w:val="21"/>
                      <w:szCs w:val="21"/>
                      <w:lang w:val="en-US" w:eastAsia="zh-CN" w:bidi="ar"/>
                    </w:rPr>
                    <w:t xml:space="preserve">78.57 </w:t>
                  </w:r>
                </w:p>
              </w:tc>
            </w:tr>
            <w:tr w14:paraId="3ECC1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vMerge w:val="continue"/>
                  <w:vAlign w:val="center"/>
                </w:tcPr>
                <w:p w14:paraId="4304045B">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p>
              </w:tc>
              <w:tc>
                <w:tcPr>
                  <w:tcW w:w="1307" w:type="dxa"/>
                  <w:vAlign w:val="center"/>
                </w:tcPr>
                <w:p w14:paraId="2A4F2416">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lang w:val="en-US" w:eastAsia="zh-CN"/>
                    </w:rPr>
                    <w:t>BOD</w:t>
                  </w:r>
                  <w:r>
                    <w:rPr>
                      <w:rFonts w:hint="eastAsia" w:cs="Times New Roman"/>
                      <w:color w:val="auto"/>
                      <w:vertAlign w:val="subscript"/>
                      <w:lang w:val="en-US" w:eastAsia="zh-CN"/>
                    </w:rPr>
                    <w:t>5</w:t>
                  </w:r>
                </w:p>
              </w:tc>
              <w:tc>
                <w:tcPr>
                  <w:tcW w:w="1306" w:type="dxa"/>
                  <w:vAlign w:val="center"/>
                </w:tcPr>
                <w:p w14:paraId="09F31DD9">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0.2304</w:t>
                  </w:r>
                </w:p>
              </w:tc>
              <w:tc>
                <w:tcPr>
                  <w:tcW w:w="1306" w:type="dxa"/>
                  <w:vAlign w:val="center"/>
                </w:tcPr>
                <w:p w14:paraId="2E2645A7">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lang w:val="en-US" w:eastAsia="zh-CN" w:bidi="ar"/>
                    </w:rPr>
                  </w:pPr>
                  <w:r>
                    <w:rPr>
                      <w:rFonts w:hint="eastAsia" w:cs="Times New Roman"/>
                      <w:color w:val="auto"/>
                      <w:lang w:val="en-US" w:eastAsia="zh-CN"/>
                    </w:rPr>
                    <w:t>0.081</w:t>
                  </w:r>
                </w:p>
              </w:tc>
              <w:tc>
                <w:tcPr>
                  <w:tcW w:w="1306" w:type="dxa"/>
                  <w:vAlign w:val="center"/>
                </w:tcPr>
                <w:p w14:paraId="1221705A">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w:t>
                  </w:r>
                  <w:r>
                    <w:rPr>
                      <w:rFonts w:hint="default" w:ascii="Times New Roman" w:hAnsi="Times New Roman" w:eastAsia="宋体" w:cs="Times New Roman"/>
                      <w:color w:val="auto"/>
                      <w:sz w:val="21"/>
                      <w:szCs w:val="21"/>
                      <w:lang w:val="en-US" w:eastAsia="zh-CN" w:bidi="ar"/>
                    </w:rPr>
                    <w:t>0.1494</w:t>
                  </w:r>
                </w:p>
              </w:tc>
              <w:tc>
                <w:tcPr>
                  <w:tcW w:w="1306" w:type="dxa"/>
                  <w:vAlign w:val="center"/>
                </w:tcPr>
                <w:p w14:paraId="13F1203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w:t>
                  </w:r>
                  <w:r>
                    <w:rPr>
                      <w:rFonts w:hint="default" w:ascii="Times New Roman" w:hAnsi="Times New Roman" w:eastAsia="宋体" w:cs="Times New Roman"/>
                      <w:color w:val="auto"/>
                      <w:sz w:val="21"/>
                      <w:szCs w:val="21"/>
                      <w:lang w:val="en-US" w:eastAsia="zh-CN" w:bidi="ar"/>
                    </w:rPr>
                    <w:t xml:space="preserve">64.84 </w:t>
                  </w:r>
                </w:p>
              </w:tc>
            </w:tr>
            <w:tr w14:paraId="286DF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vMerge w:val="continue"/>
                  <w:vAlign w:val="center"/>
                </w:tcPr>
                <w:p w14:paraId="29B4F85B">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p>
              </w:tc>
              <w:tc>
                <w:tcPr>
                  <w:tcW w:w="1307" w:type="dxa"/>
                  <w:vAlign w:val="center"/>
                </w:tcPr>
                <w:p w14:paraId="22D5D242">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lang w:val="en-US" w:eastAsia="zh-CN"/>
                    </w:rPr>
                    <w:t>NH</w:t>
                  </w:r>
                  <w:r>
                    <w:rPr>
                      <w:rFonts w:hint="eastAsia" w:cs="Times New Roman"/>
                      <w:color w:val="auto"/>
                      <w:vertAlign w:val="subscript"/>
                      <w:lang w:val="en-US" w:eastAsia="zh-CN"/>
                    </w:rPr>
                    <w:t>3</w:t>
                  </w:r>
                  <w:r>
                    <w:rPr>
                      <w:rFonts w:hint="eastAsia" w:cs="Times New Roman"/>
                      <w:color w:val="auto"/>
                      <w:lang w:val="en-US" w:eastAsia="zh-CN"/>
                    </w:rPr>
                    <w:t>-N</w:t>
                  </w:r>
                </w:p>
              </w:tc>
              <w:tc>
                <w:tcPr>
                  <w:tcW w:w="1306" w:type="dxa"/>
                  <w:vAlign w:val="center"/>
                </w:tcPr>
                <w:p w14:paraId="7A1F259C">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0.2044</w:t>
                  </w:r>
                </w:p>
              </w:tc>
              <w:tc>
                <w:tcPr>
                  <w:tcW w:w="1306" w:type="dxa"/>
                  <w:vAlign w:val="center"/>
                </w:tcPr>
                <w:p w14:paraId="2C22695B">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lang w:val="en-US" w:eastAsia="zh-CN" w:bidi="ar"/>
                    </w:rPr>
                  </w:pPr>
                  <w:r>
                    <w:rPr>
                      <w:rFonts w:hint="eastAsia" w:cs="Times New Roman"/>
                      <w:color w:val="auto"/>
                      <w:lang w:val="en-US" w:eastAsia="zh-CN"/>
                    </w:rPr>
                    <w:t>0.014</w:t>
                  </w:r>
                </w:p>
              </w:tc>
              <w:tc>
                <w:tcPr>
                  <w:tcW w:w="1306" w:type="dxa"/>
                  <w:vAlign w:val="center"/>
                </w:tcPr>
                <w:p w14:paraId="7CCB749F">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w:t>
                  </w:r>
                  <w:r>
                    <w:rPr>
                      <w:rFonts w:hint="default" w:ascii="Times New Roman" w:hAnsi="Times New Roman" w:eastAsia="宋体" w:cs="Times New Roman"/>
                      <w:color w:val="auto"/>
                      <w:sz w:val="21"/>
                      <w:szCs w:val="21"/>
                      <w:lang w:val="en-US" w:eastAsia="zh-CN" w:bidi="ar"/>
                    </w:rPr>
                    <w:t>0.1904</w:t>
                  </w:r>
                </w:p>
              </w:tc>
              <w:tc>
                <w:tcPr>
                  <w:tcW w:w="1306" w:type="dxa"/>
                  <w:vAlign w:val="center"/>
                </w:tcPr>
                <w:p w14:paraId="7D2B3DDA">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w:t>
                  </w:r>
                  <w:r>
                    <w:rPr>
                      <w:rFonts w:hint="default" w:ascii="Times New Roman" w:hAnsi="Times New Roman" w:eastAsia="宋体" w:cs="Times New Roman"/>
                      <w:color w:val="auto"/>
                      <w:sz w:val="21"/>
                      <w:szCs w:val="21"/>
                      <w:lang w:val="en-US" w:eastAsia="zh-CN" w:bidi="ar"/>
                    </w:rPr>
                    <w:t xml:space="preserve">93.15 </w:t>
                  </w:r>
                </w:p>
              </w:tc>
            </w:tr>
            <w:tr w14:paraId="2058D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05" w:type="dxa"/>
                  <w:vMerge w:val="continue"/>
                  <w:vAlign w:val="center"/>
                </w:tcPr>
                <w:p w14:paraId="56281F7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p>
              </w:tc>
              <w:tc>
                <w:tcPr>
                  <w:tcW w:w="1307" w:type="dxa"/>
                  <w:vAlign w:val="center"/>
                </w:tcPr>
                <w:p w14:paraId="271282F6">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lang w:val="en-US" w:eastAsia="zh-CN"/>
                    </w:rPr>
                    <w:t>SS</w:t>
                  </w:r>
                </w:p>
              </w:tc>
              <w:tc>
                <w:tcPr>
                  <w:tcW w:w="1306" w:type="dxa"/>
                  <w:vAlign w:val="center"/>
                </w:tcPr>
                <w:p w14:paraId="5D9EFC47">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0.432</w:t>
                  </w:r>
                </w:p>
              </w:tc>
              <w:tc>
                <w:tcPr>
                  <w:tcW w:w="1306" w:type="dxa"/>
                  <w:vAlign w:val="center"/>
                </w:tcPr>
                <w:p w14:paraId="0E776BD8">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lang w:val="en-US" w:eastAsia="zh-CN" w:bidi="ar"/>
                    </w:rPr>
                  </w:pPr>
                  <w:r>
                    <w:rPr>
                      <w:rFonts w:hint="eastAsia" w:cs="Times New Roman"/>
                      <w:color w:val="auto"/>
                      <w:lang w:val="en-US" w:eastAsia="zh-CN"/>
                    </w:rPr>
                    <w:t>0.108</w:t>
                  </w:r>
                </w:p>
              </w:tc>
              <w:tc>
                <w:tcPr>
                  <w:tcW w:w="1306" w:type="dxa"/>
                  <w:vAlign w:val="center"/>
                </w:tcPr>
                <w:p w14:paraId="160055AF">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w:t>
                  </w:r>
                  <w:r>
                    <w:rPr>
                      <w:rFonts w:hint="default" w:ascii="Times New Roman" w:hAnsi="Times New Roman" w:eastAsia="宋体" w:cs="Times New Roman"/>
                      <w:color w:val="auto"/>
                      <w:sz w:val="21"/>
                      <w:szCs w:val="21"/>
                      <w:lang w:val="en-US" w:eastAsia="zh-CN" w:bidi="ar"/>
                    </w:rPr>
                    <w:t>0.324</w:t>
                  </w:r>
                </w:p>
              </w:tc>
              <w:tc>
                <w:tcPr>
                  <w:tcW w:w="1306" w:type="dxa"/>
                  <w:vAlign w:val="center"/>
                </w:tcPr>
                <w:p w14:paraId="46785D29">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w:t>
                  </w:r>
                  <w:r>
                    <w:rPr>
                      <w:rFonts w:hint="default" w:ascii="Times New Roman" w:hAnsi="Times New Roman" w:eastAsia="宋体" w:cs="Times New Roman"/>
                      <w:color w:val="auto"/>
                      <w:sz w:val="21"/>
                      <w:szCs w:val="21"/>
                      <w:lang w:val="en-US" w:eastAsia="zh-CN" w:bidi="ar"/>
                    </w:rPr>
                    <w:t xml:space="preserve">75.00 </w:t>
                  </w:r>
                </w:p>
              </w:tc>
            </w:tr>
            <w:tr w14:paraId="7903F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vMerge w:val="continue"/>
                  <w:vAlign w:val="center"/>
                </w:tcPr>
                <w:p w14:paraId="5BE954BB">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p>
              </w:tc>
              <w:tc>
                <w:tcPr>
                  <w:tcW w:w="1307" w:type="dxa"/>
                  <w:vAlign w:val="center"/>
                </w:tcPr>
                <w:p w14:paraId="2EA834DC">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lang w:val="en-US" w:eastAsia="zh-CN"/>
                    </w:rPr>
                    <w:t>TP</w:t>
                  </w:r>
                </w:p>
              </w:tc>
              <w:tc>
                <w:tcPr>
                  <w:tcW w:w="1306" w:type="dxa"/>
                  <w:vAlign w:val="center"/>
                </w:tcPr>
                <w:p w14:paraId="0D9E60A2">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0.0023</w:t>
                  </w:r>
                </w:p>
              </w:tc>
              <w:tc>
                <w:tcPr>
                  <w:tcW w:w="1306" w:type="dxa"/>
                  <w:vAlign w:val="center"/>
                </w:tcPr>
                <w:p w14:paraId="38EB2EA0">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cs="Times New Roman"/>
                      <w:color w:val="auto"/>
                      <w:lang w:val="en-US" w:eastAsia="zh-CN"/>
                    </w:rPr>
                    <w:t>0.002</w:t>
                  </w:r>
                </w:p>
              </w:tc>
              <w:tc>
                <w:tcPr>
                  <w:tcW w:w="1306" w:type="dxa"/>
                  <w:vAlign w:val="center"/>
                </w:tcPr>
                <w:p w14:paraId="0935E731">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w:t>
                  </w:r>
                  <w:r>
                    <w:rPr>
                      <w:rFonts w:hint="default" w:ascii="Times New Roman" w:hAnsi="Times New Roman" w:eastAsia="宋体" w:cs="Times New Roman"/>
                      <w:color w:val="auto"/>
                      <w:sz w:val="21"/>
                      <w:szCs w:val="21"/>
                      <w:lang w:val="en-US" w:eastAsia="zh-CN" w:bidi="ar"/>
                    </w:rPr>
                    <w:t>0.0003</w:t>
                  </w:r>
                </w:p>
              </w:tc>
              <w:tc>
                <w:tcPr>
                  <w:tcW w:w="1306" w:type="dxa"/>
                  <w:vAlign w:val="center"/>
                </w:tcPr>
                <w:p w14:paraId="5C692211">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w:t>
                  </w:r>
                  <w:r>
                    <w:rPr>
                      <w:rFonts w:hint="default" w:ascii="Times New Roman" w:hAnsi="Times New Roman" w:eastAsia="宋体" w:cs="Times New Roman"/>
                      <w:color w:val="auto"/>
                      <w:sz w:val="21"/>
                      <w:szCs w:val="21"/>
                      <w:lang w:val="en-US" w:eastAsia="zh-CN" w:bidi="ar"/>
                    </w:rPr>
                    <w:t xml:space="preserve">13.04 </w:t>
                  </w:r>
                </w:p>
              </w:tc>
            </w:tr>
            <w:tr w14:paraId="0ED04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vMerge w:val="restart"/>
                  <w:vAlign w:val="center"/>
                </w:tcPr>
                <w:p w14:paraId="0975A6A0">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一般固废</w:t>
                  </w:r>
                </w:p>
              </w:tc>
              <w:tc>
                <w:tcPr>
                  <w:tcW w:w="1307" w:type="dxa"/>
                  <w:vAlign w:val="center"/>
                </w:tcPr>
                <w:p w14:paraId="2470A643">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default" w:cs="Times New Roman"/>
                      <w:color w:val="auto"/>
                      <w:lang w:val="en-US" w:eastAsia="zh-CN"/>
                    </w:rPr>
                    <w:t>布袋收集尘</w:t>
                  </w:r>
                </w:p>
              </w:tc>
              <w:tc>
                <w:tcPr>
                  <w:tcW w:w="1306" w:type="dxa"/>
                  <w:vAlign w:val="center"/>
                </w:tcPr>
                <w:p w14:paraId="7BF609AA">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44.768</w:t>
                  </w:r>
                </w:p>
              </w:tc>
              <w:tc>
                <w:tcPr>
                  <w:tcW w:w="1306" w:type="dxa"/>
                  <w:vAlign w:val="center"/>
                </w:tcPr>
                <w:p w14:paraId="7EE7C64C">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64.92</w:t>
                  </w:r>
                </w:p>
              </w:tc>
              <w:tc>
                <w:tcPr>
                  <w:tcW w:w="1306" w:type="dxa"/>
                  <w:vAlign w:val="center"/>
                </w:tcPr>
                <w:p w14:paraId="3AA063D1">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+20.152</w:t>
                  </w:r>
                </w:p>
              </w:tc>
              <w:tc>
                <w:tcPr>
                  <w:tcW w:w="1306" w:type="dxa"/>
                  <w:vAlign w:val="center"/>
                </w:tcPr>
                <w:p w14:paraId="1091D203">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+45.01</w:t>
                  </w:r>
                </w:p>
              </w:tc>
            </w:tr>
            <w:tr w14:paraId="3A728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vMerge w:val="continue"/>
                  <w:vAlign w:val="center"/>
                </w:tcPr>
                <w:p w14:paraId="1E6C90ED">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p>
              </w:tc>
              <w:tc>
                <w:tcPr>
                  <w:tcW w:w="1307" w:type="dxa"/>
                  <w:vAlign w:val="center"/>
                </w:tcPr>
                <w:p w14:paraId="1EB6D604">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default" w:cs="Times New Roman"/>
                      <w:color w:val="auto"/>
                    </w:rPr>
                    <w:t>废布袋</w:t>
                  </w:r>
                </w:p>
              </w:tc>
              <w:tc>
                <w:tcPr>
                  <w:tcW w:w="1306" w:type="dxa"/>
                  <w:vAlign w:val="center"/>
                </w:tcPr>
                <w:p w14:paraId="3300054C">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lang w:val="en-US" w:eastAsia="zh-CN" w:bidi="ar"/>
                    </w:rPr>
                  </w:pPr>
                  <w:r>
                    <w:rPr>
                      <w:rFonts w:hint="default" w:cs="Times New Roman"/>
                      <w:color w:val="auto"/>
                    </w:rPr>
                    <w:t>1</w:t>
                  </w:r>
                </w:p>
              </w:tc>
              <w:tc>
                <w:tcPr>
                  <w:tcW w:w="1306" w:type="dxa"/>
                  <w:vAlign w:val="center"/>
                </w:tcPr>
                <w:p w14:paraId="1EBF9D59">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1</w:t>
                  </w:r>
                </w:p>
              </w:tc>
              <w:tc>
                <w:tcPr>
                  <w:tcW w:w="1306" w:type="dxa"/>
                  <w:vAlign w:val="center"/>
                </w:tcPr>
                <w:p w14:paraId="3431B89A">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0</w:t>
                  </w:r>
                </w:p>
              </w:tc>
              <w:tc>
                <w:tcPr>
                  <w:tcW w:w="1306" w:type="dxa"/>
                  <w:vAlign w:val="center"/>
                </w:tcPr>
                <w:p w14:paraId="491F4622">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0</w:t>
                  </w:r>
                </w:p>
              </w:tc>
            </w:tr>
            <w:tr w14:paraId="01BA6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vMerge w:val="continue"/>
                  <w:vAlign w:val="center"/>
                </w:tcPr>
                <w:p w14:paraId="4D30FA3B">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p>
              </w:tc>
              <w:tc>
                <w:tcPr>
                  <w:tcW w:w="1307" w:type="dxa"/>
                  <w:vAlign w:val="center"/>
                </w:tcPr>
                <w:p w14:paraId="12EE83EB">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lang w:val="en-US" w:eastAsia="zh-CN"/>
                    </w:rPr>
                    <w:t>废金属</w:t>
                  </w:r>
                </w:p>
              </w:tc>
              <w:tc>
                <w:tcPr>
                  <w:tcW w:w="1306" w:type="dxa"/>
                  <w:vAlign w:val="center"/>
                </w:tcPr>
                <w:p w14:paraId="12DE51F1">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lang w:val="en-US" w:eastAsia="zh-CN" w:bidi="ar"/>
                    </w:rPr>
                  </w:pPr>
                  <w:r>
                    <w:rPr>
                      <w:rFonts w:hint="eastAsia" w:cs="Times New Roman"/>
                      <w:color w:val="auto"/>
                      <w:lang w:val="en-US" w:eastAsia="zh-CN"/>
                    </w:rPr>
                    <w:t>2</w:t>
                  </w:r>
                </w:p>
              </w:tc>
              <w:tc>
                <w:tcPr>
                  <w:tcW w:w="1306" w:type="dxa"/>
                  <w:vAlign w:val="center"/>
                </w:tcPr>
                <w:p w14:paraId="495AEF2D">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2</w:t>
                  </w:r>
                </w:p>
              </w:tc>
              <w:tc>
                <w:tcPr>
                  <w:tcW w:w="1306" w:type="dxa"/>
                  <w:vAlign w:val="center"/>
                </w:tcPr>
                <w:p w14:paraId="019DF215">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0</w:t>
                  </w:r>
                </w:p>
              </w:tc>
              <w:tc>
                <w:tcPr>
                  <w:tcW w:w="1306" w:type="dxa"/>
                  <w:vAlign w:val="center"/>
                </w:tcPr>
                <w:p w14:paraId="072C485D">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0</w:t>
                  </w:r>
                </w:p>
              </w:tc>
            </w:tr>
            <w:tr w14:paraId="57ECA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vMerge w:val="continue"/>
                  <w:vAlign w:val="center"/>
                </w:tcPr>
                <w:p w14:paraId="4E81987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p>
              </w:tc>
              <w:tc>
                <w:tcPr>
                  <w:tcW w:w="1307" w:type="dxa"/>
                  <w:vAlign w:val="center"/>
                </w:tcPr>
                <w:p w14:paraId="3957472C">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default" w:cs="Times New Roman"/>
                      <w:color w:val="auto"/>
                      <w:lang w:val="en-US" w:eastAsia="zh-CN"/>
                    </w:rPr>
                    <w:t>不可利用物</w:t>
                  </w:r>
                </w:p>
              </w:tc>
              <w:tc>
                <w:tcPr>
                  <w:tcW w:w="1306" w:type="dxa"/>
                  <w:vAlign w:val="center"/>
                </w:tcPr>
                <w:p w14:paraId="0BAB694C">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lang w:val="en-US" w:eastAsia="zh-CN" w:bidi="ar"/>
                    </w:rPr>
                  </w:pPr>
                  <w:r>
                    <w:rPr>
                      <w:rFonts w:hint="eastAsia" w:cs="Times New Roman"/>
                      <w:color w:val="auto"/>
                      <w:lang w:val="en-US" w:eastAsia="zh-CN"/>
                    </w:rPr>
                    <w:t>7.618</w:t>
                  </w:r>
                </w:p>
              </w:tc>
              <w:tc>
                <w:tcPr>
                  <w:tcW w:w="1306" w:type="dxa"/>
                  <w:vAlign w:val="center"/>
                </w:tcPr>
                <w:p w14:paraId="0B4D408D">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10.51</w:t>
                  </w:r>
                </w:p>
              </w:tc>
              <w:tc>
                <w:tcPr>
                  <w:tcW w:w="1306" w:type="dxa"/>
                  <w:vAlign w:val="center"/>
                </w:tcPr>
                <w:p w14:paraId="0817B20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+2.892</w:t>
                  </w:r>
                </w:p>
              </w:tc>
              <w:tc>
                <w:tcPr>
                  <w:tcW w:w="1306" w:type="dxa"/>
                  <w:vAlign w:val="center"/>
                </w:tcPr>
                <w:p w14:paraId="374A1B92">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+37.96</w:t>
                  </w:r>
                </w:p>
              </w:tc>
            </w:tr>
            <w:tr w14:paraId="0874E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vMerge w:val="restart"/>
                  <w:vAlign w:val="center"/>
                </w:tcPr>
                <w:p w14:paraId="1DF89FB0">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危险废物</w:t>
                  </w:r>
                </w:p>
              </w:tc>
              <w:tc>
                <w:tcPr>
                  <w:tcW w:w="1307" w:type="dxa"/>
                  <w:vAlign w:val="center"/>
                </w:tcPr>
                <w:p w14:paraId="4ED4D60C">
                  <w:pPr>
                    <w:pStyle w:val="56"/>
                    <w:keepNext w:val="0"/>
                    <w:keepLines w:val="0"/>
                    <w:suppressLineNumbers w:val="0"/>
                    <w:bidi w:val="0"/>
                    <w:spacing w:before="0" w:beforeAutospacing="0" w:after="0" w:afterAutospacing="0"/>
                    <w:ind w:left="0" w:leftChars="0" w:right="0" w:rightChars="0" w:firstLine="0" w:firstLineChars="0"/>
                    <w:jc w:val="center"/>
                    <w:rPr>
                      <w:rFonts w:hint="eastAsia" w:cs="Times New Roman"/>
                      <w:color w:val="auto"/>
                      <w:lang w:val="en-US" w:eastAsia="zh-CN"/>
                    </w:rPr>
                  </w:pPr>
                  <w:r>
                    <w:rPr>
                      <w:rFonts w:hint="eastAsia" w:cs="Times New Roman"/>
                      <w:color w:val="auto"/>
                      <w:lang w:eastAsia="zh-CN"/>
                    </w:rPr>
                    <w:t>废润滑油</w:t>
                  </w:r>
                </w:p>
              </w:tc>
              <w:tc>
                <w:tcPr>
                  <w:tcW w:w="1306" w:type="dxa"/>
                  <w:vAlign w:val="center"/>
                </w:tcPr>
                <w:p w14:paraId="0F77B92C">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lang w:val="en-US" w:eastAsia="zh-CN" w:bidi="ar"/>
                    </w:rPr>
                  </w:pPr>
                  <w:r>
                    <w:rPr>
                      <w:rFonts w:hint="eastAsia" w:cs="Times New Roman"/>
                      <w:color w:val="auto"/>
                      <w:lang w:val="en-US" w:eastAsia="zh-CN"/>
                    </w:rPr>
                    <w:t>0.1</w:t>
                  </w:r>
                </w:p>
              </w:tc>
              <w:tc>
                <w:tcPr>
                  <w:tcW w:w="1306" w:type="dxa"/>
                  <w:vAlign w:val="center"/>
                </w:tcPr>
                <w:p w14:paraId="4ECCA117">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lang w:val="en-US" w:eastAsia="zh-CN" w:bidi="ar"/>
                    </w:rPr>
                  </w:pPr>
                  <w:r>
                    <w:rPr>
                      <w:rFonts w:hint="eastAsia" w:cs="Times New Roman"/>
                      <w:color w:val="auto"/>
                      <w:lang w:val="en-US" w:eastAsia="zh-CN"/>
                    </w:rPr>
                    <w:t>0.1</w:t>
                  </w:r>
                </w:p>
              </w:tc>
              <w:tc>
                <w:tcPr>
                  <w:tcW w:w="1306" w:type="dxa"/>
                  <w:vAlign w:val="center"/>
                </w:tcPr>
                <w:p w14:paraId="26B478FE">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0</w:t>
                  </w:r>
                </w:p>
              </w:tc>
              <w:tc>
                <w:tcPr>
                  <w:tcW w:w="1306" w:type="dxa"/>
                  <w:vAlign w:val="center"/>
                </w:tcPr>
                <w:p w14:paraId="368DDA1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0</w:t>
                  </w:r>
                </w:p>
              </w:tc>
            </w:tr>
            <w:tr w14:paraId="30A2D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5" w:type="dxa"/>
                  <w:vMerge w:val="continue"/>
                  <w:vAlign w:val="center"/>
                </w:tcPr>
                <w:p w14:paraId="3A25EBB0">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p>
              </w:tc>
              <w:tc>
                <w:tcPr>
                  <w:tcW w:w="1307" w:type="dxa"/>
                  <w:vAlign w:val="center"/>
                </w:tcPr>
                <w:p w14:paraId="3F073FDC">
                  <w:pPr>
                    <w:pStyle w:val="56"/>
                    <w:keepNext w:val="0"/>
                    <w:keepLines w:val="0"/>
                    <w:suppressLineNumbers w:val="0"/>
                    <w:bidi w:val="0"/>
                    <w:spacing w:before="0" w:beforeAutospacing="0" w:after="0" w:afterAutospacing="0"/>
                    <w:ind w:left="0" w:leftChars="0" w:right="0" w:rightChars="0" w:firstLine="0" w:firstLineChars="0"/>
                    <w:jc w:val="center"/>
                    <w:rPr>
                      <w:rFonts w:hint="eastAsia" w:cs="Times New Roman"/>
                      <w:color w:val="auto"/>
                      <w:lang w:val="en-US" w:eastAsia="zh-CN"/>
                    </w:rPr>
                  </w:pPr>
                  <w:r>
                    <w:rPr>
                      <w:rFonts w:hint="default" w:cs="Times New Roman"/>
                      <w:color w:val="auto"/>
                    </w:rPr>
                    <w:t>废含油抹布</w:t>
                  </w:r>
                </w:p>
              </w:tc>
              <w:tc>
                <w:tcPr>
                  <w:tcW w:w="1306" w:type="dxa"/>
                  <w:vAlign w:val="center"/>
                </w:tcPr>
                <w:p w14:paraId="69C97A19">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lang w:val="en-US" w:eastAsia="zh-CN" w:bidi="ar"/>
                    </w:rPr>
                  </w:pPr>
                  <w:r>
                    <w:rPr>
                      <w:rFonts w:hint="default" w:cs="Times New Roman"/>
                      <w:color w:val="auto"/>
                    </w:rPr>
                    <w:t>0.</w:t>
                  </w:r>
                  <w:r>
                    <w:rPr>
                      <w:rFonts w:hint="default" w:cs="Times New Roman"/>
                      <w:color w:val="auto"/>
                      <w:lang w:val="en-US" w:eastAsia="zh-CN"/>
                    </w:rPr>
                    <w:t>4</w:t>
                  </w:r>
                </w:p>
              </w:tc>
              <w:tc>
                <w:tcPr>
                  <w:tcW w:w="1306" w:type="dxa"/>
                  <w:vAlign w:val="center"/>
                </w:tcPr>
                <w:p w14:paraId="79AA2F0A">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lang w:val="en-US" w:eastAsia="zh-CN" w:bidi="ar"/>
                    </w:rPr>
                  </w:pPr>
                  <w:r>
                    <w:rPr>
                      <w:rFonts w:hint="default" w:cs="Times New Roman"/>
                      <w:color w:val="auto"/>
                    </w:rPr>
                    <w:t>0.</w:t>
                  </w:r>
                  <w:r>
                    <w:rPr>
                      <w:rFonts w:hint="default" w:cs="Times New Roman"/>
                      <w:color w:val="auto"/>
                      <w:lang w:val="en-US" w:eastAsia="zh-CN"/>
                    </w:rPr>
                    <w:t>4</w:t>
                  </w:r>
                </w:p>
              </w:tc>
              <w:tc>
                <w:tcPr>
                  <w:tcW w:w="1306" w:type="dxa"/>
                  <w:vAlign w:val="center"/>
                </w:tcPr>
                <w:p w14:paraId="1E29737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0</w:t>
                  </w:r>
                </w:p>
              </w:tc>
              <w:tc>
                <w:tcPr>
                  <w:tcW w:w="1306" w:type="dxa"/>
                  <w:vAlign w:val="center"/>
                </w:tcPr>
                <w:p w14:paraId="3E4E17A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0</w:t>
                  </w:r>
                </w:p>
              </w:tc>
            </w:tr>
          </w:tbl>
          <w:p w14:paraId="0DCCAF6C">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项目变更前后污染治理设施一览表</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
              <w:gridCol w:w="1068"/>
              <w:gridCol w:w="2555"/>
              <w:gridCol w:w="2401"/>
              <w:gridCol w:w="1373"/>
            </w:tblGrid>
            <w:tr w14:paraId="748CD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8" w:type="pct"/>
                  <w:gridSpan w:val="2"/>
                  <w:vAlign w:val="center"/>
                </w:tcPr>
                <w:p w14:paraId="5F207E37">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类别</w:t>
                  </w:r>
                </w:p>
              </w:tc>
              <w:tc>
                <w:tcPr>
                  <w:tcW w:w="1627" w:type="pct"/>
                  <w:vAlign w:val="center"/>
                </w:tcPr>
                <w:p w14:paraId="64AC169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变更前</w:t>
                  </w:r>
                </w:p>
              </w:tc>
              <w:tc>
                <w:tcPr>
                  <w:tcW w:w="1529" w:type="pct"/>
                  <w:vAlign w:val="center"/>
                </w:tcPr>
                <w:p w14:paraId="2B1A95F5">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变更后</w:t>
                  </w:r>
                </w:p>
              </w:tc>
              <w:tc>
                <w:tcPr>
                  <w:tcW w:w="874" w:type="pct"/>
                  <w:vAlign w:val="center"/>
                </w:tcPr>
                <w:p w14:paraId="4F9745B3">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变动情况</w:t>
                  </w:r>
                </w:p>
              </w:tc>
            </w:tr>
            <w:tr w14:paraId="2D05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 w:type="pct"/>
                  <w:vMerge w:val="restart"/>
                  <w:vAlign w:val="center"/>
                </w:tcPr>
                <w:p w14:paraId="75472962">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废气</w:t>
                  </w:r>
                </w:p>
              </w:tc>
              <w:tc>
                <w:tcPr>
                  <w:tcW w:w="679" w:type="pct"/>
                  <w:shd w:val="clear" w:color="auto" w:fill="auto"/>
                  <w:vAlign w:val="center"/>
                </w:tcPr>
                <w:p w14:paraId="0C992322">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筛选破碎废气</w:t>
                  </w:r>
                </w:p>
              </w:tc>
              <w:tc>
                <w:tcPr>
                  <w:tcW w:w="1627" w:type="pct"/>
                  <w:vMerge w:val="restart"/>
                  <w:vAlign w:val="center"/>
                </w:tcPr>
                <w:p w14:paraId="07980B6B">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筛选破碎粉尘、投料粉尘经3个集气罩收集+1个布袋除尘处理后与水泥筒库顶呼吸孔粉尘经过自带高效袋式除尘设备处理后一并通过15m的排气筒排放（DA001）</w:t>
                  </w:r>
                </w:p>
              </w:tc>
              <w:tc>
                <w:tcPr>
                  <w:tcW w:w="1529" w:type="pct"/>
                  <w:vMerge w:val="restart"/>
                  <w:shd w:val="clear" w:color="auto" w:fill="auto"/>
                  <w:vAlign w:val="center"/>
                </w:tcPr>
                <w:p w14:paraId="1BA7E709">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筛选破碎废气、投料废气、搅拌废气，经3个集气罩收集+1个布袋除尘处理后通过15m的排气筒排放（DA001）</w:t>
                  </w:r>
                </w:p>
              </w:tc>
              <w:tc>
                <w:tcPr>
                  <w:tcW w:w="874" w:type="pct"/>
                  <w:vMerge w:val="restart"/>
                  <w:vAlign w:val="center"/>
                </w:tcPr>
                <w:p w14:paraId="772F1580">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根据实际建设情况可知水泥筒库顶呼吸孔粉尘</w:t>
                  </w:r>
                  <w:r>
                    <w:rPr>
                      <w:rFonts w:hint="eastAsia" w:cs="Times New Roman"/>
                      <w:color w:val="auto"/>
                      <w:sz w:val="21"/>
                      <w:szCs w:val="21"/>
                      <w:lang w:val="en-US" w:eastAsia="zh-CN" w:bidi="ar"/>
                    </w:rPr>
                    <w:t>自带高效袋式除尘设备处理后无组织排放（排口高度5米）</w:t>
                  </w:r>
                </w:p>
              </w:tc>
            </w:tr>
            <w:tr w14:paraId="451DB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 w:type="pct"/>
                  <w:vMerge w:val="continue"/>
                  <w:vAlign w:val="center"/>
                </w:tcPr>
                <w:p w14:paraId="1A9BE71F">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p>
              </w:tc>
              <w:tc>
                <w:tcPr>
                  <w:tcW w:w="679" w:type="pct"/>
                  <w:shd w:val="clear" w:color="auto" w:fill="auto"/>
                  <w:vAlign w:val="center"/>
                </w:tcPr>
                <w:p w14:paraId="2E5F7B33">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投料废气</w:t>
                  </w:r>
                </w:p>
              </w:tc>
              <w:tc>
                <w:tcPr>
                  <w:tcW w:w="1627" w:type="pct"/>
                  <w:vMerge w:val="continue"/>
                  <w:vAlign w:val="center"/>
                </w:tcPr>
                <w:p w14:paraId="5E5FE39A">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p>
              </w:tc>
              <w:tc>
                <w:tcPr>
                  <w:tcW w:w="1529" w:type="pct"/>
                  <w:vMerge w:val="continue"/>
                  <w:vAlign w:val="center"/>
                </w:tcPr>
                <w:p w14:paraId="50771A00">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p>
              </w:tc>
              <w:tc>
                <w:tcPr>
                  <w:tcW w:w="874" w:type="pct"/>
                  <w:vMerge w:val="continue"/>
                  <w:vAlign w:val="center"/>
                </w:tcPr>
                <w:p w14:paraId="6BBA5CA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p>
              </w:tc>
            </w:tr>
            <w:tr w14:paraId="7B9D2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 w:type="pct"/>
                  <w:vMerge w:val="continue"/>
                  <w:vAlign w:val="center"/>
                </w:tcPr>
                <w:p w14:paraId="0F2923B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p>
              </w:tc>
              <w:tc>
                <w:tcPr>
                  <w:tcW w:w="679" w:type="pct"/>
                  <w:shd w:val="clear" w:color="auto" w:fill="auto"/>
                  <w:vAlign w:val="center"/>
                </w:tcPr>
                <w:p w14:paraId="5D3E3630">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搅拌废气</w:t>
                  </w:r>
                </w:p>
              </w:tc>
              <w:tc>
                <w:tcPr>
                  <w:tcW w:w="1627" w:type="pct"/>
                  <w:vMerge w:val="continue"/>
                  <w:vAlign w:val="center"/>
                </w:tcPr>
                <w:p w14:paraId="016A6683">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p>
              </w:tc>
              <w:tc>
                <w:tcPr>
                  <w:tcW w:w="1529" w:type="pct"/>
                  <w:vMerge w:val="continue"/>
                  <w:vAlign w:val="center"/>
                </w:tcPr>
                <w:p w14:paraId="10E64E4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p>
              </w:tc>
              <w:tc>
                <w:tcPr>
                  <w:tcW w:w="874" w:type="pct"/>
                  <w:vMerge w:val="continue"/>
                  <w:vAlign w:val="center"/>
                </w:tcPr>
                <w:p w14:paraId="0726C427">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p>
              </w:tc>
            </w:tr>
            <w:tr w14:paraId="321FF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 w:type="pct"/>
                  <w:vMerge w:val="continue"/>
                  <w:vAlign w:val="center"/>
                </w:tcPr>
                <w:p w14:paraId="486D918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p>
              </w:tc>
              <w:tc>
                <w:tcPr>
                  <w:tcW w:w="679" w:type="pct"/>
                  <w:shd w:val="clear" w:color="auto" w:fill="auto"/>
                  <w:vAlign w:val="center"/>
                </w:tcPr>
                <w:p w14:paraId="6E32B88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水泥筒库顶呼吸孔粉尘</w:t>
                  </w:r>
                </w:p>
              </w:tc>
              <w:tc>
                <w:tcPr>
                  <w:tcW w:w="1627" w:type="pct"/>
                  <w:vMerge w:val="continue"/>
                  <w:vAlign w:val="center"/>
                </w:tcPr>
                <w:p w14:paraId="6CCF2ACC">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p>
              </w:tc>
              <w:tc>
                <w:tcPr>
                  <w:tcW w:w="1529" w:type="pct"/>
                  <w:shd w:val="clear" w:color="auto" w:fill="auto"/>
                  <w:vAlign w:val="center"/>
                </w:tcPr>
                <w:p w14:paraId="2F74301A">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自带高效袋式除尘设备处理后无组织排放（排口高度5米）</w:t>
                  </w:r>
                </w:p>
              </w:tc>
              <w:tc>
                <w:tcPr>
                  <w:tcW w:w="874" w:type="pct"/>
                  <w:vMerge w:val="continue"/>
                  <w:vAlign w:val="center"/>
                </w:tcPr>
                <w:p w14:paraId="28E83D5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p>
              </w:tc>
            </w:tr>
            <w:tr w14:paraId="66DC6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8" w:type="pct"/>
                  <w:gridSpan w:val="2"/>
                  <w:vAlign w:val="center"/>
                </w:tcPr>
                <w:p w14:paraId="6DA212D5">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废水</w:t>
                  </w:r>
                </w:p>
              </w:tc>
              <w:tc>
                <w:tcPr>
                  <w:tcW w:w="1627" w:type="pct"/>
                  <w:vAlign w:val="center"/>
                </w:tcPr>
                <w:p w14:paraId="78FBC182">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生活污水经化粪池预处理后，</w:t>
                  </w:r>
                  <w:r>
                    <w:rPr>
                      <w:rFonts w:hint="eastAsia" w:cs="Times New Roman"/>
                      <w:color w:val="auto"/>
                      <w:sz w:val="21"/>
                      <w:szCs w:val="21"/>
                      <w:lang w:val="en-US" w:eastAsia="zh-CN" w:bidi="ar"/>
                    </w:rPr>
                    <w:t>达到</w:t>
                  </w:r>
                  <w:r>
                    <w:rPr>
                      <w:rFonts w:hint="eastAsia" w:ascii="Times New Roman" w:hAnsi="Times New Roman" w:eastAsia="宋体" w:cs="Times New Roman"/>
                      <w:color w:val="auto"/>
                      <w:sz w:val="21"/>
                      <w:szCs w:val="21"/>
                      <w:lang w:val="en-US" w:eastAsia="zh-CN" w:bidi="ar"/>
                    </w:rPr>
                    <w:t>建筑陶瓷产业园污水处理厂接管标准后，通过市政污水管网排入。</w:t>
                  </w:r>
                </w:p>
              </w:tc>
              <w:tc>
                <w:tcPr>
                  <w:tcW w:w="1529" w:type="pct"/>
                  <w:vAlign w:val="center"/>
                </w:tcPr>
                <w:p w14:paraId="45F27F1D">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生活污水经化粪池预处理后，</w:t>
                  </w:r>
                  <w:r>
                    <w:rPr>
                      <w:rFonts w:hint="eastAsia" w:cs="Times New Roman"/>
                      <w:color w:val="auto"/>
                      <w:sz w:val="21"/>
                      <w:szCs w:val="21"/>
                      <w:lang w:val="en-US" w:eastAsia="zh-CN" w:bidi="ar"/>
                    </w:rPr>
                    <w:t>达到</w:t>
                  </w:r>
                  <w:r>
                    <w:rPr>
                      <w:rFonts w:hint="eastAsia" w:ascii="Times New Roman" w:hAnsi="Times New Roman" w:eastAsia="宋体" w:cs="Times New Roman"/>
                      <w:color w:val="auto"/>
                      <w:sz w:val="21"/>
                      <w:szCs w:val="21"/>
                      <w:lang w:val="en-US" w:eastAsia="zh-CN" w:bidi="ar"/>
                    </w:rPr>
                    <w:t>建筑陶瓷产业园污水处理厂接管标准后，通过市政污水管网排入。</w:t>
                  </w:r>
                </w:p>
              </w:tc>
              <w:tc>
                <w:tcPr>
                  <w:tcW w:w="874" w:type="pct"/>
                  <w:vAlign w:val="center"/>
                </w:tcPr>
                <w:p w14:paraId="0C326821">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不变</w:t>
                  </w:r>
                </w:p>
              </w:tc>
            </w:tr>
            <w:tr w14:paraId="5196F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8" w:type="pct"/>
                  <w:gridSpan w:val="2"/>
                  <w:vAlign w:val="center"/>
                </w:tcPr>
                <w:p w14:paraId="4D453C1D">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噪音</w:t>
                  </w:r>
                </w:p>
              </w:tc>
              <w:tc>
                <w:tcPr>
                  <w:tcW w:w="1627" w:type="pct"/>
                  <w:vAlign w:val="center"/>
                </w:tcPr>
                <w:p w14:paraId="11AF1F4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选用低噪声设备、基础减振、合理布局、厂房隔声等措施进行处理。</w:t>
                  </w:r>
                </w:p>
              </w:tc>
              <w:tc>
                <w:tcPr>
                  <w:tcW w:w="1529" w:type="pct"/>
                  <w:vAlign w:val="center"/>
                </w:tcPr>
                <w:p w14:paraId="50BB787B">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选用低噪声设备、基础减振、合理布局、厂房隔声等措施进行处理。</w:t>
                  </w:r>
                </w:p>
              </w:tc>
              <w:tc>
                <w:tcPr>
                  <w:tcW w:w="874" w:type="pct"/>
                  <w:vAlign w:val="center"/>
                </w:tcPr>
                <w:p w14:paraId="54BFBBA4">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不变</w:t>
                  </w:r>
                </w:p>
              </w:tc>
            </w:tr>
            <w:tr w14:paraId="7B8D0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8" w:type="pct"/>
                  <w:gridSpan w:val="2"/>
                  <w:vAlign w:val="center"/>
                </w:tcPr>
                <w:p w14:paraId="7414FE97">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固体废物</w:t>
                  </w:r>
                </w:p>
              </w:tc>
              <w:tc>
                <w:tcPr>
                  <w:tcW w:w="1627" w:type="pct"/>
                  <w:vAlign w:val="center"/>
                </w:tcPr>
                <w:p w14:paraId="68490679">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一般工业固废外售及综合利用，生活垃圾收集后交由环卫部门处理，危废交由有资质单位处理。</w:t>
                  </w:r>
                </w:p>
              </w:tc>
              <w:tc>
                <w:tcPr>
                  <w:tcW w:w="1529" w:type="pct"/>
                  <w:vAlign w:val="center"/>
                </w:tcPr>
                <w:p w14:paraId="7F3FDD21">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一般工业固废外售及综合利用，生活垃圾收集后交由环卫部门处理，危废交由有资质单位处理。</w:t>
                  </w:r>
                </w:p>
              </w:tc>
              <w:tc>
                <w:tcPr>
                  <w:tcW w:w="874" w:type="pct"/>
                  <w:vAlign w:val="center"/>
                </w:tcPr>
                <w:p w14:paraId="6B4FC9B3">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不变</w:t>
                  </w:r>
                </w:p>
              </w:tc>
            </w:tr>
          </w:tbl>
          <w:p w14:paraId="58AFAF5E">
            <w:pPr>
              <w:keepNext w:val="0"/>
              <w:keepLines w:val="0"/>
              <w:pageBreakBefore/>
              <w:widowControl/>
              <w:numPr>
                <w:ilvl w:val="0"/>
                <w:numId w:val="0"/>
              </w:numPr>
              <w:suppressLineNumbers w:val="0"/>
              <w:spacing w:before="0" w:beforeLines="0" w:beforeAutospacing="0" w:after="0" w:afterLines="0" w:afterAutospacing="0"/>
              <w:ind w:left="0" w:leftChars="0" w:right="0" w:rightChars="0" w:firstLine="482" w:firstLineChars="200"/>
              <w:rPr>
                <w:rFonts w:hint="default" w:cs="Times New Roman"/>
                <w:b/>
                <w:color w:val="auto"/>
                <w:kern w:val="2"/>
                <w:sz w:val="24"/>
                <w:szCs w:val="24"/>
                <w:lang w:val="en-US" w:eastAsia="zh-CN" w:bidi="ar-SA"/>
              </w:rPr>
            </w:pPr>
            <w:r>
              <w:rPr>
                <w:rFonts w:hint="eastAsia" w:cs="Times New Roman"/>
                <w:b/>
                <w:color w:val="auto"/>
                <w:kern w:val="2"/>
                <w:sz w:val="24"/>
                <w:szCs w:val="24"/>
                <w:lang w:val="en-US" w:eastAsia="zh-CN" w:bidi="ar-SA"/>
              </w:rPr>
              <w:t>四、主要环境问题</w:t>
            </w:r>
          </w:p>
          <w:p w14:paraId="145C5B64">
            <w:pPr>
              <w:keepNext w:val="0"/>
              <w:keepLines w:val="0"/>
              <w:pageBreakBefore/>
              <w:widowControl/>
              <w:numPr>
                <w:ilvl w:val="0"/>
                <w:numId w:val="0"/>
              </w:numPr>
              <w:suppressLineNumbers w:val="0"/>
              <w:adjustRightInd w:val="0"/>
              <w:snapToGrid w:val="0"/>
              <w:spacing w:before="0" w:beforeLines="0" w:beforeAutospacing="0" w:after="0" w:afterLines="0" w:afterAutospacing="0" w:line="440" w:lineRule="exact"/>
              <w:ind w:left="0" w:right="0" w:rightChars="0" w:firstLine="480" w:firstLineChars="200"/>
              <w:jc w:val="both"/>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根据现场勘察</w:t>
            </w:r>
            <w:r>
              <w:rPr>
                <w:rFonts w:hint="default" w:ascii="Times New Roman" w:hAnsi="Times New Roman" w:eastAsia="宋体" w:cs="Times New Roman"/>
                <w:color w:val="auto"/>
                <w:sz w:val="24"/>
                <w:szCs w:val="24"/>
                <w:lang w:val="en-US" w:eastAsia="zh-CN"/>
              </w:rPr>
              <w:t>目前，主要存在以下问题并要求整改：</w:t>
            </w:r>
          </w:p>
          <w:p w14:paraId="1C87E79F">
            <w:pPr>
              <w:keepNext w:val="0"/>
              <w:keepLines w:val="0"/>
              <w:pageBreakBefore/>
              <w:widowControl/>
              <w:numPr>
                <w:ilvl w:val="0"/>
                <w:numId w:val="9"/>
              </w:numPr>
              <w:suppressLineNumbers w:val="0"/>
              <w:adjustRightInd w:val="0"/>
              <w:snapToGrid w:val="0"/>
              <w:spacing w:before="0" w:beforeLines="0" w:beforeAutospacing="0" w:after="0" w:afterLines="0" w:afterAutospacing="0" w:line="440" w:lineRule="exact"/>
              <w:ind w:left="0" w:right="0" w:rightChars="0"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厂区大部分区域进行了地面硬化，防腐防渗，但部分区域存在破损，防腐防渗效果较差，需进一步整改；厂房需要按照环评要求进行分区防渗，</w:t>
            </w:r>
            <w:r>
              <w:rPr>
                <w:rFonts w:hint="eastAsia" w:cs="Times New Roman"/>
                <w:color w:val="auto"/>
                <w:sz w:val="24"/>
                <w:szCs w:val="24"/>
                <w:lang w:val="en-US" w:eastAsia="zh-CN"/>
              </w:rPr>
              <w:t>如</w:t>
            </w:r>
            <w:r>
              <w:rPr>
                <w:rFonts w:hint="default" w:ascii="Times New Roman" w:hAnsi="Times New Roman" w:eastAsia="宋体" w:cs="Times New Roman"/>
                <w:color w:val="auto"/>
                <w:sz w:val="24"/>
                <w:szCs w:val="24"/>
                <w:lang w:val="en-US" w:eastAsia="zh-CN"/>
              </w:rPr>
              <w:t>危废间和仓库设置导流沟。</w:t>
            </w:r>
          </w:p>
          <w:p w14:paraId="079A3D20">
            <w:pPr>
              <w:keepNext w:val="0"/>
              <w:keepLines w:val="0"/>
              <w:pageBreakBefore/>
              <w:widowControl/>
              <w:numPr>
                <w:ilvl w:val="0"/>
                <w:numId w:val="9"/>
              </w:numPr>
              <w:suppressLineNumbers w:val="0"/>
              <w:adjustRightInd w:val="0"/>
              <w:snapToGrid w:val="0"/>
              <w:spacing w:before="0" w:beforeLines="0" w:beforeAutospacing="0" w:after="0" w:afterLines="0" w:afterAutospacing="0" w:line="440" w:lineRule="exact"/>
              <w:ind w:left="0" w:right="0" w:rightChars="0"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加强厂区及车间的绿化建设，厂区种植降噪效果较好的厚草皮和树木，增强绿化带对噪声的吸声降噪作用，增强对无组织废气的去除效果。</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5"/>
              <w:gridCol w:w="3925"/>
            </w:tblGrid>
            <w:tr w14:paraId="42383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5" w:type="dxa"/>
                </w:tcPr>
                <w:p w14:paraId="3C51DB0B">
                  <w:pPr>
                    <w:keepNext w:val="0"/>
                    <w:keepLines w:val="0"/>
                    <w:pageBreakBefore/>
                    <w:widowControl/>
                    <w:numPr>
                      <w:ilvl w:val="0"/>
                      <w:numId w:val="0"/>
                    </w:numPr>
                    <w:suppressLineNumbers w:val="0"/>
                    <w:adjustRightInd w:val="0"/>
                    <w:snapToGrid w:val="0"/>
                    <w:spacing w:before="0" w:beforeLines="0" w:beforeAutospacing="0" w:after="0" w:afterLines="0" w:afterAutospacing="0" w:line="440" w:lineRule="exact"/>
                    <w:ind w:left="0" w:right="0" w:rightChars="0"/>
                    <w:jc w:val="both"/>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drawing>
                      <wp:anchor distT="0" distB="0" distL="114300" distR="114300" simplePos="0" relativeHeight="251663360" behindDoc="0" locked="0" layoutInCell="1" allowOverlap="1">
                        <wp:simplePos x="0" y="0"/>
                        <wp:positionH relativeFrom="column">
                          <wp:posOffset>38100</wp:posOffset>
                        </wp:positionH>
                        <wp:positionV relativeFrom="paragraph">
                          <wp:posOffset>126365</wp:posOffset>
                        </wp:positionV>
                        <wp:extent cx="2346960" cy="1877695"/>
                        <wp:effectExtent l="0" t="0" r="0" b="12065"/>
                        <wp:wrapTopAndBottom/>
                        <wp:docPr id="11" name="图片 11" descr="7746ec26e93980184ec51235a87c4b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7746ec26e93980184ec51235a87c4b20"/>
                                <pic:cNvPicPr>
                                  <a:picLocks noChangeAspect="1"/>
                                </pic:cNvPicPr>
                              </pic:nvPicPr>
                              <pic:blipFill>
                                <a:blip r:embed="rId15"/>
                                <a:srcRect t="20020" b="20020"/>
                                <a:stretch>
                                  <a:fillRect/>
                                </a:stretch>
                              </pic:blipFill>
                              <pic:spPr>
                                <a:xfrm>
                                  <a:off x="0" y="0"/>
                                  <a:ext cx="2346960" cy="1877568"/>
                                </a:xfrm>
                                <a:prstGeom prst="rect">
                                  <a:avLst/>
                                </a:prstGeom>
                              </pic:spPr>
                            </pic:pic>
                          </a:graphicData>
                        </a:graphic>
                      </wp:anchor>
                    </w:drawing>
                  </w:r>
                </w:p>
              </w:tc>
              <w:tc>
                <w:tcPr>
                  <w:tcW w:w="3925" w:type="dxa"/>
                </w:tcPr>
                <w:p w14:paraId="1EA9331A">
                  <w:pPr>
                    <w:keepNext w:val="0"/>
                    <w:keepLines w:val="0"/>
                    <w:pageBreakBefore/>
                    <w:widowControl/>
                    <w:numPr>
                      <w:ilvl w:val="0"/>
                      <w:numId w:val="0"/>
                    </w:numPr>
                    <w:suppressLineNumbers w:val="0"/>
                    <w:adjustRightInd w:val="0"/>
                    <w:snapToGrid w:val="0"/>
                    <w:spacing w:before="0" w:beforeLines="0" w:beforeAutospacing="0" w:after="0" w:afterLines="0" w:afterAutospacing="0" w:line="440" w:lineRule="exact"/>
                    <w:ind w:left="0" w:right="0" w:rightChars="0"/>
                    <w:jc w:val="both"/>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drawing>
                      <wp:anchor distT="0" distB="0" distL="114300" distR="114300" simplePos="0" relativeHeight="251664384" behindDoc="0" locked="0" layoutInCell="1" allowOverlap="1">
                        <wp:simplePos x="0" y="0"/>
                        <wp:positionH relativeFrom="column">
                          <wp:posOffset>-28575</wp:posOffset>
                        </wp:positionH>
                        <wp:positionV relativeFrom="paragraph">
                          <wp:posOffset>112395</wp:posOffset>
                        </wp:positionV>
                        <wp:extent cx="2346960" cy="1877695"/>
                        <wp:effectExtent l="0" t="0" r="0" b="12065"/>
                        <wp:wrapTopAndBottom/>
                        <wp:docPr id="13" name="图片 13" descr="b12e95897e4819dcf38f1265178978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b12e95897e4819dcf38f1265178978f2"/>
                                <pic:cNvPicPr>
                                  <a:picLocks noChangeAspect="1"/>
                                </pic:cNvPicPr>
                              </pic:nvPicPr>
                              <pic:blipFill>
                                <a:blip r:embed="rId16"/>
                                <a:srcRect l="-541" t="41106" r="541" b="-1082"/>
                                <a:stretch>
                                  <a:fillRect/>
                                </a:stretch>
                              </pic:blipFill>
                              <pic:spPr>
                                <a:xfrm>
                                  <a:off x="0" y="0"/>
                                  <a:ext cx="2346960" cy="1877568"/>
                                </a:xfrm>
                                <a:prstGeom prst="rect">
                                  <a:avLst/>
                                </a:prstGeom>
                              </pic:spPr>
                            </pic:pic>
                          </a:graphicData>
                        </a:graphic>
                      </wp:anchor>
                    </w:drawing>
                  </w:r>
                </w:p>
              </w:tc>
            </w:tr>
            <w:tr w14:paraId="6935D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5" w:type="dxa"/>
                </w:tcPr>
                <w:p w14:paraId="3AC6AC16">
                  <w:pPr>
                    <w:keepNext w:val="0"/>
                    <w:keepLines w:val="0"/>
                    <w:pageBreakBefore/>
                    <w:widowControl/>
                    <w:numPr>
                      <w:ilvl w:val="0"/>
                      <w:numId w:val="0"/>
                    </w:numPr>
                    <w:suppressLineNumbers w:val="0"/>
                    <w:adjustRightInd w:val="0"/>
                    <w:snapToGrid w:val="0"/>
                    <w:spacing w:before="0" w:beforeLines="0" w:beforeAutospacing="0" w:after="0" w:afterLines="0" w:afterAutospacing="0" w:line="440" w:lineRule="exact"/>
                    <w:ind w:left="0" w:right="0" w:rightChars="0"/>
                    <w:jc w:val="center"/>
                    <w:rPr>
                      <w:rFonts w:hint="default" w:ascii="Times New Roman" w:hAnsi="Times New Roman" w:eastAsia="宋体" w:cs="Times New Roman"/>
                      <w:color w:val="auto"/>
                      <w:sz w:val="24"/>
                      <w:szCs w:val="24"/>
                      <w:vertAlign w:val="baseline"/>
                      <w:lang w:val="en-US" w:eastAsia="zh-CN"/>
                    </w:rPr>
                  </w:pPr>
                  <w:r>
                    <w:rPr>
                      <w:rFonts w:hint="eastAsia" w:cs="Times New Roman"/>
                      <w:color w:val="auto"/>
                      <w:sz w:val="24"/>
                      <w:szCs w:val="24"/>
                      <w:vertAlign w:val="baseline"/>
                      <w:lang w:val="en-US" w:eastAsia="zh-CN"/>
                    </w:rPr>
                    <w:t>危废间未防渗处理</w:t>
                  </w:r>
                </w:p>
              </w:tc>
              <w:tc>
                <w:tcPr>
                  <w:tcW w:w="3925" w:type="dxa"/>
                </w:tcPr>
                <w:p w14:paraId="529CC519">
                  <w:pPr>
                    <w:keepNext w:val="0"/>
                    <w:keepLines w:val="0"/>
                    <w:pageBreakBefore/>
                    <w:widowControl/>
                    <w:numPr>
                      <w:ilvl w:val="0"/>
                      <w:numId w:val="0"/>
                    </w:numPr>
                    <w:suppressLineNumbers w:val="0"/>
                    <w:adjustRightInd w:val="0"/>
                    <w:snapToGrid w:val="0"/>
                    <w:spacing w:before="0" w:beforeLines="0" w:beforeAutospacing="0" w:after="0" w:afterLines="0" w:afterAutospacing="0" w:line="440" w:lineRule="exact"/>
                    <w:ind w:left="0" w:right="0" w:rightChars="0"/>
                    <w:jc w:val="center"/>
                    <w:rPr>
                      <w:rFonts w:hint="default" w:ascii="Times New Roman" w:hAnsi="Times New Roman" w:eastAsia="宋体" w:cs="Times New Roman"/>
                      <w:color w:val="auto"/>
                      <w:sz w:val="24"/>
                      <w:szCs w:val="24"/>
                      <w:vertAlign w:val="baseline"/>
                      <w:lang w:val="en-US" w:eastAsia="zh-CN"/>
                    </w:rPr>
                  </w:pPr>
                  <w:r>
                    <w:rPr>
                      <w:rFonts w:hint="eastAsia" w:cs="Times New Roman"/>
                      <w:color w:val="auto"/>
                      <w:sz w:val="24"/>
                      <w:szCs w:val="24"/>
                      <w:vertAlign w:val="baseline"/>
                      <w:lang w:val="en-US" w:eastAsia="zh-CN"/>
                    </w:rPr>
                    <w:t>回用污水未防渗未分流</w:t>
                  </w:r>
                </w:p>
              </w:tc>
            </w:tr>
          </w:tbl>
          <w:p w14:paraId="0BD9AD15">
            <w:pPr>
              <w:keepNext w:val="0"/>
              <w:keepLines w:val="0"/>
              <w:pageBreakBefore/>
              <w:widowControl/>
              <w:numPr>
                <w:ilvl w:val="0"/>
                <w:numId w:val="0"/>
              </w:numPr>
              <w:suppressLineNumbers w:val="0"/>
              <w:adjustRightInd w:val="0"/>
              <w:snapToGrid w:val="0"/>
              <w:spacing w:before="0" w:beforeLines="0" w:beforeAutospacing="0" w:after="0" w:afterLines="0" w:afterAutospacing="0" w:line="440" w:lineRule="exact"/>
              <w:ind w:left="480" w:leftChars="200" w:right="0" w:rightChars="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本项目现场存在的环境问题以及以新带老整改措施见表</w:t>
            </w:r>
            <w:r>
              <w:rPr>
                <w:rFonts w:hint="eastAsia" w:cs="Times New Roman"/>
                <w:color w:val="auto"/>
                <w:sz w:val="24"/>
                <w:szCs w:val="24"/>
                <w:lang w:val="en-US" w:eastAsia="zh-CN"/>
              </w:rPr>
              <w:t>。</w:t>
            </w:r>
          </w:p>
          <w:p w14:paraId="067499D9">
            <w:pPr>
              <w:keepNext w:val="0"/>
              <w:keepLines w:val="0"/>
              <w:pageBreakBefore/>
              <w:widowControl/>
              <w:numPr>
                <w:ilvl w:val="0"/>
                <w:numId w:val="8"/>
              </w:numPr>
              <w:suppressLineNumbers w:val="0"/>
              <w:spacing w:before="0" w:beforeLines="0" w:beforeAutospacing="0" w:after="0" w:afterLines="0" w:afterAutospacing="0"/>
              <w:ind w:left="0" w:leftChars="0" w:right="0" w:hanging="380" w:firstLineChars="0"/>
              <w:jc w:val="center"/>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w:t>
            </w:r>
            <w:r>
              <w:rPr>
                <w:rFonts w:hint="default" w:ascii="Times New Roman" w:hAnsi="Times New Roman" w:eastAsia="宋体" w:cs="Times New Roman"/>
                <w:b/>
                <w:bCs/>
                <w:color w:val="auto"/>
                <w:sz w:val="24"/>
                <w:szCs w:val="24"/>
                <w:lang w:val="en-US" w:eastAsia="zh-CN"/>
              </w:rPr>
              <w:t>现有工程存在的环境问题及“以新带老”整改措施表</w:t>
            </w:r>
          </w:p>
          <w:tbl>
            <w:tblPr>
              <w:tblStyle w:val="29"/>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3732"/>
              <w:gridCol w:w="3666"/>
            </w:tblGrid>
            <w:tr w14:paraId="3D90A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287" w:type="pct"/>
                  <w:tcBorders>
                    <w:tl2br w:val="nil"/>
                    <w:tr2bl w:val="nil"/>
                  </w:tcBorders>
                  <w:vAlign w:val="center"/>
                </w:tcPr>
                <w:p w14:paraId="389105B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序号</w:t>
                  </w:r>
                </w:p>
              </w:tc>
              <w:tc>
                <w:tcPr>
                  <w:tcW w:w="2377" w:type="pct"/>
                  <w:tcBorders>
                    <w:tl2br w:val="nil"/>
                    <w:tr2bl w:val="nil"/>
                  </w:tcBorders>
                  <w:vAlign w:val="center"/>
                </w:tcPr>
                <w:p w14:paraId="1AFA19E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现有存在的环保问题</w:t>
                  </w:r>
                </w:p>
              </w:tc>
              <w:tc>
                <w:tcPr>
                  <w:tcW w:w="2335" w:type="pct"/>
                  <w:tcBorders>
                    <w:tl2br w:val="nil"/>
                    <w:tr2bl w:val="nil"/>
                  </w:tcBorders>
                  <w:vAlign w:val="center"/>
                </w:tcPr>
                <w:p w14:paraId="5E290D1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“以新带老”整改措施</w:t>
                  </w:r>
                </w:p>
              </w:tc>
            </w:tr>
            <w:tr w14:paraId="156F5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87" w:type="pct"/>
                  <w:tcBorders>
                    <w:tl2br w:val="nil"/>
                    <w:tr2bl w:val="nil"/>
                  </w:tcBorders>
                  <w:vAlign w:val="center"/>
                </w:tcPr>
                <w:p w14:paraId="72ED336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1</w:t>
                  </w:r>
                </w:p>
              </w:tc>
              <w:tc>
                <w:tcPr>
                  <w:tcW w:w="2377" w:type="pct"/>
                  <w:tcBorders>
                    <w:tl2br w:val="nil"/>
                    <w:tr2bl w:val="nil"/>
                  </w:tcBorders>
                  <w:vAlign w:val="center"/>
                </w:tcPr>
                <w:p w14:paraId="1CF40DCF">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原料堆存散乱，原料和一些固废露天堆放</w:t>
                  </w:r>
                </w:p>
              </w:tc>
              <w:tc>
                <w:tcPr>
                  <w:tcW w:w="2335" w:type="pct"/>
                  <w:tcBorders>
                    <w:tl2br w:val="nil"/>
                    <w:tr2bl w:val="nil"/>
                  </w:tcBorders>
                  <w:vAlign w:val="center"/>
                </w:tcPr>
                <w:p w14:paraId="5D662ED0">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严格落实生产管理制度，原料有序堆放于厂房内</w:t>
                  </w:r>
                </w:p>
              </w:tc>
            </w:tr>
            <w:tr w14:paraId="59F00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87" w:type="pct"/>
                  <w:tcBorders>
                    <w:tl2br w:val="nil"/>
                    <w:tr2bl w:val="nil"/>
                  </w:tcBorders>
                  <w:vAlign w:val="center"/>
                </w:tcPr>
                <w:p w14:paraId="102C705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2</w:t>
                  </w:r>
                </w:p>
              </w:tc>
              <w:tc>
                <w:tcPr>
                  <w:tcW w:w="2377" w:type="pct"/>
                  <w:tcBorders>
                    <w:tl2br w:val="nil"/>
                    <w:tr2bl w:val="nil"/>
                  </w:tcBorders>
                  <w:vAlign w:val="center"/>
                </w:tcPr>
                <w:p w14:paraId="7EAA5C6E">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危废间</w:t>
                  </w:r>
                  <w:r>
                    <w:rPr>
                      <w:rFonts w:hint="default" w:ascii="Times New Roman" w:hAnsi="Times New Roman" w:eastAsia="宋体" w:cs="Times New Roman"/>
                      <w:color w:val="auto"/>
                      <w:sz w:val="21"/>
                      <w:szCs w:val="21"/>
                      <w:lang w:val="en-US" w:eastAsia="zh-CN" w:bidi="ar"/>
                    </w:rPr>
                    <w:t>设施防渗措施不到位：</w:t>
                  </w:r>
                </w:p>
              </w:tc>
              <w:tc>
                <w:tcPr>
                  <w:tcW w:w="2335" w:type="pct"/>
                  <w:tcBorders>
                    <w:tl2br w:val="nil"/>
                    <w:tr2bl w:val="nil"/>
                  </w:tcBorders>
                  <w:vAlign w:val="center"/>
                </w:tcPr>
                <w:p w14:paraId="586040C6">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等效黏土防渗层Mb≥6.0m，渗透系数K≤1×10-7cm/s；或参考GB18598执行</w:t>
                  </w:r>
                </w:p>
              </w:tc>
            </w:tr>
            <w:tr w14:paraId="2E140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7" w:type="pct"/>
                  <w:tcBorders>
                    <w:tl2br w:val="nil"/>
                    <w:tr2bl w:val="nil"/>
                  </w:tcBorders>
                  <w:vAlign w:val="center"/>
                </w:tcPr>
                <w:p w14:paraId="291D8EB3">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3</w:t>
                  </w:r>
                </w:p>
              </w:tc>
              <w:tc>
                <w:tcPr>
                  <w:tcW w:w="2377" w:type="pct"/>
                  <w:tcBorders>
                    <w:tl2br w:val="nil"/>
                    <w:tr2bl w:val="nil"/>
                  </w:tcBorders>
                  <w:vAlign w:val="center"/>
                </w:tcPr>
                <w:p w14:paraId="444D8063">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雨污分流</w:t>
                  </w:r>
                </w:p>
                <w:p w14:paraId="43C26827">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不彻底，雨水漫流。</w:t>
                  </w:r>
                </w:p>
              </w:tc>
              <w:tc>
                <w:tcPr>
                  <w:tcW w:w="2335" w:type="pct"/>
                  <w:tcBorders>
                    <w:tl2br w:val="nil"/>
                    <w:tr2bl w:val="nil"/>
                  </w:tcBorders>
                  <w:vAlign w:val="center"/>
                </w:tcPr>
                <w:p w14:paraId="60C1D9A2">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根据雨污分流原则对厂区各排水处进行排查，对排入雨水系统的污水、排入污水系统的雨水进行整改，修建独立的雨水或污水排放管道、沟渠，规范排水系统，实现雨污分流。</w:t>
                  </w:r>
                </w:p>
              </w:tc>
            </w:tr>
          </w:tbl>
          <w:p w14:paraId="06D6B3FC">
            <w:pPr>
              <w:keepNext w:val="0"/>
              <w:keepLines w:val="0"/>
              <w:pageBreakBefore/>
              <w:widowControl/>
              <w:numPr>
                <w:ilvl w:val="0"/>
                <w:numId w:val="0"/>
              </w:numPr>
              <w:suppressLineNumbers w:val="0"/>
              <w:adjustRightInd w:val="0"/>
              <w:snapToGrid w:val="0"/>
              <w:spacing w:before="0" w:beforeLines="0" w:beforeAutospacing="0" w:after="0" w:afterLines="0" w:afterAutospacing="0" w:line="440" w:lineRule="exact"/>
              <w:ind w:left="480" w:leftChars="200" w:right="0" w:rightChars="0"/>
              <w:jc w:val="both"/>
              <w:rPr>
                <w:rFonts w:hint="default" w:ascii="Times New Roman" w:hAnsi="Times New Roman" w:eastAsia="宋体" w:cs="Times New Roman"/>
                <w:color w:val="auto"/>
                <w:sz w:val="24"/>
                <w:szCs w:val="24"/>
                <w:lang w:val="en-US" w:eastAsia="zh-CN"/>
              </w:rPr>
            </w:pPr>
          </w:p>
        </w:tc>
      </w:tr>
    </w:tbl>
    <w:p w14:paraId="3C601B4A">
      <w:pPr>
        <w:pStyle w:val="24"/>
        <w:numPr>
          <w:ilvl w:val="0"/>
          <w:numId w:val="0"/>
        </w:numPr>
        <w:jc w:val="center"/>
        <w:outlineLvl w:val="0"/>
        <w:rPr>
          <w:rFonts w:hint="eastAsia" w:ascii="黑体" w:hAnsi="黑体" w:eastAsia="黑体" w:cs="Times New Roman"/>
          <w:snapToGrid w:val="0"/>
          <w:color w:val="auto"/>
          <w:sz w:val="30"/>
          <w:szCs w:val="30"/>
        </w:rPr>
        <w:sectPr>
          <w:pgSz w:w="11906" w:h="16838"/>
          <w:pgMar w:top="1440" w:right="1800" w:bottom="1440" w:left="1800" w:header="851" w:footer="851" w:gutter="0"/>
          <w:pgBorders w:offsetFrom="page">
            <w:top w:val="none" w:sz="0" w:space="0"/>
            <w:left w:val="none" w:sz="0" w:space="0"/>
            <w:bottom w:val="none" w:sz="0" w:space="0"/>
            <w:right w:val="none" w:sz="0" w:space="0"/>
          </w:pgBorders>
          <w:cols w:space="720" w:num="1"/>
          <w:docGrid w:linePitch="312" w:charSpace="0"/>
        </w:sectPr>
      </w:pPr>
    </w:p>
    <w:p w14:paraId="2D33F49D">
      <w:pPr>
        <w:pStyle w:val="24"/>
        <w:jc w:val="center"/>
        <w:outlineLvl w:val="0"/>
        <w:rPr>
          <w:rFonts w:ascii="黑体" w:hAnsi="黑体" w:eastAsia="黑体"/>
          <w:snapToGrid w:val="0"/>
          <w:color w:val="auto"/>
          <w:sz w:val="30"/>
          <w:szCs w:val="30"/>
        </w:rPr>
      </w:pPr>
      <w:bookmarkStart w:id="5" w:name="_Toc24934"/>
      <w:r>
        <w:rPr>
          <w:rFonts w:hint="eastAsia" w:ascii="黑体" w:hAnsi="黑体" w:eastAsia="黑体"/>
          <w:snapToGrid w:val="0"/>
          <w:color w:val="auto"/>
          <w:sz w:val="30"/>
          <w:szCs w:val="30"/>
        </w:rPr>
        <w:t>三、区域环境质量现状、环境保护目标及评价标准</w:t>
      </w:r>
      <w:bookmarkEnd w:id="5"/>
    </w:p>
    <w:tbl>
      <w:tblPr>
        <w:tblStyle w:val="28"/>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380"/>
        <w:gridCol w:w="8143"/>
      </w:tblGrid>
      <w:tr w14:paraId="0D6EB35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25" w:hRule="atLeast"/>
          <w:jc w:val="center"/>
        </w:trPr>
        <w:tc>
          <w:tcPr>
            <w:tcW w:w="250" w:type="pct"/>
            <w:noWrap w:val="0"/>
            <w:vAlign w:val="center"/>
          </w:tcPr>
          <w:p w14:paraId="4BDED601">
            <w:pPr>
              <w:pStyle w:val="56"/>
              <w:keepNext w:val="0"/>
              <w:keepLines w:val="0"/>
              <w:suppressLineNumbers w:val="0"/>
              <w:bidi w:val="0"/>
              <w:spacing w:before="0" w:beforeAutospacing="0" w:after="0" w:afterAutospacing="0"/>
              <w:ind w:left="0" w:right="0"/>
              <w:jc w:val="center"/>
              <w:outlineLvl w:val="9"/>
              <w:rPr>
                <w:rFonts w:hint="eastAsia" w:cs="Times New Roman"/>
                <w:color w:val="auto"/>
              </w:rPr>
            </w:pPr>
            <w:r>
              <w:rPr>
                <w:rFonts w:hint="eastAsia" w:cs="Times New Roman"/>
                <w:color w:val="auto"/>
              </w:rPr>
              <w:t>区域</w:t>
            </w:r>
          </w:p>
          <w:p w14:paraId="03D1E171">
            <w:pPr>
              <w:pStyle w:val="56"/>
              <w:keepNext w:val="0"/>
              <w:keepLines w:val="0"/>
              <w:suppressLineNumbers w:val="0"/>
              <w:bidi w:val="0"/>
              <w:spacing w:before="0" w:beforeAutospacing="0" w:after="0" w:afterAutospacing="0"/>
              <w:ind w:left="0" w:right="0"/>
              <w:jc w:val="center"/>
              <w:outlineLvl w:val="9"/>
              <w:rPr>
                <w:rFonts w:hint="eastAsia" w:cs="Times New Roman"/>
                <w:color w:val="auto"/>
              </w:rPr>
            </w:pPr>
            <w:r>
              <w:rPr>
                <w:rFonts w:hint="eastAsia" w:cs="Times New Roman"/>
                <w:color w:val="auto"/>
              </w:rPr>
              <w:t>环境</w:t>
            </w:r>
          </w:p>
          <w:p w14:paraId="1C8BC8D6">
            <w:pPr>
              <w:pStyle w:val="56"/>
              <w:keepNext w:val="0"/>
              <w:keepLines w:val="0"/>
              <w:suppressLineNumbers w:val="0"/>
              <w:bidi w:val="0"/>
              <w:spacing w:before="0" w:beforeAutospacing="0" w:after="0" w:afterAutospacing="0"/>
              <w:ind w:left="0" w:right="0"/>
              <w:jc w:val="center"/>
              <w:outlineLvl w:val="9"/>
              <w:rPr>
                <w:rFonts w:hint="eastAsia" w:cs="Times New Roman"/>
                <w:color w:val="auto"/>
              </w:rPr>
            </w:pPr>
            <w:r>
              <w:rPr>
                <w:rFonts w:hint="eastAsia" w:cs="Times New Roman"/>
                <w:color w:val="auto"/>
              </w:rPr>
              <w:t>质量</w:t>
            </w:r>
          </w:p>
          <w:p w14:paraId="631A4537">
            <w:pPr>
              <w:pStyle w:val="56"/>
              <w:keepNext w:val="0"/>
              <w:keepLines w:val="0"/>
              <w:suppressLineNumbers w:val="0"/>
              <w:bidi w:val="0"/>
              <w:spacing w:before="0" w:beforeAutospacing="0" w:after="0" w:afterAutospacing="0"/>
              <w:ind w:left="0" w:right="0"/>
              <w:jc w:val="center"/>
              <w:outlineLvl w:val="9"/>
              <w:rPr>
                <w:rFonts w:hint="eastAsia" w:ascii="宋体" w:hAnsi="宋体" w:cs="宋体"/>
                <w:color w:val="auto"/>
                <w:kern w:val="0"/>
                <w:szCs w:val="21"/>
              </w:rPr>
            </w:pPr>
            <w:r>
              <w:rPr>
                <w:rFonts w:hint="eastAsia" w:cs="Times New Roman"/>
                <w:color w:val="auto"/>
              </w:rPr>
              <w:t>现状</w:t>
            </w:r>
          </w:p>
        </w:tc>
        <w:tc>
          <w:tcPr>
            <w:tcW w:w="4750" w:type="pct"/>
            <w:noWrap w:val="0"/>
            <w:vAlign w:val="center"/>
          </w:tcPr>
          <w:p w14:paraId="4DA11CA4">
            <w:pPr>
              <w:pStyle w:val="79"/>
              <w:keepNext w:val="0"/>
              <w:keepLines w:val="0"/>
              <w:widowControl/>
              <w:suppressLineNumbers w:val="0"/>
              <w:spacing w:before="0" w:beforeAutospacing="0" w:after="0" w:afterAutospacing="0"/>
              <w:ind w:left="0" w:right="0" w:firstLine="480"/>
              <w:jc w:val="both"/>
              <w:rPr>
                <w:rFonts w:hint="eastAsia"/>
                <w:color w:val="auto"/>
              </w:rPr>
            </w:pPr>
            <w:r>
              <w:rPr>
                <w:rFonts w:hint="eastAsia"/>
                <w:color w:val="auto"/>
              </w:rPr>
              <w:t>1、地表水环境质量现状</w:t>
            </w:r>
          </w:p>
          <w:p w14:paraId="5809800F">
            <w:pPr>
              <w:pStyle w:val="79"/>
              <w:keepNext w:val="0"/>
              <w:keepLines w:val="0"/>
              <w:widowControl/>
              <w:suppressLineNumbers w:val="0"/>
              <w:spacing w:before="0" w:beforeAutospacing="0" w:after="0" w:afterAutospacing="0"/>
              <w:ind w:left="0" w:right="0" w:firstLine="480"/>
              <w:jc w:val="both"/>
              <w:rPr>
                <w:rFonts w:hint="eastAsia"/>
                <w:color w:val="auto"/>
              </w:rPr>
            </w:pPr>
            <w:r>
              <w:rPr>
                <w:rFonts w:hint="eastAsia"/>
                <w:color w:val="auto"/>
              </w:rPr>
              <w:t>2025年4月江西省宜春生态环境监测中心对全市主要流域18个断面水质进行了监测</w:t>
            </w:r>
            <w:r>
              <w:rPr>
                <w:rFonts w:hint="eastAsia"/>
                <w:color w:val="auto"/>
                <w:lang w:eastAsia="zh-CN"/>
              </w:rPr>
              <w:t>，</w:t>
            </w:r>
            <w:r>
              <w:rPr>
                <w:rFonts w:hint="eastAsia"/>
                <w:color w:val="auto"/>
              </w:rPr>
              <w:t>对我市范围内其他中心监测的15个断面水质数据进行了收集。监测评价指标为pH、溶解氧、高锰酸盐指数、化学需氧量、五日生化需氧量、氨氮、总磷、铜、锌、氟化物、硒、砷、汞、镉、六价铬、铅、氰化物、挥发酚、石油类、阴离子表面活性剂、硫化物共21项。监测评价标准为《地表水环境质量标准》</w:t>
            </w:r>
            <w:r>
              <w:rPr>
                <w:rFonts w:hint="eastAsia"/>
                <w:color w:val="auto"/>
                <w:lang w:eastAsia="zh-CN"/>
              </w:rPr>
              <w:t>（</w:t>
            </w:r>
            <w:r>
              <w:rPr>
                <w:rFonts w:hint="eastAsia"/>
                <w:color w:val="auto"/>
              </w:rPr>
              <w:t>GB3838-2002</w:t>
            </w:r>
            <w:r>
              <w:rPr>
                <w:rFonts w:hint="eastAsia"/>
                <w:color w:val="auto"/>
                <w:lang w:eastAsia="zh-CN"/>
              </w:rPr>
              <w:t>）</w:t>
            </w:r>
            <w:r>
              <w:rPr>
                <w:rFonts w:hint="eastAsia"/>
                <w:color w:val="auto"/>
              </w:rPr>
              <w:t>。</w:t>
            </w:r>
          </w:p>
          <w:p w14:paraId="693897D0">
            <w:pPr>
              <w:pStyle w:val="79"/>
              <w:keepNext w:val="0"/>
              <w:keepLines w:val="0"/>
              <w:widowControl/>
              <w:suppressLineNumbers w:val="0"/>
              <w:spacing w:before="0" w:beforeAutospacing="0" w:after="0" w:afterAutospacing="0"/>
              <w:ind w:left="0" w:right="0" w:firstLine="480"/>
              <w:jc w:val="both"/>
              <w:rPr>
                <w:rFonts w:hint="eastAsia" w:ascii="Times New Roman" w:hAnsi="Times New Roman" w:eastAsia="宋体" w:cs="Times New Roman"/>
                <w:color w:val="auto"/>
              </w:rPr>
            </w:pPr>
            <w:r>
              <w:rPr>
                <w:rFonts w:hint="eastAsia" w:ascii="Times New Roman" w:hAnsi="Times New Roman" w:eastAsia="宋体" w:cs="Times New Roman"/>
                <w:color w:val="auto"/>
              </w:rPr>
              <w:t>根据江西省宜春生态环境监测中心发布的检测结果公示（网址http</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//sthjj.yichun.gov.cn/ycssthjj/hjzlzkbb/202506/7b431dc773bf49b582e4e448a24ba8c9.shtmll）</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锦江各断面能够满足《地表水环境质量标准》</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GB3838-2002</w:t>
            </w:r>
            <w:r>
              <w:rPr>
                <w:rFonts w:hint="eastAsia" w:ascii="Times New Roman" w:hAnsi="Times New Roman" w:eastAsia="宋体" w:cs="Times New Roman"/>
                <w:color w:val="auto"/>
                <w:lang w:eastAsia="zh-CN"/>
              </w:rPr>
              <w:t>）</w:t>
            </w:r>
            <w:r>
              <w:rPr>
                <w:rFonts w:hint="eastAsia" w:cs="Times New Roman"/>
                <w:color w:val="auto"/>
                <w:lang w:eastAsia="zh-CN"/>
              </w:rPr>
              <w:t>Ⅲ类</w:t>
            </w:r>
            <w:r>
              <w:rPr>
                <w:rFonts w:hint="eastAsia" w:ascii="Times New Roman" w:hAnsi="Times New Roman" w:eastAsia="宋体" w:cs="Times New Roman"/>
                <w:color w:val="auto"/>
              </w:rPr>
              <w:t>标准要求</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水环境质量良好。</w:t>
            </w:r>
          </w:p>
          <w:p w14:paraId="41551374">
            <w:pPr>
              <w:pStyle w:val="7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color w:val="auto"/>
              </w:rPr>
            </w:pPr>
            <w:r>
              <w:rPr>
                <w:rFonts w:hint="eastAsia"/>
                <w:color w:val="auto"/>
              </w:rPr>
              <w:drawing>
                <wp:inline distT="0" distB="0" distL="114300" distR="114300">
                  <wp:extent cx="4628515" cy="3191510"/>
                  <wp:effectExtent l="0" t="0" r="4445" b="8890"/>
                  <wp:docPr id="1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2"/>
                          <pic:cNvPicPr>
                            <a:picLocks noChangeAspect="1"/>
                          </pic:cNvPicPr>
                        </pic:nvPicPr>
                        <pic:blipFill>
                          <a:blip r:embed="rId17"/>
                          <a:stretch>
                            <a:fillRect/>
                          </a:stretch>
                        </pic:blipFill>
                        <pic:spPr>
                          <a:xfrm>
                            <a:off x="0" y="0"/>
                            <a:ext cx="4628515" cy="3191510"/>
                          </a:xfrm>
                          <a:prstGeom prst="rect">
                            <a:avLst/>
                          </a:prstGeom>
                          <a:noFill/>
                          <a:ln>
                            <a:noFill/>
                          </a:ln>
                        </pic:spPr>
                      </pic:pic>
                    </a:graphicData>
                  </a:graphic>
                </wp:inline>
              </w:drawing>
            </w:r>
          </w:p>
          <w:p w14:paraId="36DA5ABC">
            <w:pPr>
              <w:pStyle w:val="79"/>
              <w:keepNext w:val="0"/>
              <w:keepLines w:val="0"/>
              <w:widowControl/>
              <w:suppressLineNumbers w:val="0"/>
              <w:spacing w:before="0" w:beforeAutospacing="0" w:after="0" w:afterAutospacing="0"/>
              <w:ind w:left="0" w:right="0" w:firstLine="480"/>
              <w:jc w:val="both"/>
              <w:rPr>
                <w:rFonts w:hint="eastAsia"/>
                <w:color w:val="auto"/>
              </w:rPr>
            </w:pPr>
            <w:r>
              <w:rPr>
                <w:rFonts w:hint="eastAsia"/>
                <w:color w:val="auto"/>
              </w:rPr>
              <w:t>2、大气环境</w:t>
            </w:r>
            <w:r>
              <w:rPr>
                <w:rFonts w:hint="eastAsia"/>
                <w:color w:val="auto"/>
                <w:lang w:eastAsia="zh-CN"/>
              </w:rPr>
              <w:t>质量</w:t>
            </w:r>
            <w:r>
              <w:rPr>
                <w:rFonts w:hint="eastAsia"/>
                <w:color w:val="auto"/>
              </w:rPr>
              <w:t>现状</w:t>
            </w:r>
          </w:p>
          <w:p w14:paraId="693A66C3">
            <w:pPr>
              <w:pStyle w:val="79"/>
              <w:keepNext w:val="0"/>
              <w:keepLines w:val="0"/>
              <w:widowControl/>
              <w:suppressLineNumbers w:val="0"/>
              <w:spacing w:before="0" w:beforeAutospacing="0" w:after="0" w:afterAutospacing="0"/>
              <w:ind w:left="0" w:right="0" w:firstLine="480"/>
              <w:jc w:val="both"/>
              <w:rPr>
                <w:rFonts w:hint="eastAsia"/>
                <w:color w:val="auto"/>
              </w:rPr>
            </w:pPr>
            <w:r>
              <w:rPr>
                <w:rFonts w:hint="default" w:ascii="Times New Roman" w:hAnsi="Times New Roman" w:cs="Times New Roman"/>
                <w:color w:val="auto"/>
                <w:lang w:val="en-US" w:eastAsia="zh-CN"/>
              </w:rPr>
              <w:t>1）</w:t>
            </w:r>
            <w:r>
              <w:rPr>
                <w:rFonts w:hint="default" w:ascii="Times New Roman" w:hAnsi="Times New Roman" w:cs="Times New Roman"/>
                <w:color w:val="auto"/>
              </w:rPr>
              <w:t>本项目</w:t>
            </w:r>
            <w:r>
              <w:rPr>
                <w:rFonts w:hint="eastAsia"/>
                <w:color w:val="auto"/>
              </w:rPr>
              <w:t>常规因子引用江西省环境生态厅网站发布的202</w:t>
            </w:r>
            <w:r>
              <w:rPr>
                <w:rFonts w:hint="eastAsia"/>
                <w:color w:val="auto"/>
                <w:lang w:val="en-US" w:eastAsia="zh-CN"/>
              </w:rPr>
              <w:t>4</w:t>
            </w:r>
            <w:r>
              <w:rPr>
                <w:rFonts w:hint="eastAsia"/>
                <w:color w:val="auto"/>
              </w:rPr>
              <w:t>年江西省环境状况公报中</w:t>
            </w:r>
            <w:r>
              <w:rPr>
                <w:rFonts w:hint="eastAsia"/>
                <w:color w:val="auto"/>
                <w:lang w:eastAsia="zh-CN"/>
              </w:rPr>
              <w:t>宜春市高安市</w:t>
            </w:r>
            <w:r>
              <w:rPr>
                <w:rFonts w:hint="eastAsia"/>
                <w:color w:val="auto"/>
              </w:rPr>
              <w:t>环境质量现状数据，监测结果见下表3-1。</w:t>
            </w:r>
          </w:p>
          <w:p w14:paraId="033EE6FB">
            <w:pPr>
              <w:pStyle w:val="54"/>
              <w:keepNext w:val="0"/>
              <w:keepLines w:val="0"/>
              <w:numPr>
                <w:ilvl w:val="0"/>
                <w:numId w:val="10"/>
              </w:numPr>
              <w:suppressLineNumbers w:val="0"/>
              <w:bidi w:val="0"/>
              <w:spacing w:before="0" w:beforeAutospacing="0" w:after="0" w:afterAutospacing="0"/>
              <w:ind w:left="0" w:leftChars="0" w:right="0" w:firstLine="0" w:firstLineChars="0"/>
              <w:rPr>
                <w:rFonts w:hint="default" w:ascii="Times New Roman" w:hAnsi="Times New Roman" w:cs="Times New Roman"/>
                <w:b/>
                <w:bCs w:val="0"/>
                <w:color w:val="auto"/>
                <w:sz w:val="21"/>
                <w:szCs w:val="21"/>
              </w:rPr>
            </w:pPr>
            <w:r>
              <w:rPr>
                <w:rFonts w:hint="default" w:ascii="Times New Roman" w:hAnsi="Times New Roman" w:cs="Times New Roman"/>
                <w:b/>
                <w:bCs w:val="0"/>
                <w:color w:val="auto"/>
                <w:sz w:val="21"/>
                <w:szCs w:val="21"/>
              </w:rPr>
              <w:t>项目所在区域空气质量现状评价表（单位：年平均值mg/</w:t>
            </w:r>
            <w:r>
              <w:rPr>
                <w:rFonts w:hint="default" w:ascii="Times New Roman" w:hAnsi="Times New Roman" w:cs="Times New Roman"/>
                <w:b/>
                <w:bCs w:val="0"/>
                <w:color w:val="auto"/>
                <w:sz w:val="21"/>
                <w:szCs w:val="21"/>
                <w:lang w:eastAsia="zh-CN"/>
              </w:rPr>
              <w:t>m³</w:t>
            </w:r>
            <w:r>
              <w:rPr>
                <w:rFonts w:hint="default" w:ascii="Times New Roman" w:hAnsi="Times New Roman" w:cs="Times New Roman"/>
                <w:b/>
                <w:bCs w:val="0"/>
                <w:color w:val="auto"/>
                <w:sz w:val="21"/>
                <w:szCs w:val="21"/>
              </w:rPr>
              <w:t>）</w:t>
            </w:r>
          </w:p>
          <w:tbl>
            <w:tblPr>
              <w:tblStyle w:val="28"/>
              <w:tblW w:w="4996"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106"/>
              <w:gridCol w:w="1700"/>
              <w:gridCol w:w="1242"/>
              <w:gridCol w:w="1242"/>
              <w:gridCol w:w="1321"/>
              <w:gridCol w:w="1305"/>
            </w:tblGrid>
            <w:tr w14:paraId="511D8B2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1116" w:type="dxa"/>
                  <w:tcBorders>
                    <w:tl2br w:val="nil"/>
                    <w:tr2bl w:val="nil"/>
                  </w:tcBorders>
                  <w:noWrap w:val="0"/>
                  <w:vAlign w:val="center"/>
                </w:tcPr>
                <w:p w14:paraId="21F5872D">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污染物</w:t>
                  </w:r>
                </w:p>
              </w:tc>
              <w:tc>
                <w:tcPr>
                  <w:tcW w:w="1736" w:type="dxa"/>
                  <w:tcBorders>
                    <w:tl2br w:val="nil"/>
                    <w:tr2bl w:val="nil"/>
                  </w:tcBorders>
                  <w:noWrap w:val="0"/>
                  <w:vAlign w:val="center"/>
                </w:tcPr>
                <w:p w14:paraId="30856C2B">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年评价指标</w:t>
                  </w:r>
                </w:p>
              </w:tc>
              <w:tc>
                <w:tcPr>
                  <w:tcW w:w="1188" w:type="dxa"/>
                  <w:tcBorders>
                    <w:tl2br w:val="nil"/>
                    <w:tr2bl w:val="nil"/>
                  </w:tcBorders>
                  <w:noWrap w:val="0"/>
                  <w:vAlign w:val="center"/>
                </w:tcPr>
                <w:p w14:paraId="03957064">
                  <w:pPr>
                    <w:pStyle w:val="56"/>
                    <w:keepNext w:val="0"/>
                    <w:keepLines w:val="0"/>
                    <w:suppressLineNumbers w:val="0"/>
                    <w:bidi w:val="0"/>
                    <w:spacing w:before="0" w:beforeAutospacing="0" w:after="0" w:afterAutospacing="0"/>
                    <w:ind w:left="0" w:right="0"/>
                    <w:jc w:val="center"/>
                    <w:rPr>
                      <w:rFonts w:hint="eastAsia" w:eastAsia="宋体" w:cs="Times New Roman"/>
                      <w:color w:val="auto"/>
                      <w:lang w:eastAsia="zh-CN"/>
                    </w:rPr>
                  </w:pPr>
                  <w:r>
                    <w:rPr>
                      <w:rFonts w:hint="eastAsia" w:cs="Times New Roman"/>
                      <w:color w:val="auto"/>
                    </w:rPr>
                    <w:t>现状浓度</w:t>
                  </w:r>
                  <w:r>
                    <w:rPr>
                      <w:rFonts w:hint="eastAsia" w:cs="Times New Roman"/>
                      <w:color w:val="auto"/>
                      <w:lang w:eastAsia="zh-CN"/>
                    </w:rPr>
                    <w:t>（</w:t>
                  </w:r>
                  <w:r>
                    <w:rPr>
                      <w:rFonts w:hint="eastAsia" w:cs="Times New Roman"/>
                      <w:color w:val="auto"/>
                    </w:rPr>
                    <w:t>µg/</w:t>
                  </w:r>
                  <w:r>
                    <w:rPr>
                      <w:rFonts w:hint="eastAsia" w:cs="Times New Roman"/>
                      <w:color w:val="auto"/>
                      <w:lang w:eastAsia="zh-CN"/>
                    </w:rPr>
                    <w:t>m³）</w:t>
                  </w:r>
                </w:p>
              </w:tc>
              <w:tc>
                <w:tcPr>
                  <w:tcW w:w="1158" w:type="dxa"/>
                  <w:tcBorders>
                    <w:tl2br w:val="nil"/>
                    <w:tr2bl w:val="nil"/>
                  </w:tcBorders>
                  <w:noWrap w:val="0"/>
                  <w:vAlign w:val="center"/>
                </w:tcPr>
                <w:p w14:paraId="48D2DF7F">
                  <w:pPr>
                    <w:pStyle w:val="56"/>
                    <w:keepNext w:val="0"/>
                    <w:keepLines w:val="0"/>
                    <w:suppressLineNumbers w:val="0"/>
                    <w:bidi w:val="0"/>
                    <w:spacing w:before="0" w:beforeAutospacing="0" w:after="0" w:afterAutospacing="0"/>
                    <w:ind w:left="0" w:right="0"/>
                    <w:jc w:val="center"/>
                    <w:rPr>
                      <w:rFonts w:hint="eastAsia" w:eastAsia="宋体" w:cs="Times New Roman"/>
                      <w:color w:val="auto"/>
                      <w:lang w:eastAsia="zh-CN"/>
                    </w:rPr>
                  </w:pPr>
                  <w:r>
                    <w:rPr>
                      <w:rFonts w:hint="eastAsia" w:cs="Times New Roman"/>
                      <w:color w:val="auto"/>
                    </w:rPr>
                    <w:t>标准值</w:t>
                  </w:r>
                  <w:r>
                    <w:rPr>
                      <w:rFonts w:hint="eastAsia" w:cs="Times New Roman"/>
                      <w:color w:val="auto"/>
                      <w:lang w:eastAsia="zh-CN"/>
                    </w:rPr>
                    <w:t>（</w:t>
                  </w:r>
                  <w:r>
                    <w:rPr>
                      <w:rFonts w:hint="eastAsia" w:cs="Times New Roman"/>
                      <w:color w:val="auto"/>
                    </w:rPr>
                    <w:t>µg/</w:t>
                  </w:r>
                  <w:r>
                    <w:rPr>
                      <w:rFonts w:hint="eastAsia" w:cs="Times New Roman"/>
                      <w:color w:val="auto"/>
                      <w:lang w:eastAsia="zh-CN"/>
                    </w:rPr>
                    <w:t>m³）</w:t>
                  </w:r>
                </w:p>
              </w:tc>
              <w:tc>
                <w:tcPr>
                  <w:tcW w:w="1342" w:type="dxa"/>
                  <w:tcBorders>
                    <w:tl2br w:val="nil"/>
                    <w:tr2bl w:val="nil"/>
                  </w:tcBorders>
                  <w:noWrap w:val="0"/>
                  <w:vAlign w:val="center"/>
                </w:tcPr>
                <w:p w14:paraId="1B4C07E9">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占标率%</w:t>
                  </w:r>
                </w:p>
              </w:tc>
              <w:tc>
                <w:tcPr>
                  <w:tcW w:w="1331" w:type="dxa"/>
                  <w:tcBorders>
                    <w:tl2br w:val="nil"/>
                    <w:tr2bl w:val="nil"/>
                  </w:tcBorders>
                  <w:noWrap w:val="0"/>
                  <w:vAlign w:val="center"/>
                </w:tcPr>
                <w:p w14:paraId="43E08B90">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达标情况</w:t>
                  </w:r>
                </w:p>
              </w:tc>
            </w:tr>
            <w:tr w14:paraId="036E110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1116" w:type="dxa"/>
                  <w:tcBorders>
                    <w:tl2br w:val="nil"/>
                    <w:tr2bl w:val="nil"/>
                  </w:tcBorders>
                  <w:noWrap w:val="0"/>
                  <w:vAlign w:val="center"/>
                </w:tcPr>
                <w:p w14:paraId="39279FF1">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SO</w:t>
                  </w:r>
                  <w:r>
                    <w:rPr>
                      <w:rFonts w:hint="eastAsia" w:cs="Times New Roman"/>
                      <w:color w:val="auto"/>
                      <w:vertAlign w:val="subscript"/>
                    </w:rPr>
                    <w:t>2</w:t>
                  </w:r>
                </w:p>
              </w:tc>
              <w:tc>
                <w:tcPr>
                  <w:tcW w:w="1736" w:type="dxa"/>
                  <w:tcBorders>
                    <w:tl2br w:val="nil"/>
                    <w:tr2bl w:val="nil"/>
                  </w:tcBorders>
                  <w:noWrap w:val="0"/>
                  <w:vAlign w:val="center"/>
                </w:tcPr>
                <w:p w14:paraId="4311EB93">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年平均质量浓度</w:t>
                  </w:r>
                </w:p>
              </w:tc>
              <w:tc>
                <w:tcPr>
                  <w:tcW w:w="1188" w:type="dxa"/>
                  <w:tcBorders>
                    <w:tl2br w:val="nil"/>
                    <w:tr2bl w:val="nil"/>
                  </w:tcBorders>
                  <w:noWrap w:val="0"/>
                  <w:vAlign w:val="center"/>
                </w:tcPr>
                <w:p w14:paraId="16664605">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11</w:t>
                  </w:r>
                </w:p>
              </w:tc>
              <w:tc>
                <w:tcPr>
                  <w:tcW w:w="1158" w:type="dxa"/>
                  <w:tcBorders>
                    <w:tl2br w:val="nil"/>
                    <w:tr2bl w:val="nil"/>
                  </w:tcBorders>
                  <w:noWrap w:val="0"/>
                  <w:vAlign w:val="center"/>
                </w:tcPr>
                <w:p w14:paraId="4C671CD7">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60</w:t>
                  </w:r>
                </w:p>
              </w:tc>
              <w:tc>
                <w:tcPr>
                  <w:tcW w:w="1342" w:type="dxa"/>
                  <w:tcBorders>
                    <w:tl2br w:val="nil"/>
                    <w:tr2bl w:val="nil"/>
                  </w:tcBorders>
                  <w:noWrap w:val="0"/>
                  <w:vAlign w:val="bottom"/>
                </w:tcPr>
                <w:p w14:paraId="52681357">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default" w:cs="Times New Roman"/>
                      <w:color w:val="auto"/>
                      <w:lang w:val="en-US" w:eastAsia="zh-CN"/>
                    </w:rPr>
                    <w:t xml:space="preserve">18 </w:t>
                  </w:r>
                </w:p>
              </w:tc>
              <w:tc>
                <w:tcPr>
                  <w:tcW w:w="1331" w:type="dxa"/>
                  <w:tcBorders>
                    <w:tl2br w:val="nil"/>
                    <w:tr2bl w:val="nil"/>
                  </w:tcBorders>
                  <w:noWrap w:val="0"/>
                  <w:vAlign w:val="center"/>
                </w:tcPr>
                <w:p w14:paraId="58D251B6">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达标</w:t>
                  </w:r>
                </w:p>
              </w:tc>
            </w:tr>
            <w:tr w14:paraId="4247059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1116" w:type="dxa"/>
                  <w:tcBorders>
                    <w:tl2br w:val="nil"/>
                    <w:tr2bl w:val="nil"/>
                  </w:tcBorders>
                  <w:noWrap w:val="0"/>
                  <w:vAlign w:val="center"/>
                </w:tcPr>
                <w:p w14:paraId="328ABB52">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NO</w:t>
                  </w:r>
                  <w:r>
                    <w:rPr>
                      <w:rFonts w:hint="eastAsia" w:cs="Times New Roman"/>
                      <w:color w:val="auto"/>
                      <w:vertAlign w:val="subscript"/>
                    </w:rPr>
                    <w:t>2</w:t>
                  </w:r>
                </w:p>
              </w:tc>
              <w:tc>
                <w:tcPr>
                  <w:tcW w:w="1736" w:type="dxa"/>
                  <w:tcBorders>
                    <w:tl2br w:val="nil"/>
                    <w:tr2bl w:val="nil"/>
                  </w:tcBorders>
                  <w:noWrap w:val="0"/>
                  <w:vAlign w:val="center"/>
                </w:tcPr>
                <w:p w14:paraId="3C32693E">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年平均质量浓度</w:t>
                  </w:r>
                </w:p>
              </w:tc>
              <w:tc>
                <w:tcPr>
                  <w:tcW w:w="1188" w:type="dxa"/>
                  <w:tcBorders>
                    <w:tl2br w:val="nil"/>
                    <w:tr2bl w:val="nil"/>
                  </w:tcBorders>
                  <w:noWrap w:val="0"/>
                  <w:vAlign w:val="center"/>
                </w:tcPr>
                <w:p w14:paraId="553D056A">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20</w:t>
                  </w:r>
                </w:p>
              </w:tc>
              <w:tc>
                <w:tcPr>
                  <w:tcW w:w="1158" w:type="dxa"/>
                  <w:tcBorders>
                    <w:tl2br w:val="nil"/>
                    <w:tr2bl w:val="nil"/>
                  </w:tcBorders>
                  <w:noWrap w:val="0"/>
                  <w:vAlign w:val="center"/>
                </w:tcPr>
                <w:p w14:paraId="6E3DC2D2">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40</w:t>
                  </w:r>
                </w:p>
              </w:tc>
              <w:tc>
                <w:tcPr>
                  <w:tcW w:w="1342" w:type="dxa"/>
                  <w:tcBorders>
                    <w:tl2br w:val="nil"/>
                    <w:tr2bl w:val="nil"/>
                  </w:tcBorders>
                  <w:noWrap w:val="0"/>
                  <w:vAlign w:val="bottom"/>
                </w:tcPr>
                <w:p w14:paraId="3426EF70">
                  <w:pPr>
                    <w:pStyle w:val="56"/>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default" w:cs="Times New Roman"/>
                      <w:color w:val="auto"/>
                      <w:lang w:val="en-US" w:eastAsia="zh-CN"/>
                    </w:rPr>
                    <w:t xml:space="preserve">50 </w:t>
                  </w:r>
                </w:p>
              </w:tc>
              <w:tc>
                <w:tcPr>
                  <w:tcW w:w="1331" w:type="dxa"/>
                  <w:tcBorders>
                    <w:tl2br w:val="nil"/>
                    <w:tr2bl w:val="nil"/>
                  </w:tcBorders>
                  <w:noWrap w:val="0"/>
                  <w:vAlign w:val="center"/>
                </w:tcPr>
                <w:p w14:paraId="0B0DB423">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达标</w:t>
                  </w:r>
                </w:p>
              </w:tc>
            </w:tr>
            <w:tr w14:paraId="3614F3C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1116" w:type="dxa"/>
                  <w:tcBorders>
                    <w:tl2br w:val="nil"/>
                    <w:tr2bl w:val="nil"/>
                  </w:tcBorders>
                  <w:noWrap w:val="0"/>
                  <w:vAlign w:val="center"/>
                </w:tcPr>
                <w:p w14:paraId="49A2F836">
                  <w:pPr>
                    <w:pStyle w:val="56"/>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s="Times New Roman"/>
                      <w:color w:val="auto"/>
                      <w:lang w:val="en-US" w:eastAsia="zh-CN"/>
                    </w:rPr>
                    <w:t>P</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eastAsia" w:cs="Times New Roman"/>
                      <w:color w:val="auto"/>
                      <w:vertAlign w:val="subscript"/>
                      <w:lang w:val="en-US" w:eastAsia="zh-CN"/>
                    </w:rPr>
                    <w:t>.5</w:t>
                  </w:r>
                </w:p>
              </w:tc>
              <w:tc>
                <w:tcPr>
                  <w:tcW w:w="1736" w:type="dxa"/>
                  <w:tcBorders>
                    <w:tl2br w:val="nil"/>
                    <w:tr2bl w:val="nil"/>
                  </w:tcBorders>
                  <w:noWrap w:val="0"/>
                  <w:vAlign w:val="center"/>
                </w:tcPr>
                <w:p w14:paraId="60B73F6D">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年平均质量浓度</w:t>
                  </w:r>
                </w:p>
              </w:tc>
              <w:tc>
                <w:tcPr>
                  <w:tcW w:w="1188" w:type="dxa"/>
                  <w:tcBorders>
                    <w:tl2br w:val="nil"/>
                    <w:tr2bl w:val="nil"/>
                  </w:tcBorders>
                  <w:noWrap w:val="0"/>
                  <w:vAlign w:val="center"/>
                </w:tcPr>
                <w:p w14:paraId="513A3317">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23.4</w:t>
                  </w:r>
                </w:p>
              </w:tc>
              <w:tc>
                <w:tcPr>
                  <w:tcW w:w="1158" w:type="dxa"/>
                  <w:tcBorders>
                    <w:tl2br w:val="nil"/>
                    <w:tr2bl w:val="nil"/>
                  </w:tcBorders>
                  <w:noWrap w:val="0"/>
                  <w:vAlign w:val="center"/>
                </w:tcPr>
                <w:p w14:paraId="51B116C2">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35</w:t>
                  </w:r>
                </w:p>
              </w:tc>
              <w:tc>
                <w:tcPr>
                  <w:tcW w:w="1342" w:type="dxa"/>
                  <w:tcBorders>
                    <w:tl2br w:val="nil"/>
                    <w:tr2bl w:val="nil"/>
                  </w:tcBorders>
                  <w:noWrap w:val="0"/>
                  <w:vAlign w:val="bottom"/>
                </w:tcPr>
                <w:p w14:paraId="439366FC">
                  <w:pPr>
                    <w:pStyle w:val="56"/>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default" w:cs="Times New Roman"/>
                      <w:color w:val="auto"/>
                      <w:lang w:val="en-US" w:eastAsia="zh-CN"/>
                    </w:rPr>
                    <w:t xml:space="preserve">67 </w:t>
                  </w:r>
                </w:p>
              </w:tc>
              <w:tc>
                <w:tcPr>
                  <w:tcW w:w="1331" w:type="dxa"/>
                  <w:tcBorders>
                    <w:tl2br w:val="nil"/>
                    <w:tr2bl w:val="nil"/>
                  </w:tcBorders>
                  <w:noWrap w:val="0"/>
                  <w:vAlign w:val="center"/>
                </w:tcPr>
                <w:p w14:paraId="04100865">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达标</w:t>
                  </w:r>
                </w:p>
              </w:tc>
            </w:tr>
            <w:tr w14:paraId="76106E0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1116" w:type="dxa"/>
                  <w:tcBorders>
                    <w:tl2br w:val="nil"/>
                    <w:tr2bl w:val="nil"/>
                  </w:tcBorders>
                  <w:noWrap w:val="0"/>
                  <w:vAlign w:val="center"/>
                </w:tcPr>
                <w:p w14:paraId="14248C36">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PM</w:t>
                  </w:r>
                  <w:r>
                    <w:rPr>
                      <w:rFonts w:hint="eastAsia" w:cs="Times New Roman"/>
                      <w:color w:val="auto"/>
                      <w:vertAlign w:val="subscript"/>
                    </w:rPr>
                    <w:t>10</w:t>
                  </w:r>
                </w:p>
              </w:tc>
              <w:tc>
                <w:tcPr>
                  <w:tcW w:w="1736" w:type="dxa"/>
                  <w:tcBorders>
                    <w:tl2br w:val="nil"/>
                    <w:tr2bl w:val="nil"/>
                  </w:tcBorders>
                  <w:noWrap w:val="0"/>
                  <w:vAlign w:val="center"/>
                </w:tcPr>
                <w:p w14:paraId="0E6A431B">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年平均质量浓度</w:t>
                  </w:r>
                </w:p>
              </w:tc>
              <w:tc>
                <w:tcPr>
                  <w:tcW w:w="1188" w:type="dxa"/>
                  <w:tcBorders>
                    <w:tl2br w:val="nil"/>
                    <w:tr2bl w:val="nil"/>
                  </w:tcBorders>
                  <w:noWrap w:val="0"/>
                  <w:vAlign w:val="center"/>
                </w:tcPr>
                <w:p w14:paraId="58CADDB6">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38</w:t>
                  </w:r>
                </w:p>
              </w:tc>
              <w:tc>
                <w:tcPr>
                  <w:tcW w:w="1158" w:type="dxa"/>
                  <w:tcBorders>
                    <w:tl2br w:val="nil"/>
                    <w:tr2bl w:val="nil"/>
                  </w:tcBorders>
                  <w:noWrap w:val="0"/>
                  <w:vAlign w:val="center"/>
                </w:tcPr>
                <w:p w14:paraId="15405E1B">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70</w:t>
                  </w:r>
                </w:p>
              </w:tc>
              <w:tc>
                <w:tcPr>
                  <w:tcW w:w="1342" w:type="dxa"/>
                  <w:tcBorders>
                    <w:tl2br w:val="nil"/>
                    <w:tr2bl w:val="nil"/>
                  </w:tcBorders>
                  <w:noWrap w:val="0"/>
                  <w:vAlign w:val="bottom"/>
                </w:tcPr>
                <w:p w14:paraId="7B90848C">
                  <w:pPr>
                    <w:pStyle w:val="56"/>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default" w:cs="Times New Roman"/>
                      <w:color w:val="auto"/>
                      <w:lang w:val="en-US" w:eastAsia="zh-CN"/>
                    </w:rPr>
                    <w:t xml:space="preserve">54 </w:t>
                  </w:r>
                </w:p>
              </w:tc>
              <w:tc>
                <w:tcPr>
                  <w:tcW w:w="1331" w:type="dxa"/>
                  <w:tcBorders>
                    <w:tl2br w:val="nil"/>
                    <w:tr2bl w:val="nil"/>
                  </w:tcBorders>
                  <w:noWrap w:val="0"/>
                  <w:vAlign w:val="center"/>
                </w:tcPr>
                <w:p w14:paraId="5C95CF65">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达标</w:t>
                  </w:r>
                </w:p>
              </w:tc>
            </w:tr>
            <w:tr w14:paraId="64F22FE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1116" w:type="dxa"/>
                  <w:tcBorders>
                    <w:tl2br w:val="nil"/>
                    <w:tr2bl w:val="nil"/>
                  </w:tcBorders>
                  <w:noWrap w:val="0"/>
                  <w:vAlign w:val="center"/>
                </w:tcPr>
                <w:p w14:paraId="7D3E2CA5">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CO</w:t>
                  </w:r>
                </w:p>
              </w:tc>
              <w:tc>
                <w:tcPr>
                  <w:tcW w:w="1736" w:type="dxa"/>
                  <w:tcBorders>
                    <w:tl2br w:val="nil"/>
                    <w:tr2bl w:val="nil"/>
                  </w:tcBorders>
                  <w:noWrap w:val="0"/>
                  <w:vAlign w:val="center"/>
                </w:tcPr>
                <w:p w14:paraId="46C02D44">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年平均质量浓度</w:t>
                  </w:r>
                </w:p>
              </w:tc>
              <w:tc>
                <w:tcPr>
                  <w:tcW w:w="1188" w:type="dxa"/>
                  <w:tcBorders>
                    <w:tl2br w:val="nil"/>
                    <w:tr2bl w:val="nil"/>
                  </w:tcBorders>
                  <w:noWrap w:val="0"/>
                  <w:vAlign w:val="center"/>
                </w:tcPr>
                <w:p w14:paraId="5E8D295F">
                  <w:pPr>
                    <w:pStyle w:val="56"/>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s="Times New Roman"/>
                      <w:color w:val="auto"/>
                      <w:lang w:val="en-US" w:eastAsia="zh-CN"/>
                    </w:rPr>
                    <w:t>900</w:t>
                  </w:r>
                </w:p>
              </w:tc>
              <w:tc>
                <w:tcPr>
                  <w:tcW w:w="1158" w:type="dxa"/>
                  <w:tcBorders>
                    <w:tl2br w:val="nil"/>
                    <w:tr2bl w:val="nil"/>
                  </w:tcBorders>
                  <w:noWrap w:val="0"/>
                  <w:vAlign w:val="center"/>
                </w:tcPr>
                <w:p w14:paraId="2542846F">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4000</w:t>
                  </w:r>
                </w:p>
              </w:tc>
              <w:tc>
                <w:tcPr>
                  <w:tcW w:w="1342" w:type="dxa"/>
                  <w:tcBorders>
                    <w:tl2br w:val="nil"/>
                    <w:tr2bl w:val="nil"/>
                  </w:tcBorders>
                  <w:noWrap w:val="0"/>
                  <w:vAlign w:val="bottom"/>
                </w:tcPr>
                <w:p w14:paraId="3801607B">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default" w:cs="Times New Roman"/>
                      <w:color w:val="auto"/>
                      <w:lang w:val="en-US" w:eastAsia="zh-CN"/>
                    </w:rPr>
                    <w:t xml:space="preserve">23 </w:t>
                  </w:r>
                </w:p>
              </w:tc>
              <w:tc>
                <w:tcPr>
                  <w:tcW w:w="1331" w:type="dxa"/>
                  <w:tcBorders>
                    <w:tl2br w:val="nil"/>
                    <w:tr2bl w:val="nil"/>
                  </w:tcBorders>
                  <w:noWrap w:val="0"/>
                  <w:vAlign w:val="center"/>
                </w:tcPr>
                <w:p w14:paraId="46A9932E">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达标</w:t>
                  </w:r>
                </w:p>
              </w:tc>
            </w:tr>
            <w:tr w14:paraId="741D039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1116" w:type="dxa"/>
                  <w:tcBorders>
                    <w:tl2br w:val="nil"/>
                    <w:tr2bl w:val="nil"/>
                  </w:tcBorders>
                  <w:noWrap w:val="0"/>
                  <w:vAlign w:val="center"/>
                </w:tcPr>
                <w:p w14:paraId="54B39857">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臭氧（O</w:t>
                  </w:r>
                  <w:r>
                    <w:rPr>
                      <w:rFonts w:hint="eastAsia" w:cs="Times New Roman"/>
                      <w:color w:val="auto"/>
                      <w:vertAlign w:val="subscript"/>
                    </w:rPr>
                    <w:t>3）</w:t>
                  </w:r>
                </w:p>
              </w:tc>
              <w:tc>
                <w:tcPr>
                  <w:tcW w:w="1736" w:type="dxa"/>
                  <w:tcBorders>
                    <w:tl2br w:val="nil"/>
                    <w:tr2bl w:val="nil"/>
                  </w:tcBorders>
                  <w:noWrap w:val="0"/>
                  <w:vAlign w:val="center"/>
                </w:tcPr>
                <w:p w14:paraId="68A6FE64">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8h平均质量浓度</w:t>
                  </w:r>
                </w:p>
              </w:tc>
              <w:tc>
                <w:tcPr>
                  <w:tcW w:w="1188" w:type="dxa"/>
                  <w:tcBorders>
                    <w:tl2br w:val="nil"/>
                    <w:tr2bl w:val="nil"/>
                  </w:tcBorders>
                  <w:noWrap w:val="0"/>
                  <w:vAlign w:val="center"/>
                </w:tcPr>
                <w:p w14:paraId="4E2DF12D">
                  <w:pPr>
                    <w:pStyle w:val="56"/>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s="Times New Roman"/>
                      <w:color w:val="auto"/>
                      <w:lang w:val="en-US" w:eastAsia="zh-CN"/>
                    </w:rPr>
                    <w:t>134</w:t>
                  </w:r>
                </w:p>
              </w:tc>
              <w:tc>
                <w:tcPr>
                  <w:tcW w:w="1158" w:type="dxa"/>
                  <w:tcBorders>
                    <w:tl2br w:val="nil"/>
                    <w:tr2bl w:val="nil"/>
                  </w:tcBorders>
                  <w:noWrap w:val="0"/>
                  <w:vAlign w:val="center"/>
                </w:tcPr>
                <w:p w14:paraId="72027F48">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160</w:t>
                  </w:r>
                </w:p>
              </w:tc>
              <w:tc>
                <w:tcPr>
                  <w:tcW w:w="1342" w:type="dxa"/>
                  <w:tcBorders>
                    <w:tl2br w:val="nil"/>
                    <w:tr2bl w:val="nil"/>
                  </w:tcBorders>
                  <w:noWrap w:val="0"/>
                  <w:vAlign w:val="bottom"/>
                </w:tcPr>
                <w:p w14:paraId="6377D2D3">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default" w:cs="Times New Roman"/>
                      <w:color w:val="auto"/>
                      <w:lang w:val="en-US" w:eastAsia="zh-CN"/>
                    </w:rPr>
                    <w:t xml:space="preserve">84 </w:t>
                  </w:r>
                </w:p>
              </w:tc>
              <w:tc>
                <w:tcPr>
                  <w:tcW w:w="1331" w:type="dxa"/>
                  <w:tcBorders>
                    <w:tl2br w:val="nil"/>
                    <w:tr2bl w:val="nil"/>
                  </w:tcBorders>
                  <w:noWrap w:val="0"/>
                  <w:vAlign w:val="center"/>
                </w:tcPr>
                <w:p w14:paraId="39160ED7">
                  <w:pPr>
                    <w:pStyle w:val="56"/>
                    <w:keepNext w:val="0"/>
                    <w:keepLines w:val="0"/>
                    <w:suppressLineNumbers w:val="0"/>
                    <w:bidi w:val="0"/>
                    <w:spacing w:before="0" w:beforeAutospacing="0" w:after="0" w:afterAutospacing="0"/>
                    <w:ind w:left="0" w:right="0"/>
                    <w:jc w:val="center"/>
                    <w:rPr>
                      <w:rFonts w:hint="eastAsia" w:cs="Times New Roman"/>
                      <w:color w:val="auto"/>
                    </w:rPr>
                  </w:pPr>
                  <w:r>
                    <w:rPr>
                      <w:rFonts w:hint="eastAsia" w:cs="Times New Roman"/>
                      <w:color w:val="auto"/>
                    </w:rPr>
                    <w:t>达标</w:t>
                  </w:r>
                </w:p>
              </w:tc>
            </w:tr>
          </w:tbl>
          <w:p w14:paraId="0245AE70">
            <w:pPr>
              <w:pStyle w:val="79"/>
              <w:keepNext w:val="0"/>
              <w:keepLines w:val="0"/>
              <w:widowControl/>
              <w:suppressLineNumbers w:val="0"/>
              <w:spacing w:before="0" w:beforeAutospacing="0" w:after="0" w:afterAutospacing="0"/>
              <w:ind w:left="0" w:right="0" w:firstLine="480"/>
              <w:jc w:val="both"/>
              <w:rPr>
                <w:rFonts w:hint="eastAsia"/>
                <w:color w:val="auto"/>
              </w:rPr>
            </w:pPr>
            <w:r>
              <w:rPr>
                <w:rFonts w:hint="eastAsia"/>
                <w:color w:val="auto"/>
              </w:rPr>
              <w:t>项目所在区域SO</w:t>
            </w:r>
            <w:r>
              <w:rPr>
                <w:rFonts w:hint="eastAsia"/>
                <w:color w:val="auto"/>
                <w:vertAlign w:val="subscript"/>
              </w:rPr>
              <w:t>2</w:t>
            </w:r>
            <w:r>
              <w:rPr>
                <w:rFonts w:hint="eastAsia"/>
                <w:color w:val="auto"/>
              </w:rPr>
              <w:t>、NO</w:t>
            </w:r>
            <w:r>
              <w:rPr>
                <w:rFonts w:hint="eastAsia"/>
                <w:color w:val="auto"/>
                <w:vertAlign w:val="subscript"/>
              </w:rPr>
              <w:t>2</w:t>
            </w:r>
            <w:r>
              <w:rPr>
                <w:rFonts w:hint="eastAsia"/>
                <w:color w:val="auto"/>
              </w:rPr>
              <w:t>、PM</w:t>
            </w:r>
            <w:r>
              <w:rPr>
                <w:rFonts w:hint="eastAsia"/>
                <w:color w:val="auto"/>
                <w:vertAlign w:val="subscript"/>
              </w:rPr>
              <w:t>10</w:t>
            </w:r>
            <w:r>
              <w:rPr>
                <w:rFonts w:hint="eastAsia"/>
                <w:color w:val="auto"/>
              </w:rPr>
              <w:t>、P</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eastAsia"/>
                <w:color w:val="auto"/>
                <w:vertAlign w:val="subscript"/>
                <w:lang w:val="en-US" w:eastAsia="zh-CN"/>
              </w:rPr>
              <w:t>.5</w:t>
            </w:r>
            <w:r>
              <w:rPr>
                <w:rFonts w:hint="eastAsia"/>
                <w:color w:val="auto"/>
              </w:rPr>
              <w:t>、CO、O</w:t>
            </w:r>
            <w:r>
              <w:rPr>
                <w:rFonts w:hint="eastAsia"/>
                <w:color w:val="auto"/>
                <w:vertAlign w:val="subscript"/>
              </w:rPr>
              <w:t>3</w:t>
            </w:r>
            <w:r>
              <w:rPr>
                <w:rFonts w:hint="eastAsia"/>
                <w:color w:val="auto"/>
              </w:rPr>
              <w:t>年均值均达到《环境空气质量标准》（GB3095-2012）二级标准，表明项目所在地属于达标区。</w:t>
            </w:r>
          </w:p>
          <w:p w14:paraId="559950C6">
            <w:pPr>
              <w:pStyle w:val="79"/>
              <w:keepNext w:val="0"/>
              <w:keepLines w:val="0"/>
              <w:widowControl/>
              <w:suppressLineNumbers w:val="0"/>
              <w:spacing w:before="0" w:beforeAutospacing="0" w:after="0" w:afterAutospacing="0"/>
              <w:ind w:left="0" w:right="0" w:firstLine="480"/>
              <w:jc w:val="both"/>
              <w:rPr>
                <w:rFonts w:hint="eastAsia"/>
                <w:color w:val="auto"/>
                <w:lang w:eastAsia="zh-CN"/>
              </w:rPr>
            </w:pPr>
            <w:r>
              <w:rPr>
                <w:rFonts w:hint="eastAsia"/>
                <w:color w:val="auto"/>
                <w:lang w:val="en-US" w:eastAsia="zh-CN"/>
              </w:rPr>
              <w:t>2）</w:t>
            </w:r>
            <w:r>
              <w:rPr>
                <w:rFonts w:hint="eastAsia"/>
                <w:color w:val="auto"/>
                <w:lang w:eastAsia="zh-CN"/>
              </w:rPr>
              <w:t>为了解企业周围环境敏感保护目标空气现状，本次评价以TSP</w:t>
            </w:r>
            <w:r>
              <w:rPr>
                <w:rFonts w:hint="eastAsia"/>
                <w:color w:val="auto"/>
                <w:lang w:val="en-US" w:eastAsia="zh-CN"/>
              </w:rPr>
              <w:t>与氟化物</w:t>
            </w:r>
            <w:r>
              <w:rPr>
                <w:rFonts w:hint="eastAsia"/>
                <w:color w:val="auto"/>
                <w:lang w:eastAsia="zh-CN"/>
              </w:rPr>
              <w:t xml:space="preserve">作为本次评价的其他污染物指标。特征污染物TSP </w:t>
            </w:r>
            <w:r>
              <w:rPr>
                <w:rFonts w:hint="eastAsia"/>
                <w:color w:val="auto"/>
                <w:lang w:val="en-US" w:eastAsia="zh-CN"/>
              </w:rPr>
              <w:t>与氟化物</w:t>
            </w:r>
            <w:r>
              <w:rPr>
                <w:rFonts w:hint="eastAsia"/>
                <w:color w:val="auto"/>
                <w:lang w:eastAsia="zh-CN"/>
              </w:rPr>
              <w:t>引用江西宏德检测技术有限公司出具的《高安市博徳陶瓷有限公司年产 66万吨锂渣坯生产线技改项目环境质量现状监测报告》（HDJC20230313064）的现状监测数据，采样时间：2023年3月17日-23日，地点：大港村（位于本项目</w:t>
            </w:r>
            <w:r>
              <w:rPr>
                <w:rFonts w:hint="eastAsia"/>
                <w:color w:val="auto"/>
                <w:lang w:val="en-US" w:eastAsia="zh-CN"/>
              </w:rPr>
              <w:t>北</w:t>
            </w:r>
            <w:r>
              <w:rPr>
                <w:rFonts w:hint="eastAsia"/>
                <w:color w:val="auto"/>
                <w:lang w:eastAsia="zh-CN"/>
              </w:rPr>
              <w:t>侧</w:t>
            </w:r>
            <w:r>
              <w:rPr>
                <w:rFonts w:hint="eastAsia"/>
                <w:color w:val="auto"/>
                <w:lang w:val="en-US" w:eastAsia="zh-CN"/>
              </w:rPr>
              <w:t>3200</w:t>
            </w:r>
            <w:r>
              <w:rPr>
                <w:rFonts w:hint="eastAsia"/>
                <w:color w:val="auto"/>
                <w:lang w:eastAsia="zh-CN"/>
              </w:rPr>
              <w:t>m处，小于5km，可引用）本次环境空气监测及评价结果见表3-2.</w:t>
            </w:r>
          </w:p>
          <w:p w14:paraId="1C29B1B6">
            <w:pPr>
              <w:pStyle w:val="54"/>
              <w:keepNext w:val="0"/>
              <w:keepLines w:val="0"/>
              <w:numPr>
                <w:ilvl w:val="0"/>
                <w:numId w:val="10"/>
              </w:numPr>
              <w:suppressLineNumbers w:val="0"/>
              <w:bidi w:val="0"/>
              <w:spacing w:before="0" w:beforeAutospacing="0" w:after="0" w:afterAutospacing="0"/>
              <w:ind w:left="0" w:leftChars="0" w:right="0" w:firstLine="0" w:firstLineChars="0"/>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其他污染物补充监测点基本信息</w:t>
            </w:r>
          </w:p>
          <w:tbl>
            <w:tblPr>
              <w:tblStyle w:val="2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7"/>
              <w:gridCol w:w="914"/>
              <w:gridCol w:w="945"/>
              <w:gridCol w:w="1250"/>
              <w:gridCol w:w="1272"/>
              <w:gridCol w:w="1116"/>
              <w:gridCol w:w="907"/>
              <w:gridCol w:w="750"/>
            </w:tblGrid>
            <w:tr w14:paraId="77734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0" w:type="pct"/>
                  <w:vAlign w:val="center"/>
                </w:tcPr>
                <w:p w14:paraId="7D9461BC">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监测点位</w:t>
                  </w:r>
                </w:p>
              </w:tc>
              <w:tc>
                <w:tcPr>
                  <w:tcW w:w="589" w:type="pct"/>
                  <w:vAlign w:val="center"/>
                </w:tcPr>
                <w:p w14:paraId="2258E219">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监测因子</w:t>
                  </w:r>
                </w:p>
              </w:tc>
              <w:tc>
                <w:tcPr>
                  <w:tcW w:w="609" w:type="pct"/>
                  <w:vAlign w:val="center"/>
                </w:tcPr>
                <w:p w14:paraId="3EFA8051">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平均时间</w:t>
                  </w:r>
                </w:p>
              </w:tc>
              <w:tc>
                <w:tcPr>
                  <w:tcW w:w="769" w:type="pct"/>
                  <w:vAlign w:val="center"/>
                </w:tcPr>
                <w:p w14:paraId="3165E21D">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评价标准（</w:t>
                  </w:r>
                  <w:r>
                    <w:rPr>
                      <w:rFonts w:hint="eastAsia" w:ascii="宋体" w:hAnsi="宋体" w:eastAsia="宋体" w:cs="宋体"/>
                      <w:color w:val="auto"/>
                      <w:lang w:val="en-US" w:eastAsia="zh-CN"/>
                    </w:rPr>
                    <w:t>µ</w:t>
                  </w:r>
                  <w:r>
                    <w:rPr>
                      <w:rFonts w:hint="eastAsia" w:cs="Times New Roman"/>
                      <w:color w:val="auto"/>
                      <w:lang w:val="en-US" w:eastAsia="zh-CN"/>
                    </w:rPr>
                    <w:t>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s="Times New Roman"/>
                      <w:color w:val="auto"/>
                      <w:lang w:val="en-US" w:eastAsia="zh-CN"/>
                    </w:rPr>
                    <w:t>）</w:t>
                  </w:r>
                </w:p>
              </w:tc>
              <w:tc>
                <w:tcPr>
                  <w:tcW w:w="753" w:type="pct"/>
                  <w:vAlign w:val="center"/>
                </w:tcPr>
                <w:p w14:paraId="186B06A5">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浓度范围（µg/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s="Times New Roman"/>
                      <w:color w:val="auto"/>
                      <w:lang w:val="en-US" w:eastAsia="zh-CN"/>
                    </w:rPr>
                    <w:t>）</w:t>
                  </w:r>
                </w:p>
              </w:tc>
              <w:tc>
                <w:tcPr>
                  <w:tcW w:w="717" w:type="pct"/>
                  <w:vAlign w:val="center"/>
                </w:tcPr>
                <w:p w14:paraId="4D13DD5C">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最大浓度占标率%</w:t>
                  </w:r>
                </w:p>
              </w:tc>
              <w:tc>
                <w:tcPr>
                  <w:tcW w:w="584" w:type="pct"/>
                  <w:vAlign w:val="center"/>
                </w:tcPr>
                <w:p w14:paraId="77AAC67B">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超标率%</w:t>
                  </w:r>
                </w:p>
              </w:tc>
              <w:tc>
                <w:tcPr>
                  <w:tcW w:w="485" w:type="pct"/>
                  <w:vAlign w:val="center"/>
                </w:tcPr>
                <w:p w14:paraId="19C89B84">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达标情况</w:t>
                  </w:r>
                </w:p>
              </w:tc>
            </w:tr>
            <w:tr w14:paraId="3E8B5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0" w:type="pct"/>
                  <w:vMerge w:val="restart"/>
                  <w:vAlign w:val="center"/>
                </w:tcPr>
                <w:p w14:paraId="64DCF302">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s="Times New Roman"/>
                      <w:color w:val="auto"/>
                      <w:lang w:val="en-US" w:eastAsia="zh-CN"/>
                    </w:rPr>
                    <w:t>大港村A1</w:t>
                  </w:r>
                </w:p>
              </w:tc>
              <w:tc>
                <w:tcPr>
                  <w:tcW w:w="589" w:type="pct"/>
                  <w:vAlign w:val="center"/>
                </w:tcPr>
                <w:p w14:paraId="6DC13AAA">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TSP</w:t>
                  </w:r>
                </w:p>
              </w:tc>
              <w:tc>
                <w:tcPr>
                  <w:tcW w:w="609" w:type="pct"/>
                  <w:vAlign w:val="center"/>
                </w:tcPr>
                <w:p w14:paraId="14314F54">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日均值</w:t>
                  </w:r>
                </w:p>
              </w:tc>
              <w:tc>
                <w:tcPr>
                  <w:tcW w:w="769" w:type="pct"/>
                  <w:vAlign w:val="center"/>
                </w:tcPr>
                <w:p w14:paraId="3993AF57">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300</w:t>
                  </w:r>
                </w:p>
              </w:tc>
              <w:tc>
                <w:tcPr>
                  <w:tcW w:w="753" w:type="pct"/>
                  <w:vAlign w:val="center"/>
                </w:tcPr>
                <w:p w14:paraId="73CD3638">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96-131</w:t>
                  </w:r>
                </w:p>
              </w:tc>
              <w:tc>
                <w:tcPr>
                  <w:tcW w:w="717" w:type="pct"/>
                  <w:vAlign w:val="center"/>
                </w:tcPr>
                <w:p w14:paraId="4A26CAF7">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43.3</w:t>
                  </w:r>
                </w:p>
              </w:tc>
              <w:tc>
                <w:tcPr>
                  <w:tcW w:w="584" w:type="pct"/>
                  <w:vAlign w:val="center"/>
                </w:tcPr>
                <w:p w14:paraId="370F275E">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0</w:t>
                  </w:r>
                </w:p>
              </w:tc>
              <w:tc>
                <w:tcPr>
                  <w:tcW w:w="485" w:type="pct"/>
                  <w:vAlign w:val="center"/>
                </w:tcPr>
                <w:p w14:paraId="094170C0">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达标</w:t>
                  </w:r>
                </w:p>
              </w:tc>
            </w:tr>
            <w:tr w14:paraId="50517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0" w:type="pct"/>
                  <w:vMerge w:val="continue"/>
                  <w:vAlign w:val="center"/>
                </w:tcPr>
                <w:p w14:paraId="19C410AA">
                  <w:pPr>
                    <w:pStyle w:val="56"/>
                    <w:keepNext w:val="0"/>
                    <w:keepLines w:val="0"/>
                    <w:suppressLineNumbers w:val="0"/>
                    <w:bidi w:val="0"/>
                    <w:spacing w:before="0" w:beforeAutospacing="0" w:after="0" w:afterAutospacing="0"/>
                    <w:ind w:left="0" w:right="0"/>
                    <w:jc w:val="center"/>
                    <w:rPr>
                      <w:rFonts w:hint="eastAsia" w:cs="Times New Roman"/>
                      <w:color w:val="auto"/>
                      <w:lang w:val="en-US" w:eastAsia="zh-CN"/>
                    </w:rPr>
                  </w:pPr>
                </w:p>
              </w:tc>
              <w:tc>
                <w:tcPr>
                  <w:tcW w:w="589" w:type="pct"/>
                  <w:vAlign w:val="center"/>
                </w:tcPr>
                <w:p w14:paraId="0679B416">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氟化物</w:t>
                  </w:r>
                </w:p>
              </w:tc>
              <w:tc>
                <w:tcPr>
                  <w:tcW w:w="609" w:type="pct"/>
                  <w:vAlign w:val="center"/>
                </w:tcPr>
                <w:p w14:paraId="73147526">
                  <w:pPr>
                    <w:pStyle w:val="56"/>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s="Times New Roman"/>
                      <w:color w:val="auto"/>
                      <w:lang w:val="en-US" w:eastAsia="zh-CN"/>
                    </w:rPr>
                    <w:t>日均值</w:t>
                  </w:r>
                </w:p>
              </w:tc>
              <w:tc>
                <w:tcPr>
                  <w:tcW w:w="769" w:type="pct"/>
                  <w:vAlign w:val="center"/>
                </w:tcPr>
                <w:p w14:paraId="76390608">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20</w:t>
                  </w:r>
                </w:p>
              </w:tc>
              <w:tc>
                <w:tcPr>
                  <w:tcW w:w="753" w:type="pct"/>
                  <w:vAlign w:val="center"/>
                </w:tcPr>
                <w:p w14:paraId="59B601F3">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1.65-2.73</w:t>
                  </w:r>
                </w:p>
              </w:tc>
              <w:tc>
                <w:tcPr>
                  <w:tcW w:w="717" w:type="pct"/>
                  <w:vAlign w:val="center"/>
                </w:tcPr>
                <w:p w14:paraId="7B2AA4CD">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13.65</w:t>
                  </w:r>
                </w:p>
              </w:tc>
              <w:tc>
                <w:tcPr>
                  <w:tcW w:w="919" w:type="dxa"/>
                  <w:vAlign w:val="center"/>
                </w:tcPr>
                <w:p w14:paraId="62975C52">
                  <w:pPr>
                    <w:pStyle w:val="56"/>
                    <w:keepNext w:val="0"/>
                    <w:keepLines w:val="0"/>
                    <w:suppressLineNumbers w:val="0"/>
                    <w:bidi w:val="0"/>
                    <w:spacing w:before="0" w:beforeAutospacing="0" w:after="0" w:afterAutospacing="0"/>
                    <w:ind w:left="0" w:leftChars="0" w:right="0" w:rightChars="0" w:firstLine="0" w:firstLineChars="0"/>
                    <w:jc w:val="center"/>
                    <w:rPr>
                      <w:rFonts w:hint="eastAsia" w:cs="Times New Roman"/>
                      <w:color w:val="auto"/>
                      <w:lang w:val="en-US" w:eastAsia="zh-CN"/>
                    </w:rPr>
                  </w:pPr>
                  <w:r>
                    <w:rPr>
                      <w:rFonts w:hint="eastAsia" w:cs="Times New Roman"/>
                      <w:color w:val="auto"/>
                      <w:lang w:val="en-US" w:eastAsia="zh-CN"/>
                    </w:rPr>
                    <w:t>0</w:t>
                  </w:r>
                </w:p>
              </w:tc>
              <w:tc>
                <w:tcPr>
                  <w:tcW w:w="764" w:type="dxa"/>
                  <w:vAlign w:val="center"/>
                </w:tcPr>
                <w:p w14:paraId="35273EDC">
                  <w:pPr>
                    <w:pStyle w:val="56"/>
                    <w:keepNext w:val="0"/>
                    <w:keepLines w:val="0"/>
                    <w:suppressLineNumbers w:val="0"/>
                    <w:bidi w:val="0"/>
                    <w:spacing w:before="0" w:beforeAutospacing="0" w:after="0" w:afterAutospacing="0"/>
                    <w:ind w:left="0" w:leftChars="0" w:right="0" w:rightChars="0" w:firstLine="0" w:firstLineChars="0"/>
                    <w:jc w:val="center"/>
                    <w:rPr>
                      <w:rFonts w:hint="eastAsia" w:cs="Times New Roman"/>
                      <w:color w:val="auto"/>
                      <w:lang w:val="en-US" w:eastAsia="zh-CN"/>
                    </w:rPr>
                  </w:pPr>
                  <w:r>
                    <w:rPr>
                      <w:rFonts w:hint="eastAsia" w:cs="Times New Roman"/>
                      <w:color w:val="auto"/>
                      <w:lang w:val="en-US" w:eastAsia="zh-CN"/>
                    </w:rPr>
                    <w:t>达标</w:t>
                  </w:r>
                </w:p>
              </w:tc>
            </w:tr>
          </w:tbl>
          <w:p w14:paraId="79F5D304">
            <w:pPr>
              <w:pStyle w:val="74"/>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由表3-2可知，项目区域TSP与氟化物环境质量现状可满足《环境空气质量标准》（GB3095-2012）二级标准。评价区域内的空气质量环境现状良好，满足功能区划要求。</w:t>
            </w:r>
          </w:p>
          <w:p w14:paraId="033DD166">
            <w:pPr>
              <w:pStyle w:val="74"/>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3、声环境质量现状</w:t>
            </w:r>
          </w:p>
          <w:p w14:paraId="3F9AB357">
            <w:pPr>
              <w:pStyle w:val="74"/>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eastAsia="zh-CN"/>
              </w:rPr>
              <w:t>厂界外周边</w:t>
            </w:r>
            <w:r>
              <w:rPr>
                <w:rFonts w:hint="eastAsia" w:cs="Times New Roman"/>
                <w:color w:val="auto"/>
                <w:lang w:val="en-US" w:eastAsia="zh-CN"/>
              </w:rPr>
              <w:t>50m范围内不存在声环境保护目标。</w:t>
            </w:r>
          </w:p>
          <w:p w14:paraId="2C45042B">
            <w:pPr>
              <w:pStyle w:val="74"/>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4、生态环境</w:t>
            </w:r>
          </w:p>
          <w:p w14:paraId="760D1003">
            <w:pPr>
              <w:pStyle w:val="74"/>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eastAsia="zh-CN"/>
              </w:rPr>
              <w:t>本项目</w:t>
            </w:r>
            <w:r>
              <w:rPr>
                <w:rFonts w:hint="eastAsia" w:cs="Times New Roman"/>
                <w:color w:val="auto"/>
                <w:lang w:val="en-US" w:eastAsia="zh-CN"/>
              </w:rPr>
              <w:t>所在</w:t>
            </w:r>
            <w:r>
              <w:rPr>
                <w:rFonts w:hint="eastAsia" w:cs="Times New Roman"/>
                <w:color w:val="auto"/>
                <w:lang w:eastAsia="zh-CN"/>
              </w:rPr>
              <w:t>区域</w:t>
            </w:r>
            <w:r>
              <w:rPr>
                <w:rFonts w:hint="eastAsia" w:cs="Times New Roman"/>
                <w:color w:val="auto"/>
              </w:rPr>
              <w:t>不涉及自然保护区、风景名胜区、饮用水水源保护区等环境敏感区</w:t>
            </w:r>
            <w:r>
              <w:rPr>
                <w:rFonts w:hint="eastAsia" w:cs="Times New Roman"/>
                <w:color w:val="auto"/>
                <w:lang w:eastAsia="zh-CN"/>
              </w:rPr>
              <w:t>。</w:t>
            </w:r>
            <w:r>
              <w:rPr>
                <w:rFonts w:hint="eastAsia" w:cs="Times New Roman"/>
                <w:color w:val="auto"/>
                <w:lang w:val="en-US" w:eastAsia="zh-CN"/>
              </w:rPr>
              <w:t>占地范围内不含生态环境保护目标。</w:t>
            </w:r>
          </w:p>
          <w:p w14:paraId="2ECD36BC">
            <w:pPr>
              <w:pStyle w:val="74"/>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5、地下水、土壤环境</w:t>
            </w:r>
          </w:p>
          <w:p w14:paraId="02BA383F">
            <w:pPr>
              <w:pStyle w:val="74"/>
              <w:keepNext w:val="0"/>
              <w:keepLines w:val="0"/>
              <w:suppressLineNumbers w:val="0"/>
              <w:bidi w:val="0"/>
              <w:spacing w:before="0" w:beforeAutospacing="0" w:after="0" w:afterAutospacing="0"/>
              <w:ind w:left="0" w:right="0"/>
              <w:rPr>
                <w:rFonts w:hint="default" w:cs="Times New Roman"/>
                <w:color w:val="auto"/>
                <w:lang w:val="en-US" w:eastAsia="zh-CN"/>
              </w:rPr>
            </w:pPr>
            <w:r>
              <w:rPr>
                <w:rFonts w:hint="default" w:cs="Times New Roman"/>
                <w:color w:val="auto"/>
                <w:lang w:val="en-US" w:eastAsia="zh-CN"/>
              </w:rPr>
              <w:t>根据《建设项目环境影响报告表编制技术指南</w:t>
            </w:r>
            <w:r>
              <w:rPr>
                <w:rFonts w:hint="eastAsia" w:cs="Times New Roman"/>
                <w:color w:val="auto"/>
                <w:lang w:val="en-US" w:eastAsia="zh-CN"/>
              </w:rPr>
              <w:t>（</w:t>
            </w:r>
            <w:r>
              <w:rPr>
                <w:rFonts w:hint="default" w:cs="Times New Roman"/>
                <w:color w:val="auto"/>
                <w:lang w:val="en-US" w:eastAsia="zh-CN"/>
              </w:rPr>
              <w:t>污染影响类</w:t>
            </w:r>
            <w:r>
              <w:rPr>
                <w:rFonts w:hint="eastAsia" w:cs="Times New Roman"/>
                <w:color w:val="auto"/>
                <w:lang w:val="en-US" w:eastAsia="zh-CN"/>
              </w:rPr>
              <w:t>）（</w:t>
            </w:r>
            <w:r>
              <w:rPr>
                <w:rFonts w:hint="default" w:cs="Times New Roman"/>
                <w:color w:val="auto"/>
                <w:lang w:val="en-US" w:eastAsia="zh-CN"/>
              </w:rPr>
              <w:t>试行</w:t>
            </w:r>
            <w:r>
              <w:rPr>
                <w:rFonts w:hint="eastAsia" w:cs="Times New Roman"/>
                <w:color w:val="auto"/>
                <w:lang w:val="en-US" w:eastAsia="zh-CN"/>
              </w:rPr>
              <w:t>）</w:t>
            </w:r>
            <w:r>
              <w:rPr>
                <w:rFonts w:hint="default" w:cs="Times New Roman"/>
                <w:color w:val="auto"/>
                <w:lang w:val="en-US" w:eastAsia="zh-CN"/>
              </w:rPr>
              <w:t>》，本项目采取有效的防渗防漏措施，基本无污染地下水、土壤环境途径，且项目采取了分区防渗措施，对各产污环节均采取相应的治理措施；项目周边为工业企业，500m范围内无地下水集中式饮用水水源和热水、矿泉水、温泉等特殊地下水资源，因此本项目周边无地下水及土壤环境污染途径，故本次不开展土壤地下水环境质量现状调查。</w:t>
            </w:r>
          </w:p>
        </w:tc>
      </w:tr>
      <w:tr w14:paraId="5F75FA1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527" w:hRule="atLeast"/>
          <w:jc w:val="center"/>
        </w:trPr>
        <w:tc>
          <w:tcPr>
            <w:tcW w:w="250" w:type="pct"/>
            <w:noWrap w:val="0"/>
            <w:vAlign w:val="center"/>
          </w:tcPr>
          <w:p w14:paraId="142369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eastAsia" w:ascii="宋体" w:hAnsi="宋体" w:cs="宋体"/>
                <w:color w:val="auto"/>
                <w:kern w:val="0"/>
                <w:szCs w:val="21"/>
              </w:rPr>
            </w:pPr>
            <w:r>
              <w:rPr>
                <w:rFonts w:hint="eastAsia" w:ascii="宋体" w:hAnsi="宋体" w:cs="宋体"/>
                <w:color w:val="auto"/>
                <w:kern w:val="0"/>
                <w:szCs w:val="21"/>
              </w:rPr>
              <w:t>环境</w:t>
            </w:r>
          </w:p>
          <w:p w14:paraId="2FF0E8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eastAsia" w:ascii="宋体" w:hAnsi="宋体" w:cs="宋体"/>
                <w:color w:val="auto"/>
                <w:kern w:val="0"/>
                <w:szCs w:val="21"/>
              </w:rPr>
            </w:pPr>
            <w:r>
              <w:rPr>
                <w:rFonts w:hint="eastAsia" w:ascii="宋体" w:hAnsi="宋体" w:cs="宋体"/>
                <w:color w:val="auto"/>
                <w:kern w:val="0"/>
                <w:szCs w:val="21"/>
              </w:rPr>
              <w:t>保护目标</w:t>
            </w:r>
          </w:p>
        </w:tc>
        <w:tc>
          <w:tcPr>
            <w:tcW w:w="4750" w:type="pct"/>
            <w:noWrap w:val="0"/>
            <w:vAlign w:val="top"/>
          </w:tcPr>
          <w:p w14:paraId="52793287">
            <w:pPr>
              <w:pStyle w:val="74"/>
              <w:keepNext w:val="0"/>
              <w:keepLines w:val="0"/>
              <w:suppressLineNumbers w:val="0"/>
              <w:bidi w:val="0"/>
              <w:spacing w:before="0" w:beforeAutospacing="0" w:after="0" w:afterAutospacing="0"/>
              <w:ind w:left="0" w:right="0"/>
              <w:jc w:val="both"/>
              <w:rPr>
                <w:rFonts w:hint="eastAsia" w:cs="Times New Roman"/>
                <w:color w:val="auto"/>
                <w:lang w:val="en-US" w:eastAsia="zh-CN"/>
              </w:rPr>
            </w:pPr>
            <w:r>
              <w:rPr>
                <w:rFonts w:hint="default" w:cs="Times New Roman"/>
                <w:color w:val="auto"/>
              </w:rPr>
              <w:t>本项目位于</w:t>
            </w:r>
            <w:r>
              <w:rPr>
                <w:rFonts w:hint="eastAsia" w:cs="Times New Roman"/>
                <w:color w:val="auto"/>
                <w:lang w:eastAsia="zh-CN"/>
              </w:rPr>
              <w:t>高安市高新产业园江西省建筑陶瓷产业基地</w:t>
            </w:r>
            <w:r>
              <w:rPr>
                <w:rFonts w:hint="default" w:cs="Times New Roman"/>
                <w:color w:val="auto"/>
              </w:rPr>
              <w:t>，项目周边环境质量良好，在评价范围内无名胜古迹、重要公共设施，也无特殊保护区，环境保护目标为一般环境保护区域。</w:t>
            </w:r>
          </w:p>
          <w:p w14:paraId="13A600A9">
            <w:pPr>
              <w:pStyle w:val="74"/>
              <w:keepNext w:val="0"/>
              <w:keepLines w:val="0"/>
              <w:suppressLineNumbers w:val="0"/>
              <w:bidi w:val="0"/>
              <w:spacing w:before="0" w:beforeAutospacing="0" w:after="0" w:afterAutospacing="0"/>
              <w:ind w:left="0" w:right="0"/>
              <w:jc w:val="both"/>
              <w:rPr>
                <w:rFonts w:hint="eastAsia" w:cs="Times New Roman"/>
                <w:color w:val="auto"/>
                <w:lang w:val="en-US" w:eastAsia="zh-CN"/>
              </w:rPr>
            </w:pPr>
            <w:r>
              <w:rPr>
                <w:rFonts w:hint="eastAsia" w:cs="Times New Roman"/>
                <w:color w:val="auto"/>
                <w:lang w:val="en-US" w:eastAsia="zh-CN"/>
              </w:rPr>
              <w:t>（1）保护该区空气质量，使其符合《环境空气质量标准》（GB3095－2012）二级标准要求；</w:t>
            </w:r>
          </w:p>
          <w:p w14:paraId="23CC13EA">
            <w:pPr>
              <w:pStyle w:val="74"/>
              <w:keepNext w:val="0"/>
              <w:keepLines w:val="0"/>
              <w:suppressLineNumbers w:val="0"/>
              <w:bidi w:val="0"/>
              <w:spacing w:before="0" w:beforeAutospacing="0" w:after="0" w:afterAutospacing="0"/>
              <w:ind w:left="0" w:right="0"/>
              <w:jc w:val="both"/>
              <w:rPr>
                <w:rFonts w:hint="eastAsia" w:cs="Times New Roman"/>
                <w:color w:val="auto"/>
                <w:lang w:val="en-US" w:eastAsia="zh-CN"/>
              </w:rPr>
            </w:pPr>
            <w:r>
              <w:rPr>
                <w:rFonts w:hint="eastAsia" w:cs="Times New Roman"/>
                <w:color w:val="auto"/>
                <w:lang w:val="en-US" w:eastAsia="zh-CN"/>
              </w:rPr>
              <w:t>（2）保护地表水环境质量，使其符合《地表水环境质量标准》（GB3838-2002）Ⅲ类标准要求；</w:t>
            </w:r>
          </w:p>
          <w:p w14:paraId="05F4BA69">
            <w:pPr>
              <w:pStyle w:val="74"/>
              <w:keepNext w:val="0"/>
              <w:keepLines w:val="0"/>
              <w:suppressLineNumbers w:val="0"/>
              <w:bidi w:val="0"/>
              <w:spacing w:before="0" w:beforeAutospacing="0" w:after="0" w:afterAutospacing="0"/>
              <w:ind w:left="0" w:right="0"/>
              <w:jc w:val="both"/>
              <w:rPr>
                <w:rFonts w:hint="eastAsia" w:cs="Times New Roman"/>
                <w:color w:val="auto"/>
                <w:lang w:val="en-US" w:eastAsia="zh-CN"/>
              </w:rPr>
            </w:pPr>
            <w:r>
              <w:rPr>
                <w:rFonts w:hint="eastAsia" w:cs="Times New Roman"/>
                <w:color w:val="auto"/>
                <w:lang w:val="en-US" w:eastAsia="zh-CN"/>
              </w:rPr>
              <w:t>（3）保护该区声环境质量，使其符合《声环境质量标准》（GB3096-2008）中3类标准的要求。</w:t>
            </w:r>
          </w:p>
          <w:p w14:paraId="7D000241">
            <w:pPr>
              <w:pStyle w:val="74"/>
              <w:keepNext w:val="0"/>
              <w:keepLines w:val="0"/>
              <w:suppressLineNumbers w:val="0"/>
              <w:bidi w:val="0"/>
              <w:spacing w:before="0" w:beforeAutospacing="0" w:after="0" w:afterAutospacing="0"/>
              <w:ind w:left="0" w:right="0"/>
              <w:jc w:val="both"/>
              <w:rPr>
                <w:rFonts w:hint="default" w:cs="Times New Roman"/>
                <w:color w:val="auto"/>
                <w:lang w:val="en-US" w:eastAsia="zh-CN"/>
              </w:rPr>
            </w:pPr>
            <w:r>
              <w:rPr>
                <w:rFonts w:hint="default" w:cs="Times New Roman"/>
                <w:color w:val="auto"/>
                <w:lang w:val="en-US" w:eastAsia="zh-CN"/>
              </w:rPr>
              <w:t>根据对建设项目所在地周边环境现状的踏勘，项目评价范围内不涉及风景名胜、文物古迹、自然保护区、饮用水源保护区等需要特殊保护的环境敏感目标，评价区域内没有珍稀动植物。项目周边50m范围内无声环境保护目标。</w:t>
            </w:r>
          </w:p>
          <w:p w14:paraId="7C8D1434">
            <w:pPr>
              <w:pStyle w:val="74"/>
              <w:keepNext w:val="0"/>
              <w:keepLines w:val="0"/>
              <w:suppressLineNumbers w:val="0"/>
              <w:bidi w:val="0"/>
              <w:spacing w:before="0" w:beforeAutospacing="0" w:after="0" w:afterAutospacing="0"/>
              <w:ind w:left="0" w:right="0"/>
              <w:jc w:val="both"/>
              <w:rPr>
                <w:rFonts w:hint="eastAsia" w:cs="Times New Roman"/>
                <w:color w:val="auto"/>
                <w:lang w:val="en-US" w:eastAsia="zh-CN"/>
              </w:rPr>
            </w:pPr>
            <w:r>
              <w:rPr>
                <w:rFonts w:hint="eastAsia" w:cs="Times New Roman"/>
                <w:color w:val="auto"/>
                <w:lang w:val="en-US" w:eastAsia="zh-CN"/>
              </w:rPr>
              <w:t>主要环境保护目标详见表3-3所示。</w:t>
            </w:r>
          </w:p>
          <w:p w14:paraId="51259B61">
            <w:pPr>
              <w:pStyle w:val="54"/>
              <w:keepNext w:val="0"/>
              <w:keepLines w:val="0"/>
              <w:numPr>
                <w:ilvl w:val="0"/>
                <w:numId w:val="10"/>
              </w:numPr>
              <w:suppressLineNumbers w:val="0"/>
              <w:bidi w:val="0"/>
              <w:spacing w:before="0" w:beforeAutospacing="0" w:after="0" w:afterAutospacing="0"/>
              <w:ind w:left="0" w:leftChars="0" w:right="0" w:firstLine="0" w:firstLineChars="0"/>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本项目主要环境保护目标</w:t>
            </w:r>
          </w:p>
          <w:tbl>
            <w:tblPr>
              <w:tblStyle w:val="28"/>
              <w:tblW w:w="4987"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57" w:type="dxa"/>
                <w:bottom w:w="0" w:type="dxa"/>
                <w:right w:w="57" w:type="dxa"/>
              </w:tblCellMar>
            </w:tblPr>
            <w:tblGrid>
              <w:gridCol w:w="643"/>
              <w:gridCol w:w="547"/>
              <w:gridCol w:w="654"/>
              <w:gridCol w:w="732"/>
              <w:gridCol w:w="583"/>
              <w:gridCol w:w="1014"/>
              <w:gridCol w:w="1771"/>
              <w:gridCol w:w="868"/>
              <w:gridCol w:w="1089"/>
            </w:tblGrid>
            <w:tr w14:paraId="6A3AF53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407" w:type="pct"/>
                  <w:vMerge w:val="restart"/>
                  <w:tcBorders>
                    <w:tl2br w:val="nil"/>
                    <w:tr2bl w:val="nil"/>
                  </w:tcBorders>
                  <w:noWrap w:val="0"/>
                  <w:vAlign w:val="center"/>
                </w:tcPr>
                <w:p w14:paraId="3908F957">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名称</w:t>
                  </w:r>
                </w:p>
              </w:tc>
              <w:tc>
                <w:tcPr>
                  <w:tcW w:w="760" w:type="pct"/>
                  <w:gridSpan w:val="2"/>
                  <w:tcBorders>
                    <w:tl2br w:val="nil"/>
                    <w:tr2bl w:val="nil"/>
                  </w:tcBorders>
                  <w:noWrap w:val="0"/>
                  <w:vAlign w:val="center"/>
                </w:tcPr>
                <w:p w14:paraId="083574E9">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坐标/m</w:t>
                  </w:r>
                </w:p>
              </w:tc>
              <w:tc>
                <w:tcPr>
                  <w:tcW w:w="463" w:type="pct"/>
                  <w:vMerge w:val="restart"/>
                  <w:tcBorders>
                    <w:tl2br w:val="nil"/>
                    <w:tr2bl w:val="nil"/>
                  </w:tcBorders>
                  <w:noWrap w:val="0"/>
                  <w:vAlign w:val="center"/>
                </w:tcPr>
                <w:p w14:paraId="3824C072">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保护</w:t>
                  </w:r>
                </w:p>
                <w:p w14:paraId="3121CA51">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对象</w:t>
                  </w:r>
                </w:p>
              </w:tc>
              <w:tc>
                <w:tcPr>
                  <w:tcW w:w="369" w:type="pct"/>
                  <w:vMerge w:val="restart"/>
                  <w:tcBorders>
                    <w:tl2br w:val="nil"/>
                    <w:tr2bl w:val="nil"/>
                  </w:tcBorders>
                  <w:noWrap w:val="0"/>
                  <w:vAlign w:val="center"/>
                </w:tcPr>
                <w:p w14:paraId="31071FA8">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保护内容</w:t>
                  </w:r>
                </w:p>
              </w:tc>
              <w:tc>
                <w:tcPr>
                  <w:tcW w:w="642" w:type="pct"/>
                  <w:vMerge w:val="restart"/>
                  <w:tcBorders>
                    <w:tl2br w:val="nil"/>
                    <w:tr2bl w:val="nil"/>
                  </w:tcBorders>
                  <w:noWrap w:val="0"/>
                  <w:vAlign w:val="center"/>
                </w:tcPr>
                <w:p w14:paraId="62355638">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规模</w:t>
                  </w:r>
                </w:p>
              </w:tc>
              <w:tc>
                <w:tcPr>
                  <w:tcW w:w="1121" w:type="pct"/>
                  <w:vMerge w:val="restart"/>
                  <w:tcBorders>
                    <w:tl2br w:val="nil"/>
                    <w:tr2bl w:val="nil"/>
                  </w:tcBorders>
                  <w:noWrap w:val="0"/>
                  <w:vAlign w:val="center"/>
                </w:tcPr>
                <w:p w14:paraId="6C52C8CD">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环境功能区</w:t>
                  </w:r>
                </w:p>
              </w:tc>
              <w:tc>
                <w:tcPr>
                  <w:tcW w:w="549" w:type="pct"/>
                  <w:vMerge w:val="restart"/>
                  <w:tcBorders>
                    <w:tl2br w:val="nil"/>
                    <w:tr2bl w:val="nil"/>
                  </w:tcBorders>
                  <w:noWrap w:val="0"/>
                  <w:vAlign w:val="center"/>
                </w:tcPr>
                <w:p w14:paraId="29A91CCD">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相对厂址方位</w:t>
                  </w:r>
                </w:p>
              </w:tc>
              <w:tc>
                <w:tcPr>
                  <w:tcW w:w="686" w:type="pct"/>
                  <w:vMerge w:val="restart"/>
                  <w:tcBorders>
                    <w:tl2br w:val="nil"/>
                    <w:tr2bl w:val="nil"/>
                  </w:tcBorders>
                  <w:noWrap w:val="0"/>
                  <w:vAlign w:val="center"/>
                </w:tcPr>
                <w:p w14:paraId="22CCA4A8">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相对</w:t>
                  </w:r>
                  <w:r>
                    <w:rPr>
                      <w:rFonts w:hint="eastAsia" w:cs="Times New Roman"/>
                      <w:color w:val="auto"/>
                      <w:lang w:eastAsia="zh-CN"/>
                    </w:rPr>
                    <w:t>厂界</w:t>
                  </w:r>
                  <w:r>
                    <w:rPr>
                      <w:rFonts w:hint="default" w:cs="Times New Roman"/>
                      <w:color w:val="auto"/>
                    </w:rPr>
                    <w:t>距离/m</w:t>
                  </w:r>
                </w:p>
              </w:tc>
            </w:tr>
            <w:tr w14:paraId="29A7C97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407" w:type="pct"/>
                  <w:vMerge w:val="continue"/>
                  <w:tcBorders>
                    <w:tl2br w:val="nil"/>
                    <w:tr2bl w:val="nil"/>
                  </w:tcBorders>
                  <w:noWrap w:val="0"/>
                  <w:vAlign w:val="center"/>
                </w:tcPr>
                <w:p w14:paraId="6D6C91C6">
                  <w:pPr>
                    <w:pStyle w:val="56"/>
                    <w:keepNext w:val="0"/>
                    <w:keepLines w:val="0"/>
                    <w:suppressLineNumbers w:val="0"/>
                    <w:bidi w:val="0"/>
                    <w:spacing w:before="0" w:beforeAutospacing="0" w:after="0" w:afterAutospacing="0"/>
                    <w:ind w:left="0" w:right="0"/>
                    <w:rPr>
                      <w:rFonts w:hint="default" w:cs="Times New Roman"/>
                      <w:color w:val="auto"/>
                    </w:rPr>
                  </w:pPr>
                </w:p>
              </w:tc>
              <w:tc>
                <w:tcPr>
                  <w:tcW w:w="346" w:type="pct"/>
                  <w:tcBorders>
                    <w:tl2br w:val="nil"/>
                    <w:tr2bl w:val="nil"/>
                  </w:tcBorders>
                  <w:noWrap w:val="0"/>
                  <w:vAlign w:val="center"/>
                </w:tcPr>
                <w:p w14:paraId="1BB9AFF4">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X</w:t>
                  </w:r>
                </w:p>
              </w:tc>
              <w:tc>
                <w:tcPr>
                  <w:tcW w:w="414" w:type="pct"/>
                  <w:tcBorders>
                    <w:tl2br w:val="nil"/>
                    <w:tr2bl w:val="nil"/>
                  </w:tcBorders>
                  <w:noWrap w:val="0"/>
                  <w:vAlign w:val="center"/>
                </w:tcPr>
                <w:p w14:paraId="06E7175F">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Y</w:t>
                  </w:r>
                </w:p>
              </w:tc>
              <w:tc>
                <w:tcPr>
                  <w:tcW w:w="463" w:type="pct"/>
                  <w:vMerge w:val="continue"/>
                  <w:tcBorders>
                    <w:tl2br w:val="nil"/>
                    <w:tr2bl w:val="nil"/>
                  </w:tcBorders>
                  <w:noWrap w:val="0"/>
                  <w:vAlign w:val="center"/>
                </w:tcPr>
                <w:p w14:paraId="557D6D71">
                  <w:pPr>
                    <w:pStyle w:val="56"/>
                    <w:keepNext w:val="0"/>
                    <w:keepLines w:val="0"/>
                    <w:suppressLineNumbers w:val="0"/>
                    <w:bidi w:val="0"/>
                    <w:spacing w:before="0" w:beforeAutospacing="0" w:after="0" w:afterAutospacing="0"/>
                    <w:ind w:left="0" w:right="0"/>
                    <w:rPr>
                      <w:rFonts w:hint="default" w:cs="Times New Roman"/>
                      <w:color w:val="auto"/>
                    </w:rPr>
                  </w:pPr>
                </w:p>
              </w:tc>
              <w:tc>
                <w:tcPr>
                  <w:tcW w:w="369" w:type="pct"/>
                  <w:vMerge w:val="continue"/>
                  <w:tcBorders>
                    <w:tl2br w:val="nil"/>
                    <w:tr2bl w:val="nil"/>
                  </w:tcBorders>
                  <w:noWrap w:val="0"/>
                  <w:vAlign w:val="center"/>
                </w:tcPr>
                <w:p w14:paraId="1A540BCE">
                  <w:pPr>
                    <w:pStyle w:val="56"/>
                    <w:keepNext w:val="0"/>
                    <w:keepLines w:val="0"/>
                    <w:suppressLineNumbers w:val="0"/>
                    <w:bidi w:val="0"/>
                    <w:spacing w:before="0" w:beforeAutospacing="0" w:after="0" w:afterAutospacing="0"/>
                    <w:ind w:left="0" w:right="0"/>
                    <w:rPr>
                      <w:rFonts w:hint="default" w:cs="Times New Roman"/>
                      <w:color w:val="auto"/>
                    </w:rPr>
                  </w:pPr>
                </w:p>
              </w:tc>
              <w:tc>
                <w:tcPr>
                  <w:tcW w:w="642" w:type="pct"/>
                  <w:vMerge w:val="continue"/>
                  <w:tcBorders>
                    <w:tl2br w:val="nil"/>
                    <w:tr2bl w:val="nil"/>
                  </w:tcBorders>
                  <w:noWrap w:val="0"/>
                  <w:vAlign w:val="center"/>
                </w:tcPr>
                <w:p w14:paraId="1AACA336">
                  <w:pPr>
                    <w:pStyle w:val="56"/>
                    <w:keepNext w:val="0"/>
                    <w:keepLines w:val="0"/>
                    <w:suppressLineNumbers w:val="0"/>
                    <w:bidi w:val="0"/>
                    <w:spacing w:before="0" w:beforeAutospacing="0" w:after="0" w:afterAutospacing="0"/>
                    <w:ind w:left="0" w:right="0"/>
                    <w:rPr>
                      <w:rFonts w:hint="default" w:cs="Times New Roman"/>
                      <w:color w:val="auto"/>
                    </w:rPr>
                  </w:pPr>
                </w:p>
              </w:tc>
              <w:tc>
                <w:tcPr>
                  <w:tcW w:w="1121" w:type="pct"/>
                  <w:vMerge w:val="continue"/>
                  <w:tcBorders>
                    <w:tl2br w:val="nil"/>
                    <w:tr2bl w:val="nil"/>
                  </w:tcBorders>
                  <w:noWrap w:val="0"/>
                  <w:vAlign w:val="center"/>
                </w:tcPr>
                <w:p w14:paraId="4D6797DC">
                  <w:pPr>
                    <w:pStyle w:val="56"/>
                    <w:keepNext w:val="0"/>
                    <w:keepLines w:val="0"/>
                    <w:suppressLineNumbers w:val="0"/>
                    <w:bidi w:val="0"/>
                    <w:spacing w:before="0" w:beforeAutospacing="0" w:after="0" w:afterAutospacing="0"/>
                    <w:ind w:left="0" w:right="0"/>
                    <w:rPr>
                      <w:rFonts w:hint="default" w:cs="Times New Roman"/>
                      <w:color w:val="auto"/>
                    </w:rPr>
                  </w:pPr>
                </w:p>
              </w:tc>
              <w:tc>
                <w:tcPr>
                  <w:tcW w:w="549" w:type="pct"/>
                  <w:vMerge w:val="continue"/>
                  <w:tcBorders>
                    <w:tl2br w:val="nil"/>
                    <w:tr2bl w:val="nil"/>
                  </w:tcBorders>
                  <w:noWrap w:val="0"/>
                  <w:vAlign w:val="center"/>
                </w:tcPr>
                <w:p w14:paraId="16EDCE1B">
                  <w:pPr>
                    <w:pStyle w:val="56"/>
                    <w:keepNext w:val="0"/>
                    <w:keepLines w:val="0"/>
                    <w:suppressLineNumbers w:val="0"/>
                    <w:bidi w:val="0"/>
                    <w:spacing w:before="0" w:beforeAutospacing="0" w:after="0" w:afterAutospacing="0"/>
                    <w:ind w:left="0" w:right="0"/>
                    <w:rPr>
                      <w:rFonts w:hint="default" w:cs="Times New Roman"/>
                      <w:color w:val="auto"/>
                    </w:rPr>
                  </w:pPr>
                </w:p>
              </w:tc>
              <w:tc>
                <w:tcPr>
                  <w:tcW w:w="686" w:type="pct"/>
                  <w:vMerge w:val="continue"/>
                  <w:tcBorders>
                    <w:tl2br w:val="nil"/>
                    <w:tr2bl w:val="nil"/>
                  </w:tcBorders>
                  <w:noWrap w:val="0"/>
                  <w:vAlign w:val="center"/>
                </w:tcPr>
                <w:p w14:paraId="4D7F4259">
                  <w:pPr>
                    <w:pStyle w:val="56"/>
                    <w:keepNext w:val="0"/>
                    <w:keepLines w:val="0"/>
                    <w:suppressLineNumbers w:val="0"/>
                    <w:bidi w:val="0"/>
                    <w:spacing w:before="0" w:beforeAutospacing="0" w:after="0" w:afterAutospacing="0"/>
                    <w:ind w:left="0" w:right="0"/>
                    <w:rPr>
                      <w:rFonts w:hint="default" w:cs="Times New Roman"/>
                      <w:color w:val="auto"/>
                    </w:rPr>
                  </w:pPr>
                </w:p>
              </w:tc>
            </w:tr>
            <w:tr w14:paraId="73BF779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407" w:type="pct"/>
                  <w:vMerge w:val="restart"/>
                  <w:tcBorders>
                    <w:tl2br w:val="nil"/>
                    <w:tr2bl w:val="nil"/>
                  </w:tcBorders>
                  <w:noWrap w:val="0"/>
                  <w:vAlign w:val="center"/>
                </w:tcPr>
                <w:p w14:paraId="0B320F68">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环境</w:t>
                  </w:r>
                </w:p>
                <w:p w14:paraId="554CD726">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空气</w:t>
                  </w:r>
                </w:p>
              </w:tc>
              <w:tc>
                <w:tcPr>
                  <w:tcW w:w="346" w:type="pct"/>
                  <w:tcBorders>
                    <w:tl2br w:val="nil"/>
                    <w:tr2bl w:val="nil"/>
                  </w:tcBorders>
                  <w:noWrap w:val="0"/>
                  <w:vAlign w:val="center"/>
                </w:tcPr>
                <w:p w14:paraId="2918FF0A">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-90</w:t>
                  </w:r>
                </w:p>
              </w:tc>
              <w:tc>
                <w:tcPr>
                  <w:tcW w:w="414" w:type="pct"/>
                  <w:tcBorders>
                    <w:tl2br w:val="nil"/>
                    <w:tr2bl w:val="nil"/>
                  </w:tcBorders>
                  <w:noWrap w:val="0"/>
                  <w:vAlign w:val="center"/>
                </w:tcPr>
                <w:p w14:paraId="51FB60ED">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-285</w:t>
                  </w:r>
                </w:p>
              </w:tc>
              <w:tc>
                <w:tcPr>
                  <w:tcW w:w="463" w:type="pct"/>
                  <w:tcBorders>
                    <w:tl2br w:val="nil"/>
                    <w:tr2bl w:val="nil"/>
                  </w:tcBorders>
                  <w:noWrap w:val="0"/>
                  <w:vAlign w:val="center"/>
                </w:tcPr>
                <w:p w14:paraId="092F75A4">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lang w:val="zh-CN"/>
                    </w:rPr>
                    <w:t>席塘</w:t>
                  </w:r>
                </w:p>
              </w:tc>
              <w:tc>
                <w:tcPr>
                  <w:tcW w:w="369" w:type="pct"/>
                  <w:tcBorders>
                    <w:tl2br w:val="nil"/>
                    <w:tr2bl w:val="nil"/>
                  </w:tcBorders>
                  <w:noWrap w:val="0"/>
                  <w:vAlign w:val="center"/>
                </w:tcPr>
                <w:p w14:paraId="66574ECF">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居民</w:t>
                  </w:r>
                </w:p>
              </w:tc>
              <w:tc>
                <w:tcPr>
                  <w:tcW w:w="642" w:type="pct"/>
                  <w:tcBorders>
                    <w:tl2br w:val="nil"/>
                    <w:tr2bl w:val="nil"/>
                  </w:tcBorders>
                  <w:noWrap w:val="0"/>
                  <w:vAlign w:val="center"/>
                </w:tcPr>
                <w:p w14:paraId="7CD6FAF0">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100人</w:t>
                  </w:r>
                </w:p>
              </w:tc>
              <w:tc>
                <w:tcPr>
                  <w:tcW w:w="1121" w:type="pct"/>
                  <w:vMerge w:val="restart"/>
                  <w:tcBorders>
                    <w:tl2br w:val="nil"/>
                    <w:tr2bl w:val="nil"/>
                  </w:tcBorders>
                  <w:noWrap w:val="0"/>
                  <w:vAlign w:val="center"/>
                </w:tcPr>
                <w:p w14:paraId="1F21C89E">
                  <w:pPr>
                    <w:pStyle w:val="56"/>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lang w:eastAsia="zh-CN"/>
                    </w:rPr>
                    <w:t>(</w:t>
                  </w:r>
                  <w:r>
                    <w:rPr>
                      <w:rFonts w:hint="default" w:cs="Times New Roman"/>
                      <w:color w:val="auto"/>
                    </w:rPr>
                    <w:t>GB3095-2012</w:t>
                  </w:r>
                  <w:r>
                    <w:rPr>
                      <w:rFonts w:hint="eastAsia" w:cs="Times New Roman"/>
                      <w:color w:val="auto"/>
                      <w:lang w:eastAsia="zh-CN"/>
                    </w:rPr>
                    <w:t>)</w:t>
                  </w:r>
                </w:p>
                <w:p w14:paraId="339754EF">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中的二级标准</w:t>
                  </w:r>
                </w:p>
              </w:tc>
              <w:tc>
                <w:tcPr>
                  <w:tcW w:w="549" w:type="pct"/>
                  <w:tcBorders>
                    <w:tl2br w:val="nil"/>
                    <w:tr2bl w:val="nil"/>
                  </w:tcBorders>
                  <w:noWrap w:val="0"/>
                  <w:vAlign w:val="center"/>
                </w:tcPr>
                <w:p w14:paraId="681AAEA7">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西南</w:t>
                  </w:r>
                </w:p>
              </w:tc>
              <w:tc>
                <w:tcPr>
                  <w:tcW w:w="686" w:type="pct"/>
                  <w:tcBorders>
                    <w:tl2br w:val="nil"/>
                    <w:tr2bl w:val="nil"/>
                  </w:tcBorders>
                  <w:noWrap w:val="0"/>
                  <w:vAlign w:val="center"/>
                </w:tcPr>
                <w:p w14:paraId="393E43E5">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342</w:t>
                  </w:r>
                </w:p>
              </w:tc>
            </w:tr>
            <w:tr w14:paraId="654386A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407" w:type="pct"/>
                  <w:vMerge w:val="continue"/>
                  <w:tcBorders>
                    <w:tl2br w:val="nil"/>
                    <w:tr2bl w:val="nil"/>
                  </w:tcBorders>
                  <w:noWrap w:val="0"/>
                  <w:vAlign w:val="center"/>
                </w:tcPr>
                <w:p w14:paraId="06596A51">
                  <w:pPr>
                    <w:pStyle w:val="56"/>
                    <w:keepNext w:val="0"/>
                    <w:keepLines w:val="0"/>
                    <w:suppressLineNumbers w:val="0"/>
                    <w:bidi w:val="0"/>
                    <w:spacing w:before="0" w:beforeAutospacing="0" w:after="0" w:afterAutospacing="0"/>
                    <w:ind w:left="0" w:right="0"/>
                    <w:rPr>
                      <w:rFonts w:hint="default" w:cs="Times New Roman"/>
                      <w:color w:val="auto"/>
                    </w:rPr>
                  </w:pPr>
                </w:p>
              </w:tc>
              <w:tc>
                <w:tcPr>
                  <w:tcW w:w="346" w:type="pct"/>
                  <w:tcBorders>
                    <w:tl2br w:val="nil"/>
                    <w:tr2bl w:val="nil"/>
                  </w:tcBorders>
                  <w:noWrap w:val="0"/>
                  <w:vAlign w:val="center"/>
                </w:tcPr>
                <w:p w14:paraId="5FFFCFDA">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0</w:t>
                  </w:r>
                </w:p>
              </w:tc>
              <w:tc>
                <w:tcPr>
                  <w:tcW w:w="414" w:type="pct"/>
                  <w:tcBorders>
                    <w:tl2br w:val="nil"/>
                    <w:tr2bl w:val="nil"/>
                  </w:tcBorders>
                  <w:noWrap w:val="0"/>
                  <w:vAlign w:val="center"/>
                </w:tcPr>
                <w:p w14:paraId="3C7460E3">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460</w:t>
                  </w:r>
                </w:p>
              </w:tc>
              <w:tc>
                <w:tcPr>
                  <w:tcW w:w="463" w:type="pct"/>
                  <w:tcBorders>
                    <w:tl2br w:val="nil"/>
                    <w:tr2bl w:val="nil"/>
                  </w:tcBorders>
                  <w:noWrap w:val="0"/>
                  <w:vAlign w:val="center"/>
                </w:tcPr>
                <w:p w14:paraId="736117F9">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default" w:cs="Times New Roman"/>
                      <w:color w:val="auto"/>
                      <w:lang w:val="en-US" w:eastAsia="zh-CN"/>
                    </w:rPr>
                    <w:t>吴家村</w:t>
                  </w:r>
                </w:p>
              </w:tc>
              <w:tc>
                <w:tcPr>
                  <w:tcW w:w="369" w:type="pct"/>
                  <w:tcBorders>
                    <w:tl2br w:val="nil"/>
                    <w:tr2bl w:val="nil"/>
                  </w:tcBorders>
                  <w:noWrap w:val="0"/>
                  <w:vAlign w:val="center"/>
                </w:tcPr>
                <w:p w14:paraId="4A330640">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居民</w:t>
                  </w:r>
                </w:p>
              </w:tc>
              <w:tc>
                <w:tcPr>
                  <w:tcW w:w="642" w:type="pct"/>
                  <w:tcBorders>
                    <w:tl2br w:val="nil"/>
                    <w:tr2bl w:val="nil"/>
                  </w:tcBorders>
                  <w:noWrap w:val="0"/>
                  <w:vAlign w:val="center"/>
                </w:tcPr>
                <w:p w14:paraId="14F67191">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500人</w:t>
                  </w:r>
                </w:p>
              </w:tc>
              <w:tc>
                <w:tcPr>
                  <w:tcW w:w="1121" w:type="pct"/>
                  <w:vMerge w:val="continue"/>
                  <w:tcBorders>
                    <w:tl2br w:val="nil"/>
                    <w:tr2bl w:val="nil"/>
                  </w:tcBorders>
                  <w:noWrap w:val="0"/>
                  <w:vAlign w:val="center"/>
                </w:tcPr>
                <w:p w14:paraId="2C390C4F">
                  <w:pPr>
                    <w:pStyle w:val="56"/>
                    <w:keepNext w:val="0"/>
                    <w:keepLines w:val="0"/>
                    <w:suppressLineNumbers w:val="0"/>
                    <w:bidi w:val="0"/>
                    <w:spacing w:before="0" w:beforeAutospacing="0" w:after="0" w:afterAutospacing="0"/>
                    <w:ind w:left="0" w:right="0"/>
                    <w:rPr>
                      <w:rFonts w:hint="default" w:cs="Times New Roman"/>
                      <w:color w:val="auto"/>
                      <w:lang w:val="en-US" w:eastAsia="zh-CN"/>
                    </w:rPr>
                  </w:pPr>
                </w:p>
              </w:tc>
              <w:tc>
                <w:tcPr>
                  <w:tcW w:w="549" w:type="pct"/>
                  <w:tcBorders>
                    <w:tl2br w:val="nil"/>
                    <w:tr2bl w:val="nil"/>
                  </w:tcBorders>
                  <w:noWrap w:val="0"/>
                  <w:vAlign w:val="center"/>
                </w:tcPr>
                <w:p w14:paraId="481A6446">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东</w:t>
                  </w:r>
                </w:p>
              </w:tc>
              <w:tc>
                <w:tcPr>
                  <w:tcW w:w="686" w:type="pct"/>
                  <w:tcBorders>
                    <w:tl2br w:val="nil"/>
                    <w:tr2bl w:val="nil"/>
                  </w:tcBorders>
                  <w:noWrap w:val="0"/>
                  <w:vAlign w:val="center"/>
                </w:tcPr>
                <w:p w14:paraId="3B4C3844">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460</w:t>
                  </w:r>
                </w:p>
              </w:tc>
            </w:tr>
            <w:tr w14:paraId="1C19CD6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407" w:type="pct"/>
                  <w:tcBorders>
                    <w:tl2br w:val="nil"/>
                    <w:tr2bl w:val="nil"/>
                  </w:tcBorders>
                  <w:noWrap w:val="0"/>
                  <w:vAlign w:val="center"/>
                </w:tcPr>
                <w:p w14:paraId="6BA374AF">
                  <w:pPr>
                    <w:pStyle w:val="56"/>
                    <w:keepNext w:val="0"/>
                    <w:keepLines w:val="0"/>
                    <w:suppressLineNumbers w:val="0"/>
                    <w:bidi w:val="0"/>
                    <w:spacing w:before="0" w:beforeAutospacing="0" w:after="0" w:afterAutospacing="0"/>
                    <w:ind w:left="0" w:right="0"/>
                    <w:rPr>
                      <w:rFonts w:hint="eastAsia" w:cs="Times New Roman"/>
                      <w:color w:val="auto"/>
                      <w:lang w:eastAsia="zh-CN"/>
                    </w:rPr>
                  </w:pPr>
                  <w:r>
                    <w:rPr>
                      <w:rFonts w:hint="eastAsia" w:cs="Times New Roman"/>
                      <w:color w:val="auto"/>
                      <w:lang w:eastAsia="zh-CN"/>
                    </w:rPr>
                    <w:t>声环境</w:t>
                  </w:r>
                </w:p>
              </w:tc>
              <w:tc>
                <w:tcPr>
                  <w:tcW w:w="4592" w:type="pct"/>
                  <w:gridSpan w:val="8"/>
                  <w:tcBorders>
                    <w:tl2br w:val="nil"/>
                    <w:tr2bl w:val="nil"/>
                  </w:tcBorders>
                  <w:noWrap w:val="0"/>
                  <w:vAlign w:val="center"/>
                </w:tcPr>
                <w:p w14:paraId="20130C23">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50m范围内无声环境保护目标</w:t>
                  </w:r>
                </w:p>
              </w:tc>
            </w:tr>
            <w:tr w14:paraId="562D3E2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407" w:type="pct"/>
                  <w:tcBorders>
                    <w:tl2br w:val="nil"/>
                    <w:tr2bl w:val="nil"/>
                  </w:tcBorders>
                  <w:noWrap w:val="0"/>
                  <w:vAlign w:val="center"/>
                </w:tcPr>
                <w:p w14:paraId="1CDAEA9B">
                  <w:pPr>
                    <w:pStyle w:val="56"/>
                    <w:keepNext w:val="0"/>
                    <w:keepLines w:val="0"/>
                    <w:suppressLineNumbers w:val="0"/>
                    <w:bidi w:val="0"/>
                    <w:spacing w:before="0" w:beforeAutospacing="0" w:after="0" w:afterAutospacing="0"/>
                    <w:ind w:left="0" w:right="0"/>
                    <w:rPr>
                      <w:rFonts w:hint="eastAsia" w:cs="Times New Roman"/>
                      <w:color w:val="auto"/>
                      <w:lang w:eastAsia="zh-CN"/>
                    </w:rPr>
                  </w:pPr>
                  <w:r>
                    <w:rPr>
                      <w:rFonts w:hint="eastAsia" w:cs="Times New Roman"/>
                      <w:color w:val="auto"/>
                      <w:lang w:eastAsia="zh-CN"/>
                    </w:rPr>
                    <w:t>地下水环境</w:t>
                  </w:r>
                </w:p>
              </w:tc>
              <w:tc>
                <w:tcPr>
                  <w:tcW w:w="4592" w:type="pct"/>
                  <w:gridSpan w:val="8"/>
                  <w:tcBorders>
                    <w:tl2br w:val="nil"/>
                    <w:tr2bl w:val="nil"/>
                  </w:tcBorders>
                  <w:noWrap w:val="0"/>
                  <w:vAlign w:val="center"/>
                </w:tcPr>
                <w:p w14:paraId="5B432726">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厂界外500m范围内不存在地下水集中式饮用水水源和热水、矿泉水、温泉等特殊地下水资源。</w:t>
                  </w:r>
                </w:p>
              </w:tc>
            </w:tr>
            <w:tr w14:paraId="247933D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407" w:type="pct"/>
                  <w:tcBorders>
                    <w:tl2br w:val="nil"/>
                    <w:tr2bl w:val="nil"/>
                  </w:tcBorders>
                  <w:noWrap w:val="0"/>
                  <w:vAlign w:val="center"/>
                </w:tcPr>
                <w:p w14:paraId="5D415BF9">
                  <w:pPr>
                    <w:pStyle w:val="56"/>
                    <w:keepNext w:val="0"/>
                    <w:keepLines w:val="0"/>
                    <w:suppressLineNumbers w:val="0"/>
                    <w:bidi w:val="0"/>
                    <w:spacing w:before="0" w:beforeAutospacing="0" w:after="0" w:afterAutospacing="0"/>
                    <w:ind w:left="0" w:right="0"/>
                    <w:rPr>
                      <w:rFonts w:hint="eastAsia" w:cs="Times New Roman"/>
                      <w:color w:val="auto"/>
                      <w:lang w:eastAsia="zh-CN"/>
                    </w:rPr>
                  </w:pPr>
                  <w:r>
                    <w:rPr>
                      <w:rFonts w:hint="eastAsia" w:cs="Times New Roman"/>
                      <w:color w:val="auto"/>
                      <w:lang w:eastAsia="zh-CN"/>
                    </w:rPr>
                    <w:t>生态</w:t>
                  </w:r>
                </w:p>
                <w:p w14:paraId="420E4D24">
                  <w:pPr>
                    <w:pStyle w:val="56"/>
                    <w:keepNext w:val="0"/>
                    <w:keepLines w:val="0"/>
                    <w:suppressLineNumbers w:val="0"/>
                    <w:bidi w:val="0"/>
                    <w:spacing w:before="0" w:beforeAutospacing="0" w:after="0" w:afterAutospacing="0"/>
                    <w:ind w:left="0" w:right="0"/>
                    <w:rPr>
                      <w:rFonts w:hint="eastAsia" w:cs="Times New Roman"/>
                      <w:color w:val="auto"/>
                      <w:lang w:eastAsia="zh-CN"/>
                    </w:rPr>
                  </w:pPr>
                  <w:r>
                    <w:rPr>
                      <w:rFonts w:hint="eastAsia" w:cs="Times New Roman"/>
                      <w:color w:val="auto"/>
                      <w:lang w:eastAsia="zh-CN"/>
                    </w:rPr>
                    <w:t>环境</w:t>
                  </w:r>
                </w:p>
              </w:tc>
              <w:tc>
                <w:tcPr>
                  <w:tcW w:w="4592" w:type="pct"/>
                  <w:gridSpan w:val="8"/>
                  <w:tcBorders>
                    <w:tl2br w:val="nil"/>
                    <w:tr2bl w:val="nil"/>
                  </w:tcBorders>
                  <w:noWrap w:val="0"/>
                  <w:vAlign w:val="center"/>
                </w:tcPr>
                <w:p w14:paraId="1D7CF5A8">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本项目用地范围内无生态环境保护目标。</w:t>
                  </w:r>
                </w:p>
              </w:tc>
            </w:tr>
            <w:tr w14:paraId="0A21057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5000" w:type="pct"/>
                  <w:gridSpan w:val="9"/>
                  <w:tcBorders>
                    <w:tl2br w:val="nil"/>
                    <w:tr2bl w:val="nil"/>
                  </w:tcBorders>
                  <w:noWrap w:val="0"/>
                  <w:vAlign w:val="center"/>
                </w:tcPr>
                <w:p w14:paraId="540D1C0C">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default" w:cs="Times New Roman"/>
                      <w:color w:val="auto"/>
                      <w:lang w:val="en-US" w:eastAsia="zh-CN"/>
                    </w:rPr>
                    <w:t>以项目最</w:t>
                  </w:r>
                  <w:r>
                    <w:rPr>
                      <w:rFonts w:hint="eastAsia" w:cs="Times New Roman"/>
                      <w:color w:val="auto"/>
                      <w:lang w:val="en-US" w:eastAsia="zh-CN"/>
                    </w:rPr>
                    <w:t>南</w:t>
                  </w:r>
                  <w:r>
                    <w:rPr>
                      <w:rFonts w:hint="default" w:cs="Times New Roman"/>
                      <w:color w:val="auto"/>
                      <w:lang w:val="en-US" w:eastAsia="zh-CN"/>
                    </w:rPr>
                    <w:t>侧为原点坐标（0，0），正东X轴为正方向，正北Y轴为正方向建立直角坐标系给对应坐标，X、Y坐标原点的经纬</w:t>
                  </w:r>
                  <w:r>
                    <w:rPr>
                      <w:rFonts w:hint="default" w:ascii="Times New Roman" w:hAnsi="Times New Roman" w:cs="Times New Roman"/>
                      <w:color w:val="auto"/>
                      <w:lang w:val="en-US" w:eastAsia="zh-CN"/>
                    </w:rPr>
                    <w:t>度为</w:t>
                  </w:r>
                  <w:r>
                    <w:rPr>
                      <w:rFonts w:hint="eastAsia" w:cs="Times New Roman"/>
                      <w:color w:val="auto"/>
                      <w:lang w:val="en-US" w:eastAsia="zh-CN"/>
                    </w:rPr>
                    <w:t>（经度115度25分28.613秒，纬度28度10分33.238秒）</w:t>
                  </w:r>
                </w:p>
              </w:tc>
            </w:tr>
          </w:tbl>
          <w:p w14:paraId="24BC621D">
            <w:pPr>
              <w:pStyle w:val="74"/>
              <w:keepNext w:val="0"/>
              <w:keepLines w:val="0"/>
              <w:suppressLineNumbers w:val="0"/>
              <w:bidi w:val="0"/>
              <w:spacing w:before="0" w:beforeAutospacing="0" w:after="0" w:afterAutospacing="0"/>
              <w:ind w:left="0" w:right="0"/>
              <w:jc w:val="both"/>
              <w:rPr>
                <w:rFonts w:hint="eastAsia" w:ascii="宋体" w:hAnsi="宋体" w:cs="宋体"/>
                <w:color w:val="auto"/>
                <w:kern w:val="0"/>
                <w:szCs w:val="21"/>
              </w:rPr>
            </w:pPr>
          </w:p>
        </w:tc>
      </w:tr>
      <w:tr w14:paraId="6C50BBE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199" w:hRule="atLeast"/>
          <w:jc w:val="center"/>
        </w:trPr>
        <w:tc>
          <w:tcPr>
            <w:tcW w:w="250" w:type="pct"/>
            <w:noWrap w:val="0"/>
            <w:tcMar>
              <w:left w:w="28" w:type="dxa"/>
              <w:right w:w="28" w:type="dxa"/>
            </w:tcMar>
            <w:vAlign w:val="center"/>
          </w:tcPr>
          <w:p w14:paraId="2B9BFBB2">
            <w:pPr>
              <w:pStyle w:val="7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eastAsia" w:cs="Times New Roman"/>
                <w:color w:val="auto"/>
              </w:rPr>
            </w:pPr>
            <w:r>
              <w:rPr>
                <w:rFonts w:hint="eastAsia" w:ascii="宋体" w:hAnsi="宋体" w:cs="宋体"/>
                <w:color w:val="auto"/>
                <w:kern w:val="0"/>
                <w:szCs w:val="21"/>
              </w:rPr>
              <w:t>污</w:t>
            </w:r>
            <w:r>
              <w:rPr>
                <w:rFonts w:hint="eastAsia" w:cs="Times New Roman"/>
                <w:color w:val="auto"/>
              </w:rPr>
              <w:t>染物</w:t>
            </w:r>
          </w:p>
          <w:p w14:paraId="78786B73">
            <w:pPr>
              <w:pStyle w:val="7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cs="Times New Roman"/>
                <w:color w:val="auto"/>
              </w:rPr>
            </w:pPr>
            <w:r>
              <w:rPr>
                <w:rFonts w:hint="eastAsia" w:cs="Times New Roman"/>
                <w:color w:val="auto"/>
              </w:rPr>
              <w:t>排放控制标准</w:t>
            </w:r>
          </w:p>
          <w:p w14:paraId="3A55F1B8">
            <w:pPr>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kern w:val="0"/>
                <w:szCs w:val="21"/>
              </w:rPr>
            </w:pPr>
          </w:p>
          <w:p w14:paraId="41CCD40A">
            <w:pPr>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kern w:val="0"/>
                <w:szCs w:val="21"/>
              </w:rPr>
            </w:pPr>
          </w:p>
          <w:p w14:paraId="2007642E">
            <w:pPr>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kern w:val="0"/>
                <w:szCs w:val="21"/>
              </w:rPr>
            </w:pPr>
          </w:p>
          <w:p w14:paraId="4FBFE13F">
            <w:pPr>
              <w:keepNext w:val="0"/>
              <w:keepLines w:val="0"/>
              <w:suppressLineNumbers w:val="0"/>
              <w:adjustRightInd w:val="0"/>
              <w:snapToGrid w:val="0"/>
              <w:spacing w:before="0" w:beforeAutospacing="0" w:after="0" w:afterAutospacing="0"/>
              <w:ind w:left="0" w:right="0"/>
              <w:jc w:val="both"/>
              <w:rPr>
                <w:rFonts w:hint="eastAsia" w:ascii="宋体" w:hAnsi="宋体" w:cs="宋体"/>
                <w:color w:val="auto"/>
                <w:kern w:val="0"/>
                <w:szCs w:val="21"/>
              </w:rPr>
            </w:pPr>
          </w:p>
        </w:tc>
        <w:tc>
          <w:tcPr>
            <w:tcW w:w="4750" w:type="pct"/>
            <w:noWrap w:val="0"/>
            <w:vAlign w:val="center"/>
          </w:tcPr>
          <w:p w14:paraId="4B8BC9BB">
            <w:pPr>
              <w:pStyle w:val="74"/>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1、废水</w:t>
            </w:r>
          </w:p>
          <w:p w14:paraId="2ADDB1FB">
            <w:pPr>
              <w:pStyle w:val="79"/>
              <w:keepNext w:val="0"/>
              <w:keepLines w:val="0"/>
              <w:widowControl/>
              <w:suppressLineNumbers w:val="0"/>
              <w:spacing w:before="0" w:beforeAutospacing="0" w:after="0" w:afterAutospacing="0"/>
              <w:ind w:left="0" w:right="0" w:firstLine="480"/>
              <w:jc w:val="both"/>
              <w:rPr>
                <w:rFonts w:hint="eastAsia" w:cs="Times New Roman"/>
                <w:color w:val="auto"/>
                <w:lang w:val="en-US" w:eastAsia="zh-CN"/>
              </w:rPr>
            </w:pPr>
            <w:r>
              <w:rPr>
                <w:rFonts w:hint="eastAsia"/>
                <w:color w:val="auto"/>
                <w:lang w:val="en-US" w:eastAsia="zh-CN"/>
              </w:rPr>
              <w:t>本项目属于建筑陶瓷产业园污水处理厂纳管范围，生活污水经化粪池预处理，处理达到江西建筑陶瓷产业园污水处理厂接管标准要求后经市政污水管网纳入建筑陶瓷产业园污水处理厂处理，处理达标后尾水排放执行《城镇污水处理厂污染物排放标准》</w:t>
            </w:r>
            <w:r>
              <w:rPr>
                <w:rFonts w:hint="eastAsia" w:ascii="Times New Roman" w:hAnsi="Times New Roman" w:eastAsia="宋体" w:cs="Times New Roman"/>
                <w:color w:val="auto"/>
                <w:lang w:val="en-US" w:eastAsia="zh-CN"/>
              </w:rPr>
              <w:t>（GB18918-2002）中一级A标准。项目后期雨水铊预警限值浓度为2</w:t>
            </w:r>
            <w:r>
              <w:rPr>
                <w:rFonts w:hint="default" w:ascii="Times New Roman" w:hAnsi="Times New Roman" w:eastAsia="宋体" w:cs="Times New Roman"/>
                <w:color w:val="auto"/>
                <w:lang w:val="en-US" w:eastAsia="zh-CN"/>
              </w:rPr>
              <w:t>μ</w:t>
            </w:r>
            <w:r>
              <w:rPr>
                <w:rFonts w:hint="eastAsia" w:ascii="Times New Roman" w:hAnsi="Times New Roman" w:eastAsia="宋体" w:cs="Times New Roman"/>
                <w:color w:val="auto"/>
                <w:lang w:val="en-US" w:eastAsia="zh-CN"/>
              </w:rPr>
              <w:t>g/L（参照湖南省《工业废水铊污染物排放标准》（DB43/968-2021）的特别排放限值），铍预警限值浓度为0.005mg/L、氟化物预警限值浓度为2mg/L（参照《无机化学工业污染物排放标准》（GB31573-2015）的水污染物排放限值）</w:t>
            </w:r>
          </w:p>
          <w:p w14:paraId="5B3EC960">
            <w:pPr>
              <w:pStyle w:val="79"/>
              <w:keepNext w:val="0"/>
              <w:keepLines w:val="0"/>
              <w:widowControl/>
              <w:suppressLineNumbers w:val="0"/>
              <w:spacing w:before="0" w:beforeAutospacing="0" w:after="0" w:afterAutospacing="0"/>
              <w:ind w:left="0" w:right="0" w:firstLine="480"/>
              <w:jc w:val="both"/>
              <w:rPr>
                <w:rFonts w:hint="eastAsia" w:cs="Times New Roman"/>
                <w:color w:val="auto"/>
                <w:lang w:val="en-US" w:eastAsia="zh-CN"/>
              </w:rPr>
            </w:pPr>
            <w:r>
              <w:rPr>
                <w:rFonts w:hint="eastAsia"/>
                <w:color w:val="auto"/>
                <w:lang w:val="en-US" w:eastAsia="zh-CN"/>
              </w:rPr>
              <w:t>初期雨水经企业自建初期雨水池沉淀处理后回用于厂区降尘</w:t>
            </w:r>
            <w:r>
              <w:rPr>
                <w:rFonts w:hint="eastAsia" w:cs="Times New Roman"/>
                <w:color w:val="auto"/>
                <w:lang w:val="en-US" w:eastAsia="zh-CN"/>
              </w:rPr>
              <w:t>，标准值见下表。</w:t>
            </w:r>
          </w:p>
          <w:p w14:paraId="7D8A2EC6">
            <w:pPr>
              <w:pStyle w:val="54"/>
              <w:keepNext w:val="0"/>
              <w:keepLines w:val="0"/>
              <w:numPr>
                <w:ilvl w:val="0"/>
                <w:numId w:val="10"/>
              </w:numPr>
              <w:suppressLineNumbers w:val="0"/>
              <w:bidi w:val="0"/>
              <w:spacing w:before="0" w:beforeAutospacing="0" w:after="0" w:afterAutospacing="0"/>
              <w:ind w:left="0" w:leftChars="0" w:right="0" w:firstLine="0" w:firstLineChars="0"/>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废水排放标准（单位：mgL；p无量纲</w:t>
            </w:r>
            <w:r>
              <w:rPr>
                <w:rFonts w:hint="eastAsia" w:ascii="Times New Roman" w:hAnsi="Times New Roman" w:eastAsia="宋体" w:cs="Times New Roman"/>
                <w:b/>
                <w:bCs w:val="0"/>
                <w:color w:val="auto"/>
                <w:sz w:val="21"/>
                <w:szCs w:val="21"/>
                <w:lang w:val="en-US" w:eastAsia="zh-CN"/>
              </w:rPr>
              <w:t>）</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1"/>
              <w:gridCol w:w="661"/>
              <w:gridCol w:w="892"/>
              <w:gridCol w:w="780"/>
              <w:gridCol w:w="738"/>
              <w:gridCol w:w="738"/>
              <w:gridCol w:w="744"/>
            </w:tblGrid>
            <w:tr w14:paraId="62807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133" w:type="pct"/>
                  <w:vAlign w:val="center"/>
                </w:tcPr>
                <w:p w14:paraId="41153241">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项目</w:t>
                  </w:r>
                </w:p>
              </w:tc>
              <w:tc>
                <w:tcPr>
                  <w:tcW w:w="428" w:type="pct"/>
                  <w:vAlign w:val="center"/>
                </w:tcPr>
                <w:p w14:paraId="4561AE99">
                  <w:pPr>
                    <w:pStyle w:val="56"/>
                    <w:keepNext w:val="0"/>
                    <w:keepLines w:val="0"/>
                    <w:suppressLineNumbers w:val="0"/>
                    <w:bidi w:val="0"/>
                    <w:spacing w:before="0" w:beforeAutospacing="0" w:after="0" w:afterAutospacing="0"/>
                    <w:ind w:left="0" w:right="0"/>
                    <w:jc w:val="center"/>
                    <w:rPr>
                      <w:rFonts w:hint="eastAsia" w:eastAsia="宋体" w:cs="Times New Roman"/>
                      <w:color w:val="auto"/>
                      <w:lang w:val="en-US" w:eastAsia="zh-CN"/>
                    </w:rPr>
                  </w:pPr>
                  <w:r>
                    <w:rPr>
                      <w:rFonts w:hint="eastAsia" w:cs="Times New Roman"/>
                      <w:color w:val="auto"/>
                      <w:lang w:val="en-US" w:eastAsia="zh-CN"/>
                    </w:rPr>
                    <w:t>pH</w:t>
                  </w:r>
                </w:p>
              </w:tc>
              <w:tc>
                <w:tcPr>
                  <w:tcW w:w="525" w:type="pct"/>
                  <w:vAlign w:val="center"/>
                </w:tcPr>
                <w:p w14:paraId="0536EFFE">
                  <w:pPr>
                    <w:pStyle w:val="56"/>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cs="Times New Roman"/>
                      <w:color w:val="auto"/>
                      <w:lang w:val="en-US" w:eastAsia="zh-CN"/>
                    </w:rPr>
                    <w:t>CODcr</w:t>
                  </w:r>
                </w:p>
              </w:tc>
              <w:tc>
                <w:tcPr>
                  <w:tcW w:w="477" w:type="pct"/>
                  <w:vAlign w:val="center"/>
                </w:tcPr>
                <w:p w14:paraId="4E28CBD3">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s="Times New Roman"/>
                      <w:color w:val="auto"/>
                      <w:lang w:val="en-US" w:eastAsia="zh-CN"/>
                    </w:rPr>
                    <w:t>BOD</w:t>
                  </w:r>
                  <w:r>
                    <w:rPr>
                      <w:rFonts w:hint="eastAsia" w:cs="Times New Roman"/>
                      <w:color w:val="auto"/>
                      <w:vertAlign w:val="subscript"/>
                      <w:lang w:val="en-US" w:eastAsia="zh-CN"/>
                    </w:rPr>
                    <w:t>5</w:t>
                  </w:r>
                </w:p>
              </w:tc>
              <w:tc>
                <w:tcPr>
                  <w:tcW w:w="477" w:type="pct"/>
                  <w:vAlign w:val="center"/>
                </w:tcPr>
                <w:p w14:paraId="2069F514">
                  <w:pPr>
                    <w:pStyle w:val="56"/>
                    <w:keepNext w:val="0"/>
                    <w:keepLines w:val="0"/>
                    <w:suppressLineNumbers w:val="0"/>
                    <w:bidi w:val="0"/>
                    <w:spacing w:before="0" w:beforeAutospacing="0" w:after="0" w:afterAutospacing="0"/>
                    <w:ind w:left="0" w:right="0"/>
                    <w:jc w:val="center"/>
                    <w:rPr>
                      <w:rFonts w:hint="eastAsia" w:eastAsia="宋体" w:cs="Times New Roman"/>
                      <w:color w:val="auto"/>
                      <w:lang w:val="en-US" w:eastAsia="zh-CN"/>
                    </w:rPr>
                  </w:pPr>
                  <w:r>
                    <w:rPr>
                      <w:rFonts w:hint="eastAsia" w:cs="Times New Roman"/>
                      <w:color w:val="auto"/>
                      <w:lang w:val="en-US" w:eastAsia="zh-CN"/>
                    </w:rPr>
                    <w:t>SS</w:t>
                  </w:r>
                </w:p>
              </w:tc>
              <w:tc>
                <w:tcPr>
                  <w:tcW w:w="477" w:type="pct"/>
                  <w:vAlign w:val="center"/>
                </w:tcPr>
                <w:p w14:paraId="41AE8C2A">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氨氮</w:t>
                  </w:r>
                </w:p>
              </w:tc>
              <w:tc>
                <w:tcPr>
                  <w:tcW w:w="480" w:type="pct"/>
                  <w:vAlign w:val="center"/>
                </w:tcPr>
                <w:p w14:paraId="6EF29F5F">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TP</w:t>
                  </w:r>
                </w:p>
              </w:tc>
            </w:tr>
            <w:tr w14:paraId="48A1D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133" w:type="pct"/>
                  <w:vAlign w:val="center"/>
                </w:tcPr>
                <w:p w14:paraId="7DEF0AE6">
                  <w:pPr>
                    <w:pStyle w:val="56"/>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s="Times New Roman"/>
                      <w:color w:val="auto"/>
                      <w:lang w:val="en-US" w:eastAsia="zh-CN"/>
                    </w:rPr>
                    <w:t>江西建筑陶瓷产业园污水处理厂接管标准</w:t>
                  </w:r>
                </w:p>
              </w:tc>
              <w:tc>
                <w:tcPr>
                  <w:tcW w:w="428" w:type="pct"/>
                  <w:vAlign w:val="center"/>
                </w:tcPr>
                <w:p w14:paraId="4A0BFA7B">
                  <w:pPr>
                    <w:pStyle w:val="56"/>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cs="Times New Roman"/>
                      <w:color w:val="auto"/>
                      <w:lang w:val="en-US" w:eastAsia="zh-CN"/>
                    </w:rPr>
                    <w:t>6~9</w:t>
                  </w:r>
                </w:p>
              </w:tc>
              <w:tc>
                <w:tcPr>
                  <w:tcW w:w="525" w:type="pct"/>
                  <w:vAlign w:val="center"/>
                </w:tcPr>
                <w:p w14:paraId="10C81007">
                  <w:pPr>
                    <w:pStyle w:val="56"/>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cs="Times New Roman"/>
                      <w:color w:val="auto"/>
                      <w:lang w:val="en-US" w:eastAsia="zh-CN"/>
                    </w:rPr>
                    <w:t>500</w:t>
                  </w:r>
                </w:p>
              </w:tc>
              <w:tc>
                <w:tcPr>
                  <w:tcW w:w="477" w:type="pct"/>
                  <w:vAlign w:val="center"/>
                </w:tcPr>
                <w:p w14:paraId="78928E70">
                  <w:pPr>
                    <w:pStyle w:val="56"/>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cs="Times New Roman"/>
                      <w:color w:val="auto"/>
                      <w:lang w:val="en-US" w:eastAsia="zh-CN"/>
                    </w:rPr>
                    <w:t>150</w:t>
                  </w:r>
                </w:p>
              </w:tc>
              <w:tc>
                <w:tcPr>
                  <w:tcW w:w="477" w:type="pct"/>
                  <w:vAlign w:val="center"/>
                </w:tcPr>
                <w:p w14:paraId="6447A21E">
                  <w:pPr>
                    <w:pStyle w:val="56"/>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cs="Times New Roman"/>
                      <w:color w:val="auto"/>
                      <w:lang w:val="en-US" w:eastAsia="zh-CN"/>
                    </w:rPr>
                    <w:t>400</w:t>
                  </w:r>
                </w:p>
              </w:tc>
              <w:tc>
                <w:tcPr>
                  <w:tcW w:w="477" w:type="pct"/>
                  <w:vAlign w:val="center"/>
                </w:tcPr>
                <w:p w14:paraId="215E9C0A">
                  <w:pPr>
                    <w:pStyle w:val="56"/>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cs="Times New Roman"/>
                      <w:color w:val="auto"/>
                      <w:lang w:val="en-US" w:eastAsia="zh-CN"/>
                    </w:rPr>
                    <w:t>50</w:t>
                  </w:r>
                </w:p>
              </w:tc>
              <w:tc>
                <w:tcPr>
                  <w:tcW w:w="480" w:type="pct"/>
                  <w:vAlign w:val="center"/>
                </w:tcPr>
                <w:p w14:paraId="54797385">
                  <w:pPr>
                    <w:pStyle w:val="56"/>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cs="Times New Roman"/>
                      <w:color w:val="auto"/>
                      <w:lang w:val="en-US" w:eastAsia="zh-CN"/>
                    </w:rPr>
                    <w:t>0.5</w:t>
                  </w:r>
                </w:p>
              </w:tc>
            </w:tr>
            <w:tr w14:paraId="2E1C6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133" w:type="pct"/>
                  <w:vAlign w:val="center"/>
                </w:tcPr>
                <w:p w14:paraId="69BBD33A">
                  <w:pPr>
                    <w:pStyle w:val="56"/>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s="Times New Roman"/>
                      <w:color w:val="auto"/>
                      <w:lang w:val="en-US" w:eastAsia="zh-CN"/>
                    </w:rPr>
                    <w:t>《城镇污水处理厂污染物排放标准》（GB18918-2002）一级A标准</w:t>
                  </w:r>
                </w:p>
              </w:tc>
              <w:tc>
                <w:tcPr>
                  <w:tcW w:w="428" w:type="pct"/>
                  <w:vAlign w:val="center"/>
                </w:tcPr>
                <w:p w14:paraId="1F796793">
                  <w:pPr>
                    <w:pStyle w:val="56"/>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cs="Times New Roman"/>
                      <w:color w:val="auto"/>
                      <w:lang w:val="en-US" w:eastAsia="zh-CN"/>
                    </w:rPr>
                    <w:t>6~9</w:t>
                  </w:r>
                </w:p>
              </w:tc>
              <w:tc>
                <w:tcPr>
                  <w:tcW w:w="525" w:type="pct"/>
                  <w:vAlign w:val="center"/>
                </w:tcPr>
                <w:p w14:paraId="7BD388D4">
                  <w:pPr>
                    <w:pStyle w:val="56"/>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cs="Times New Roman"/>
                      <w:color w:val="auto"/>
                      <w:lang w:val="en-US" w:eastAsia="zh-CN"/>
                    </w:rPr>
                    <w:t>50</w:t>
                  </w:r>
                </w:p>
              </w:tc>
              <w:tc>
                <w:tcPr>
                  <w:tcW w:w="477" w:type="pct"/>
                  <w:vAlign w:val="center"/>
                </w:tcPr>
                <w:p w14:paraId="7A3DF1DE">
                  <w:pPr>
                    <w:pStyle w:val="56"/>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cs="Times New Roman"/>
                      <w:color w:val="auto"/>
                      <w:lang w:val="en-US" w:eastAsia="zh-CN"/>
                    </w:rPr>
                    <w:t>10</w:t>
                  </w:r>
                </w:p>
              </w:tc>
              <w:tc>
                <w:tcPr>
                  <w:tcW w:w="477" w:type="pct"/>
                  <w:vAlign w:val="center"/>
                </w:tcPr>
                <w:p w14:paraId="23EF745C">
                  <w:pPr>
                    <w:pStyle w:val="56"/>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cs="Times New Roman"/>
                      <w:color w:val="auto"/>
                      <w:lang w:val="en-US" w:eastAsia="zh-CN"/>
                    </w:rPr>
                    <w:t>10</w:t>
                  </w:r>
                </w:p>
              </w:tc>
              <w:tc>
                <w:tcPr>
                  <w:tcW w:w="477" w:type="pct"/>
                  <w:vAlign w:val="center"/>
                </w:tcPr>
                <w:p w14:paraId="4126F1CF">
                  <w:pPr>
                    <w:pStyle w:val="56"/>
                    <w:keepNext w:val="0"/>
                    <w:keepLines w:val="0"/>
                    <w:suppressLineNumbers w:val="0"/>
                    <w:bidi w:val="0"/>
                    <w:spacing w:before="0" w:beforeAutospacing="0" w:after="0" w:afterAutospacing="0"/>
                    <w:ind w:left="0" w:right="0"/>
                    <w:jc w:val="center"/>
                    <w:rPr>
                      <w:rFonts w:hint="eastAsia" w:eastAsia="宋体" w:cs="Times New Roman"/>
                      <w:color w:val="auto"/>
                      <w:lang w:val="en-US" w:eastAsia="zh-CN"/>
                    </w:rPr>
                  </w:pPr>
                  <w:r>
                    <w:rPr>
                      <w:rFonts w:hint="eastAsia" w:cs="Times New Roman"/>
                      <w:color w:val="auto"/>
                      <w:lang w:val="en-US" w:eastAsia="zh-CN"/>
                    </w:rPr>
                    <w:t>5</w:t>
                  </w:r>
                </w:p>
              </w:tc>
              <w:tc>
                <w:tcPr>
                  <w:tcW w:w="480" w:type="pct"/>
                  <w:vAlign w:val="center"/>
                </w:tcPr>
                <w:p w14:paraId="584CB135">
                  <w:pPr>
                    <w:pStyle w:val="56"/>
                    <w:keepNext w:val="0"/>
                    <w:keepLines w:val="0"/>
                    <w:suppressLineNumbers w:val="0"/>
                    <w:bidi w:val="0"/>
                    <w:spacing w:before="0" w:beforeAutospacing="0" w:after="0" w:afterAutospacing="0"/>
                    <w:ind w:left="0" w:right="0"/>
                    <w:jc w:val="center"/>
                    <w:rPr>
                      <w:rFonts w:hint="default" w:eastAsia="宋体" w:cs="Times New Roman"/>
                      <w:color w:val="auto"/>
                      <w:lang w:val="en-US" w:eastAsia="zh-CN"/>
                    </w:rPr>
                  </w:pPr>
                  <w:r>
                    <w:rPr>
                      <w:rFonts w:hint="eastAsia" w:cs="Times New Roman"/>
                      <w:color w:val="auto"/>
                      <w:lang w:val="en-US" w:eastAsia="zh-CN"/>
                    </w:rPr>
                    <w:t>0.5</w:t>
                  </w:r>
                </w:p>
              </w:tc>
            </w:tr>
          </w:tbl>
          <w:p w14:paraId="66F1F377">
            <w:pPr>
              <w:pStyle w:val="54"/>
              <w:keepNext w:val="0"/>
              <w:keepLines w:val="0"/>
              <w:numPr>
                <w:ilvl w:val="0"/>
                <w:numId w:val="10"/>
              </w:numPr>
              <w:suppressLineNumbers w:val="0"/>
              <w:bidi w:val="0"/>
              <w:spacing w:before="0" w:beforeAutospacing="0" w:after="0" w:afterAutospacing="0"/>
              <w:ind w:left="0" w:leftChars="0" w:right="0" w:firstLine="0" w:firstLineChars="0"/>
              <w:rPr>
                <w:rFonts w:hint="default"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后期雨水排放标准一览表 单位</w:t>
            </w:r>
            <w:r>
              <w:rPr>
                <w:rFonts w:hint="default" w:ascii="Times New Roman" w:hAnsi="Times New Roman" w:eastAsia="宋体" w:cs="Times New Roman"/>
                <w:b/>
                <w:bCs w:val="0"/>
                <w:color w:val="auto"/>
                <w:sz w:val="21"/>
                <w:szCs w:val="21"/>
                <w:lang w:val="en-US" w:eastAsia="zh-CN"/>
              </w:rPr>
              <w:t>：mg/L</w:t>
            </w:r>
          </w:p>
          <w:tbl>
            <w:tblPr>
              <w:tblStyle w:val="29"/>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06"/>
              <w:gridCol w:w="1259"/>
              <w:gridCol w:w="2284"/>
              <w:gridCol w:w="2346"/>
              <w:gridCol w:w="1483"/>
            </w:tblGrid>
            <w:tr w14:paraId="7FDFA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06" w:type="dxa"/>
                  <w:tcBorders>
                    <w:tl2br w:val="nil"/>
                    <w:tr2bl w:val="nil"/>
                  </w:tcBorders>
                  <w:noWrap w:val="0"/>
                  <w:vAlign w:val="center"/>
                </w:tcPr>
                <w:p w14:paraId="315C0CF9">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序号</w:t>
                  </w:r>
                </w:p>
              </w:tc>
              <w:tc>
                <w:tcPr>
                  <w:tcW w:w="1259" w:type="dxa"/>
                  <w:tcBorders>
                    <w:tl2br w:val="nil"/>
                    <w:tr2bl w:val="nil"/>
                  </w:tcBorders>
                  <w:noWrap w:val="0"/>
                  <w:vAlign w:val="center"/>
                </w:tcPr>
                <w:p w14:paraId="1FC96D04">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控制项目</w:t>
                  </w:r>
                </w:p>
              </w:tc>
              <w:tc>
                <w:tcPr>
                  <w:tcW w:w="2284" w:type="dxa"/>
                  <w:tcBorders>
                    <w:tl2br w:val="nil"/>
                    <w:tr2bl w:val="nil"/>
                  </w:tcBorders>
                  <w:noWrap w:val="0"/>
                  <w:vAlign w:val="center"/>
                </w:tcPr>
                <w:p w14:paraId="3D95C08B">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《无机化学工业污染物排放标准》（GB31573-2015）</w:t>
                  </w:r>
                </w:p>
              </w:tc>
              <w:tc>
                <w:tcPr>
                  <w:tcW w:w="2346" w:type="dxa"/>
                  <w:tcBorders>
                    <w:tl2br w:val="nil"/>
                    <w:tr2bl w:val="nil"/>
                  </w:tcBorders>
                  <w:noWrap w:val="0"/>
                  <w:vAlign w:val="center"/>
                </w:tcPr>
                <w:p w14:paraId="1BFE36C8">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《工业废水铊污染物排放标准》（DB43/968-2021）</w:t>
                  </w:r>
                </w:p>
              </w:tc>
              <w:tc>
                <w:tcPr>
                  <w:tcW w:w="1483" w:type="dxa"/>
                  <w:tcBorders>
                    <w:tl2br w:val="nil"/>
                    <w:tr2bl w:val="nil"/>
                  </w:tcBorders>
                  <w:noWrap w:val="0"/>
                  <w:vAlign w:val="center"/>
                </w:tcPr>
                <w:p w14:paraId="0955050E">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本项目执行标准</w:t>
                  </w:r>
                </w:p>
              </w:tc>
            </w:tr>
            <w:tr w14:paraId="139D8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06" w:type="dxa"/>
                  <w:tcBorders>
                    <w:tl2br w:val="nil"/>
                    <w:tr2bl w:val="nil"/>
                  </w:tcBorders>
                  <w:noWrap w:val="0"/>
                  <w:vAlign w:val="center"/>
                </w:tcPr>
                <w:p w14:paraId="52D2DC2A">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1</w:t>
                  </w:r>
                </w:p>
              </w:tc>
              <w:tc>
                <w:tcPr>
                  <w:tcW w:w="1259" w:type="dxa"/>
                  <w:tcBorders>
                    <w:tl2br w:val="nil"/>
                    <w:tr2bl w:val="nil"/>
                  </w:tcBorders>
                  <w:noWrap w:val="0"/>
                  <w:vAlign w:val="center"/>
                </w:tcPr>
                <w:p w14:paraId="45CBEC9C">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氟化物</w:t>
                  </w:r>
                </w:p>
              </w:tc>
              <w:tc>
                <w:tcPr>
                  <w:tcW w:w="2284" w:type="dxa"/>
                  <w:tcBorders>
                    <w:tl2br w:val="nil"/>
                    <w:tr2bl w:val="nil"/>
                  </w:tcBorders>
                  <w:noWrap w:val="0"/>
                  <w:vAlign w:val="center"/>
                </w:tcPr>
                <w:p w14:paraId="76E09CD5">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w:t>
                  </w:r>
                </w:p>
              </w:tc>
              <w:tc>
                <w:tcPr>
                  <w:tcW w:w="2346" w:type="dxa"/>
                  <w:tcBorders>
                    <w:tl2br w:val="nil"/>
                    <w:tr2bl w:val="nil"/>
                  </w:tcBorders>
                  <w:noWrap w:val="0"/>
                  <w:vAlign w:val="center"/>
                </w:tcPr>
                <w:p w14:paraId="42D9DFC6">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w:t>
                  </w:r>
                </w:p>
              </w:tc>
              <w:tc>
                <w:tcPr>
                  <w:tcW w:w="1483" w:type="dxa"/>
                  <w:tcBorders>
                    <w:tl2br w:val="nil"/>
                    <w:tr2bl w:val="nil"/>
                  </w:tcBorders>
                  <w:noWrap w:val="0"/>
                  <w:vAlign w:val="center"/>
                </w:tcPr>
                <w:p w14:paraId="45F987BD">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w:t>
                  </w:r>
                </w:p>
              </w:tc>
            </w:tr>
            <w:tr w14:paraId="521DA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06" w:type="dxa"/>
                  <w:tcBorders>
                    <w:tl2br w:val="nil"/>
                    <w:tr2bl w:val="nil"/>
                  </w:tcBorders>
                  <w:noWrap w:val="0"/>
                  <w:vAlign w:val="center"/>
                </w:tcPr>
                <w:p w14:paraId="455D346C">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w:t>
                  </w:r>
                </w:p>
              </w:tc>
              <w:tc>
                <w:tcPr>
                  <w:tcW w:w="1259" w:type="dxa"/>
                  <w:tcBorders>
                    <w:tl2br w:val="nil"/>
                    <w:tr2bl w:val="nil"/>
                  </w:tcBorders>
                  <w:noWrap w:val="0"/>
                  <w:vAlign w:val="center"/>
                </w:tcPr>
                <w:p w14:paraId="42247EAD">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铊</w:t>
                  </w:r>
                </w:p>
              </w:tc>
              <w:tc>
                <w:tcPr>
                  <w:tcW w:w="2284" w:type="dxa"/>
                  <w:tcBorders>
                    <w:tl2br w:val="nil"/>
                    <w:tr2bl w:val="nil"/>
                  </w:tcBorders>
                  <w:noWrap w:val="0"/>
                  <w:vAlign w:val="center"/>
                </w:tcPr>
                <w:p w14:paraId="04B090E6">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0.005</w:t>
                  </w:r>
                </w:p>
              </w:tc>
              <w:tc>
                <w:tcPr>
                  <w:tcW w:w="2346" w:type="dxa"/>
                  <w:tcBorders>
                    <w:tl2br w:val="nil"/>
                    <w:tr2bl w:val="nil"/>
                  </w:tcBorders>
                  <w:noWrap w:val="0"/>
                  <w:vAlign w:val="center"/>
                </w:tcPr>
                <w:p w14:paraId="020EF1A1">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0.002</w:t>
                  </w:r>
                </w:p>
              </w:tc>
              <w:tc>
                <w:tcPr>
                  <w:tcW w:w="1483" w:type="dxa"/>
                  <w:tcBorders>
                    <w:tl2br w:val="nil"/>
                    <w:tr2bl w:val="nil"/>
                  </w:tcBorders>
                  <w:noWrap w:val="0"/>
                  <w:vAlign w:val="center"/>
                </w:tcPr>
                <w:p w14:paraId="68405EB7">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0.002</w:t>
                  </w:r>
                </w:p>
              </w:tc>
            </w:tr>
            <w:tr w14:paraId="15707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06" w:type="dxa"/>
                  <w:tcBorders>
                    <w:tl2br w:val="nil"/>
                    <w:tr2bl w:val="nil"/>
                  </w:tcBorders>
                  <w:noWrap w:val="0"/>
                  <w:vAlign w:val="center"/>
                </w:tcPr>
                <w:p w14:paraId="31B53B57">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3</w:t>
                  </w:r>
                </w:p>
              </w:tc>
              <w:tc>
                <w:tcPr>
                  <w:tcW w:w="1259" w:type="dxa"/>
                  <w:tcBorders>
                    <w:tl2br w:val="nil"/>
                    <w:tr2bl w:val="nil"/>
                  </w:tcBorders>
                  <w:noWrap w:val="0"/>
                  <w:vAlign w:val="center"/>
                </w:tcPr>
                <w:p w14:paraId="54128C8E">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铍</w:t>
                  </w:r>
                </w:p>
              </w:tc>
              <w:tc>
                <w:tcPr>
                  <w:tcW w:w="2284" w:type="dxa"/>
                  <w:tcBorders>
                    <w:tl2br w:val="nil"/>
                    <w:tr2bl w:val="nil"/>
                  </w:tcBorders>
                  <w:noWrap w:val="0"/>
                  <w:vAlign w:val="center"/>
                </w:tcPr>
                <w:p w14:paraId="190CD471">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0.005</w:t>
                  </w:r>
                </w:p>
              </w:tc>
              <w:tc>
                <w:tcPr>
                  <w:tcW w:w="2346" w:type="dxa"/>
                  <w:tcBorders>
                    <w:tl2br w:val="nil"/>
                    <w:tr2bl w:val="nil"/>
                  </w:tcBorders>
                  <w:noWrap w:val="0"/>
                  <w:vAlign w:val="center"/>
                </w:tcPr>
                <w:p w14:paraId="2101AF32">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w:t>
                  </w:r>
                </w:p>
              </w:tc>
              <w:tc>
                <w:tcPr>
                  <w:tcW w:w="1483" w:type="dxa"/>
                  <w:tcBorders>
                    <w:tl2br w:val="nil"/>
                    <w:tr2bl w:val="nil"/>
                  </w:tcBorders>
                  <w:noWrap w:val="0"/>
                  <w:vAlign w:val="center"/>
                </w:tcPr>
                <w:p w14:paraId="0E283309">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0.005</w:t>
                  </w:r>
                </w:p>
              </w:tc>
            </w:tr>
            <w:tr w14:paraId="0CBCB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06" w:type="dxa"/>
                  <w:tcBorders>
                    <w:tl2br w:val="nil"/>
                    <w:tr2bl w:val="nil"/>
                  </w:tcBorders>
                  <w:noWrap w:val="0"/>
                  <w:vAlign w:val="center"/>
                </w:tcPr>
                <w:p w14:paraId="638025EC">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4</w:t>
                  </w:r>
                </w:p>
              </w:tc>
              <w:tc>
                <w:tcPr>
                  <w:tcW w:w="1259" w:type="dxa"/>
                  <w:tcBorders>
                    <w:tl2br w:val="nil"/>
                    <w:tr2bl w:val="nil"/>
                  </w:tcBorders>
                  <w:noWrap w:val="0"/>
                  <w:vAlign w:val="center"/>
                </w:tcPr>
                <w:p w14:paraId="06F346FB">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CODc</w:t>
                  </w:r>
                  <w:r>
                    <w:rPr>
                      <w:rFonts w:hint="eastAsia" w:cs="Times New Roman"/>
                      <w:color w:val="auto"/>
                      <w:lang w:val="en-US" w:eastAsia="zh-CN"/>
                    </w:rPr>
                    <w:t>r</w:t>
                  </w:r>
                </w:p>
              </w:tc>
              <w:tc>
                <w:tcPr>
                  <w:tcW w:w="2284" w:type="dxa"/>
                  <w:tcBorders>
                    <w:tl2br w:val="nil"/>
                    <w:tr2bl w:val="nil"/>
                  </w:tcBorders>
                  <w:noWrap w:val="0"/>
                  <w:vAlign w:val="center"/>
                </w:tcPr>
                <w:p w14:paraId="3D2EEA8F">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100</w:t>
                  </w:r>
                </w:p>
              </w:tc>
              <w:tc>
                <w:tcPr>
                  <w:tcW w:w="2346" w:type="dxa"/>
                  <w:tcBorders>
                    <w:tl2br w:val="nil"/>
                    <w:tr2bl w:val="nil"/>
                  </w:tcBorders>
                  <w:noWrap w:val="0"/>
                  <w:vAlign w:val="center"/>
                </w:tcPr>
                <w:p w14:paraId="17B12E88">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w:t>
                  </w:r>
                </w:p>
              </w:tc>
              <w:tc>
                <w:tcPr>
                  <w:tcW w:w="1483" w:type="dxa"/>
                  <w:tcBorders>
                    <w:tl2br w:val="nil"/>
                    <w:tr2bl w:val="nil"/>
                  </w:tcBorders>
                  <w:noWrap w:val="0"/>
                  <w:vAlign w:val="center"/>
                </w:tcPr>
                <w:p w14:paraId="459168D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100</w:t>
                  </w:r>
                </w:p>
              </w:tc>
            </w:tr>
          </w:tbl>
          <w:p w14:paraId="33873DD5">
            <w:pPr>
              <w:pStyle w:val="79"/>
              <w:keepNext w:val="0"/>
              <w:keepLines w:val="0"/>
              <w:widowControl/>
              <w:suppressLineNumbers w:val="0"/>
              <w:spacing w:before="0" w:beforeAutospacing="0" w:after="0" w:afterAutospacing="0"/>
              <w:ind w:left="0" w:right="0" w:firstLine="480"/>
              <w:rPr>
                <w:rFonts w:hint="eastAsia"/>
                <w:color w:val="auto"/>
              </w:rPr>
            </w:pPr>
            <w:r>
              <w:rPr>
                <w:rFonts w:hint="eastAsia"/>
                <w:color w:val="auto"/>
              </w:rPr>
              <w:t>2、废气</w:t>
            </w:r>
          </w:p>
          <w:p w14:paraId="2DF78C78">
            <w:pPr>
              <w:pStyle w:val="79"/>
              <w:keepNext w:val="0"/>
              <w:keepLines w:val="0"/>
              <w:widowControl/>
              <w:suppressLineNumbers w:val="0"/>
              <w:spacing w:before="0" w:beforeAutospacing="0" w:after="0" w:afterAutospacing="0"/>
              <w:ind w:left="0" w:right="0" w:firstLine="480"/>
              <w:rPr>
                <w:rFonts w:hint="default" w:ascii="Times New Roman" w:hAnsi="Times New Roman" w:eastAsia="宋体" w:cs="Times New Roman"/>
                <w:color w:val="auto"/>
                <w:lang w:val="en-US" w:eastAsia="zh-CN"/>
              </w:rPr>
            </w:pPr>
            <w:r>
              <w:rPr>
                <w:rFonts w:hint="eastAsia" w:cs="Times New Roman"/>
                <w:color w:val="auto"/>
                <w:lang w:val="en-US" w:eastAsia="zh-CN"/>
              </w:rPr>
              <w:t>项目颗粒物排放参照执</w:t>
            </w:r>
            <w:r>
              <w:rPr>
                <w:rFonts w:hint="eastAsia" w:ascii="Times New Roman" w:hAnsi="Times New Roman" w:eastAsia="宋体" w:cs="Times New Roman"/>
                <w:color w:val="auto"/>
                <w:lang w:val="en-US" w:eastAsia="zh-CN"/>
              </w:rPr>
              <w:t>行《水泥工业大气污染物排放标准》（GB 4915-2013）表1现有与新建企业大气污染物排放限值与表3大气污染物无组织排放限值</w:t>
            </w:r>
            <w:r>
              <w:rPr>
                <w:rFonts w:hint="eastAsia" w:cs="Times New Roman"/>
                <w:color w:val="auto"/>
                <w:lang w:val="en-US" w:eastAsia="zh-CN"/>
              </w:rPr>
              <w:t>，氟化物废气排放参考执行《大气污染物综合排放标准》（GB 16297-1996）排放限值，</w:t>
            </w:r>
            <w:r>
              <w:rPr>
                <w:rFonts w:hint="eastAsia" w:ascii="Times New Roman" w:hAnsi="Times New Roman" w:eastAsia="宋体" w:cs="Times New Roman"/>
                <w:color w:val="auto"/>
                <w:lang w:val="en-US" w:eastAsia="zh-CN"/>
              </w:rPr>
              <w:t>详细见表3-</w:t>
            </w:r>
            <w:r>
              <w:rPr>
                <w:rFonts w:hint="eastAsia" w:cs="Times New Roman"/>
                <w:color w:val="auto"/>
                <w:lang w:val="en-US" w:eastAsia="zh-CN"/>
              </w:rPr>
              <w:t>6，表3-7</w:t>
            </w:r>
          </w:p>
          <w:p w14:paraId="7D527DF1">
            <w:pPr>
              <w:pStyle w:val="54"/>
              <w:keepNext w:val="0"/>
              <w:keepLines w:val="0"/>
              <w:numPr>
                <w:ilvl w:val="0"/>
                <w:numId w:val="10"/>
              </w:numPr>
              <w:suppressLineNumbers w:val="0"/>
              <w:bidi w:val="0"/>
              <w:spacing w:before="0" w:beforeAutospacing="0" w:after="0" w:afterAutospacing="0"/>
              <w:ind w:left="0" w:leftChars="0" w:right="0" w:firstLine="0" w:firstLineChars="0"/>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水泥工业大气污染物排放限值</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3"/>
              <w:gridCol w:w="1834"/>
              <w:gridCol w:w="1257"/>
              <w:gridCol w:w="3933"/>
            </w:tblGrid>
            <w:tr w14:paraId="6C21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620" w:type="pct"/>
                  <w:vAlign w:val="center"/>
                </w:tcPr>
                <w:p w14:paraId="438E90F5">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污染物名称</w:t>
                  </w:r>
                </w:p>
              </w:tc>
              <w:tc>
                <w:tcPr>
                  <w:tcW w:w="1214" w:type="pct"/>
                  <w:vAlign w:val="center"/>
                </w:tcPr>
                <w:p w14:paraId="128B5FFC">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最高允许排放浓度mg/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p>
              </w:tc>
              <w:tc>
                <w:tcPr>
                  <w:tcW w:w="3164" w:type="pct"/>
                  <w:gridSpan w:val="2"/>
                  <w:vAlign w:val="center"/>
                </w:tcPr>
                <w:p w14:paraId="13A08CE9">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default" w:cs="Times New Roman"/>
                      <w:color w:val="auto"/>
                      <w:lang w:val="en-US" w:eastAsia="zh-CN"/>
                    </w:rPr>
                    <w:t>无组织排放限值</w:t>
                  </w:r>
                </w:p>
              </w:tc>
            </w:tr>
            <w:tr w14:paraId="113F4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620" w:type="pct"/>
                  <w:vAlign w:val="center"/>
                </w:tcPr>
                <w:p w14:paraId="0B6666E4">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颗粒物</w:t>
                  </w:r>
                </w:p>
              </w:tc>
              <w:tc>
                <w:tcPr>
                  <w:tcW w:w="1214" w:type="pct"/>
                  <w:vAlign w:val="center"/>
                </w:tcPr>
                <w:p w14:paraId="53D53E8A">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20</w:t>
                  </w:r>
                </w:p>
              </w:tc>
              <w:tc>
                <w:tcPr>
                  <w:tcW w:w="625" w:type="pct"/>
                  <w:vAlign w:val="center"/>
                </w:tcPr>
                <w:p w14:paraId="17142326">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0.5mg/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p>
              </w:tc>
              <w:tc>
                <w:tcPr>
                  <w:tcW w:w="2539" w:type="pct"/>
                  <w:vAlign w:val="center"/>
                </w:tcPr>
                <w:p w14:paraId="3E9690F3">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监控点与参照点总悬浮颗粒物（TSP）1小时浓度值的差值</w:t>
                  </w:r>
                </w:p>
              </w:tc>
            </w:tr>
          </w:tbl>
          <w:p w14:paraId="429740D3">
            <w:pPr>
              <w:pStyle w:val="54"/>
              <w:keepNext w:val="0"/>
              <w:keepLines w:val="0"/>
              <w:numPr>
                <w:ilvl w:val="0"/>
                <w:numId w:val="10"/>
              </w:numPr>
              <w:suppressLineNumbers w:val="0"/>
              <w:bidi w:val="0"/>
              <w:spacing w:before="0" w:beforeAutospacing="0" w:after="0" w:afterAutospacing="0"/>
              <w:ind w:left="0" w:leftChars="0" w:right="0" w:firstLine="0" w:firstLineChars="0"/>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大气污染物排放标准</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1978"/>
              <w:gridCol w:w="1137"/>
              <w:gridCol w:w="1191"/>
              <w:gridCol w:w="1415"/>
              <w:gridCol w:w="1204"/>
            </w:tblGrid>
            <w:tr w14:paraId="2EA74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6" w:type="pct"/>
                  <w:vAlign w:val="center"/>
                </w:tcPr>
                <w:p w14:paraId="1E2AFD4B">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污染物名称</w:t>
                  </w:r>
                </w:p>
              </w:tc>
              <w:tc>
                <w:tcPr>
                  <w:tcW w:w="1249" w:type="pct"/>
                  <w:vAlign w:val="center"/>
                </w:tcPr>
                <w:p w14:paraId="2FA8BE31">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最高允许排放浓度mg/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p>
              </w:tc>
              <w:tc>
                <w:tcPr>
                  <w:tcW w:w="718" w:type="pct"/>
                  <w:vAlign w:val="center"/>
                </w:tcPr>
                <w:p w14:paraId="1C164CDF">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排气筒高度m</w:t>
                  </w:r>
                </w:p>
              </w:tc>
              <w:tc>
                <w:tcPr>
                  <w:tcW w:w="752" w:type="pct"/>
                  <w:vAlign w:val="center"/>
                </w:tcPr>
                <w:p w14:paraId="22EE9649">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排放速率kg/h</w:t>
                  </w:r>
                </w:p>
              </w:tc>
              <w:tc>
                <w:tcPr>
                  <w:tcW w:w="1653" w:type="pct"/>
                  <w:gridSpan w:val="2"/>
                  <w:vAlign w:val="center"/>
                </w:tcPr>
                <w:p w14:paraId="2C6940FB">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无组织排放监控浓度限值</w:t>
                  </w:r>
                </w:p>
              </w:tc>
            </w:tr>
            <w:tr w14:paraId="2ECD4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6" w:type="pct"/>
                  <w:vAlign w:val="center"/>
                </w:tcPr>
                <w:p w14:paraId="16AB9DD2">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default" w:cs="Times New Roman"/>
                      <w:color w:val="auto"/>
                      <w:lang w:val="en-US" w:eastAsia="zh-CN"/>
                    </w:rPr>
                    <w:t>氟化物</w:t>
                  </w:r>
                </w:p>
              </w:tc>
              <w:tc>
                <w:tcPr>
                  <w:tcW w:w="1249" w:type="pct"/>
                  <w:vAlign w:val="center"/>
                </w:tcPr>
                <w:p w14:paraId="3AAD8201">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9.0</w:t>
                  </w:r>
                </w:p>
              </w:tc>
              <w:tc>
                <w:tcPr>
                  <w:tcW w:w="718" w:type="pct"/>
                  <w:vAlign w:val="center"/>
                </w:tcPr>
                <w:p w14:paraId="3C7ED1FF">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15</w:t>
                  </w:r>
                </w:p>
              </w:tc>
              <w:tc>
                <w:tcPr>
                  <w:tcW w:w="752" w:type="pct"/>
                  <w:vAlign w:val="center"/>
                </w:tcPr>
                <w:p w14:paraId="64FEEB25">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0.15</w:t>
                  </w:r>
                </w:p>
              </w:tc>
              <w:tc>
                <w:tcPr>
                  <w:tcW w:w="893" w:type="pct"/>
                  <w:vAlign w:val="center"/>
                </w:tcPr>
                <w:p w14:paraId="069328E4">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default" w:cs="Times New Roman"/>
                      <w:color w:val="auto"/>
                      <w:lang w:val="en-US" w:eastAsia="zh-CN"/>
                    </w:rPr>
                    <w:t>周界外浓度最高点</w:t>
                  </w:r>
                </w:p>
              </w:tc>
              <w:tc>
                <w:tcPr>
                  <w:tcW w:w="759" w:type="pct"/>
                  <w:vAlign w:val="center"/>
                </w:tcPr>
                <w:p w14:paraId="08529733">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20(μm/</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s="Times New Roman"/>
                      <w:color w:val="auto"/>
                      <w:lang w:val="en-US" w:eastAsia="zh-CN"/>
                    </w:rPr>
                    <w:t>)</w:t>
                  </w:r>
                </w:p>
              </w:tc>
            </w:tr>
          </w:tbl>
          <w:p w14:paraId="060D8A55">
            <w:pPr>
              <w:pStyle w:val="79"/>
              <w:keepNext w:val="0"/>
              <w:keepLines w:val="0"/>
              <w:widowControl/>
              <w:suppressLineNumbers w:val="0"/>
              <w:spacing w:before="0" w:beforeAutospacing="0" w:after="0" w:afterAutospacing="0"/>
              <w:ind w:left="0" w:right="0" w:firstLine="480"/>
              <w:rPr>
                <w:rFonts w:hint="eastAsia"/>
                <w:color w:val="auto"/>
              </w:rPr>
            </w:pPr>
            <w:r>
              <w:rPr>
                <w:rFonts w:hint="eastAsia"/>
                <w:color w:val="auto"/>
              </w:rPr>
              <w:t>3、噪声</w:t>
            </w:r>
          </w:p>
          <w:p w14:paraId="43B39658">
            <w:pPr>
              <w:pStyle w:val="79"/>
              <w:keepNext w:val="0"/>
              <w:keepLines w:val="0"/>
              <w:widowControl/>
              <w:suppressLineNumbers w:val="0"/>
              <w:spacing w:before="0" w:beforeAutospacing="0" w:after="0" w:afterAutospacing="0"/>
              <w:ind w:left="0" w:right="0" w:firstLine="480"/>
              <w:jc w:val="both"/>
              <w:rPr>
                <w:rFonts w:hint="default"/>
                <w:color w:val="auto"/>
              </w:rPr>
            </w:pPr>
            <w:r>
              <w:rPr>
                <w:rFonts w:hint="eastAsia"/>
                <w:color w:val="auto"/>
              </w:rPr>
              <w:t>运营期边界噪声参照执行《工业企业厂界环境噪声排放标准》（GB12348-2008）“工业企业厂界环境噪声排放限值”中</w:t>
            </w:r>
            <w:r>
              <w:rPr>
                <w:rFonts w:hint="eastAsia"/>
                <w:color w:val="auto"/>
                <w:lang w:val="en-US" w:eastAsia="zh-CN"/>
              </w:rPr>
              <w:t>3</w:t>
            </w:r>
            <w:r>
              <w:rPr>
                <w:rFonts w:hint="eastAsia"/>
                <w:color w:val="auto"/>
              </w:rPr>
              <w:t>类标准。</w:t>
            </w:r>
          </w:p>
          <w:p w14:paraId="3EB52626">
            <w:pPr>
              <w:pStyle w:val="54"/>
              <w:keepNext w:val="0"/>
              <w:keepLines w:val="0"/>
              <w:numPr>
                <w:ilvl w:val="0"/>
                <w:numId w:val="10"/>
              </w:numPr>
              <w:suppressLineNumbers w:val="0"/>
              <w:bidi w:val="0"/>
              <w:spacing w:before="0" w:beforeAutospacing="0" w:after="0" w:afterAutospacing="0"/>
              <w:ind w:left="0" w:leftChars="0" w:right="0" w:firstLine="0" w:firstLineChars="0"/>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环境噪声评价标准    等效声级Leq</w:t>
            </w:r>
            <w:r>
              <w:rPr>
                <w:rFonts w:hint="eastAsia" w:ascii="Times New Roman" w:hAnsi="Times New Roman" w:eastAsia="宋体" w:cs="Times New Roman"/>
                <w:b/>
                <w:bCs w:val="0"/>
                <w:color w:val="auto"/>
                <w:sz w:val="21"/>
                <w:szCs w:val="21"/>
                <w:lang w:val="en-US" w:eastAsia="zh-CN"/>
              </w:rPr>
              <w:t>（</w:t>
            </w:r>
            <w:r>
              <w:rPr>
                <w:rFonts w:hint="default" w:ascii="Times New Roman" w:hAnsi="Times New Roman" w:eastAsia="宋体" w:cs="Times New Roman"/>
                <w:b/>
                <w:bCs w:val="0"/>
                <w:color w:val="auto"/>
                <w:sz w:val="21"/>
                <w:szCs w:val="21"/>
                <w:lang w:val="en-US" w:eastAsia="zh-CN"/>
              </w:rPr>
              <w:t>A</w:t>
            </w:r>
            <w:r>
              <w:rPr>
                <w:rFonts w:hint="eastAsia" w:ascii="Times New Roman" w:hAnsi="Times New Roman" w:eastAsia="宋体" w:cs="Times New Roman"/>
                <w:b/>
                <w:bCs w:val="0"/>
                <w:color w:val="auto"/>
                <w:sz w:val="21"/>
                <w:szCs w:val="21"/>
                <w:lang w:val="en-US" w:eastAsia="zh-CN"/>
              </w:rPr>
              <w:t>）</w:t>
            </w:r>
          </w:p>
          <w:tbl>
            <w:tblPr>
              <w:tblStyle w:val="28"/>
              <w:tblW w:w="4998"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682"/>
              <w:gridCol w:w="1845"/>
              <w:gridCol w:w="1362"/>
              <w:gridCol w:w="1362"/>
              <w:gridCol w:w="1668"/>
            </w:tblGrid>
            <w:tr w14:paraId="31533CC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1082" w:type="pct"/>
                  <w:tcBorders>
                    <w:tl2br w:val="nil"/>
                    <w:tr2bl w:val="nil"/>
                  </w:tcBorders>
                  <w:noWrap w:val="0"/>
                  <w:vAlign w:val="center"/>
                </w:tcPr>
                <w:p w14:paraId="242E767A">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适用区域</w:t>
                  </w:r>
                </w:p>
              </w:tc>
              <w:tc>
                <w:tcPr>
                  <w:tcW w:w="1184" w:type="pct"/>
                  <w:tcBorders>
                    <w:tl2br w:val="nil"/>
                    <w:tr2bl w:val="nil"/>
                  </w:tcBorders>
                  <w:noWrap w:val="0"/>
                  <w:vAlign w:val="center"/>
                </w:tcPr>
                <w:p w14:paraId="0CEE125F">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类别</w:t>
                  </w:r>
                </w:p>
              </w:tc>
              <w:tc>
                <w:tcPr>
                  <w:tcW w:w="879" w:type="pct"/>
                  <w:tcBorders>
                    <w:tl2br w:val="nil"/>
                    <w:tr2bl w:val="nil"/>
                  </w:tcBorders>
                  <w:noWrap w:val="0"/>
                  <w:vAlign w:val="center"/>
                </w:tcPr>
                <w:p w14:paraId="5A68ADE4">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昼间</w:t>
                  </w:r>
                </w:p>
              </w:tc>
              <w:tc>
                <w:tcPr>
                  <w:tcW w:w="879" w:type="pct"/>
                  <w:tcBorders>
                    <w:tl2br w:val="nil"/>
                    <w:tr2bl w:val="nil"/>
                  </w:tcBorders>
                  <w:noWrap w:val="0"/>
                  <w:vAlign w:val="center"/>
                </w:tcPr>
                <w:p w14:paraId="281C8149">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夜间</w:t>
                  </w:r>
                </w:p>
              </w:tc>
              <w:tc>
                <w:tcPr>
                  <w:tcW w:w="974" w:type="pct"/>
                  <w:tcBorders>
                    <w:tl2br w:val="nil"/>
                    <w:tr2bl w:val="nil"/>
                  </w:tcBorders>
                  <w:noWrap w:val="0"/>
                  <w:vAlign w:val="center"/>
                </w:tcPr>
                <w:p w14:paraId="0A1B6116">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标准来源</w:t>
                  </w:r>
                </w:p>
              </w:tc>
            </w:tr>
            <w:tr w14:paraId="30E765F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1082" w:type="pct"/>
                  <w:tcBorders>
                    <w:tl2br w:val="nil"/>
                    <w:tr2bl w:val="nil"/>
                  </w:tcBorders>
                  <w:noWrap w:val="0"/>
                  <w:vAlign w:val="center"/>
                </w:tcPr>
                <w:p w14:paraId="485F2557">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工业区</w:t>
                  </w:r>
                </w:p>
              </w:tc>
              <w:tc>
                <w:tcPr>
                  <w:tcW w:w="1184" w:type="pct"/>
                  <w:tcBorders>
                    <w:tl2br w:val="nil"/>
                    <w:tr2bl w:val="nil"/>
                  </w:tcBorders>
                  <w:noWrap w:val="0"/>
                  <w:vAlign w:val="center"/>
                </w:tcPr>
                <w:p w14:paraId="4411B19D">
                  <w:pPr>
                    <w:pStyle w:val="56"/>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lang w:val="en-US" w:eastAsia="zh-CN"/>
                    </w:rPr>
                    <w:t>3</w:t>
                  </w:r>
                  <w:r>
                    <w:rPr>
                      <w:rFonts w:hint="default" w:cs="Times New Roman"/>
                      <w:color w:val="auto"/>
                    </w:rPr>
                    <w:t>类</w:t>
                  </w:r>
                </w:p>
              </w:tc>
              <w:tc>
                <w:tcPr>
                  <w:tcW w:w="879" w:type="pct"/>
                  <w:tcBorders>
                    <w:tl2br w:val="nil"/>
                    <w:tr2bl w:val="nil"/>
                  </w:tcBorders>
                  <w:noWrap w:val="0"/>
                  <w:vAlign w:val="center"/>
                </w:tcPr>
                <w:p w14:paraId="4C5070BB">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65</w:t>
                  </w:r>
                </w:p>
              </w:tc>
              <w:tc>
                <w:tcPr>
                  <w:tcW w:w="879" w:type="pct"/>
                  <w:tcBorders>
                    <w:tl2br w:val="nil"/>
                    <w:tr2bl w:val="nil"/>
                  </w:tcBorders>
                  <w:noWrap w:val="0"/>
                  <w:vAlign w:val="center"/>
                </w:tcPr>
                <w:p w14:paraId="6B5A972D">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55</w:t>
                  </w:r>
                </w:p>
              </w:tc>
              <w:tc>
                <w:tcPr>
                  <w:tcW w:w="974" w:type="pct"/>
                  <w:tcBorders>
                    <w:tl2br w:val="nil"/>
                    <w:tr2bl w:val="nil"/>
                  </w:tcBorders>
                  <w:noWrap w:val="0"/>
                  <w:vAlign w:val="center"/>
                </w:tcPr>
                <w:p w14:paraId="2CD713AB">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GB3096-2008</w:t>
                  </w:r>
                </w:p>
              </w:tc>
            </w:tr>
          </w:tbl>
          <w:p w14:paraId="2DF87BDC">
            <w:pPr>
              <w:pStyle w:val="74"/>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4、固体废物</w:t>
            </w:r>
          </w:p>
          <w:p w14:paraId="08CE665C">
            <w:pPr>
              <w:pStyle w:val="74"/>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一般固体废物</w:t>
            </w:r>
            <w:r>
              <w:rPr>
                <w:rFonts w:hint="eastAsia" w:cs="Times New Roman"/>
                <w:color w:val="auto"/>
                <w:lang w:val="en-US" w:eastAsia="zh-CN"/>
              </w:rPr>
              <w:t>贮存满足“防渗漏、防雨淋、防扬尘”</w:t>
            </w:r>
            <w:r>
              <w:rPr>
                <w:rFonts w:hint="eastAsia" w:cs="Times New Roman"/>
                <w:color w:val="auto"/>
              </w:rPr>
              <w:t>等有关规定，</w:t>
            </w:r>
            <w:r>
              <w:rPr>
                <w:rFonts w:hint="default" w:cs="Times New Roman"/>
                <w:color w:val="auto"/>
                <w:lang w:val="zh-CN"/>
              </w:rPr>
              <w:t>危险固体废物贮存</w:t>
            </w:r>
            <w:r>
              <w:rPr>
                <w:rFonts w:hint="eastAsia" w:cs="Times New Roman"/>
                <w:color w:val="auto"/>
                <w:lang w:val="en-US" w:eastAsia="zh-CN"/>
              </w:rPr>
              <w:t>满足</w:t>
            </w:r>
            <w:r>
              <w:rPr>
                <w:rFonts w:hint="default" w:cs="Times New Roman"/>
                <w:color w:val="auto"/>
                <w:lang w:val="zh-CN"/>
              </w:rPr>
              <w:t>《危险废物贮存污染控制标准》（GB18597-20</w:t>
            </w:r>
            <w:r>
              <w:rPr>
                <w:rFonts w:hint="eastAsia" w:cs="Times New Roman"/>
                <w:color w:val="auto"/>
                <w:lang w:val="en-US" w:eastAsia="zh-CN"/>
              </w:rPr>
              <w:t>23</w:t>
            </w:r>
            <w:r>
              <w:rPr>
                <w:rFonts w:hint="default" w:cs="Times New Roman"/>
                <w:color w:val="auto"/>
                <w:lang w:val="zh-CN"/>
              </w:rPr>
              <w:t>）</w:t>
            </w:r>
            <w:r>
              <w:rPr>
                <w:rFonts w:hint="eastAsia" w:cs="Times New Roman"/>
                <w:color w:val="auto"/>
                <w:lang w:val="zh-CN"/>
              </w:rPr>
              <w:t>有关规定</w:t>
            </w:r>
            <w:r>
              <w:rPr>
                <w:rFonts w:hint="eastAsia" w:cs="Times New Roman"/>
                <w:color w:val="auto"/>
              </w:rPr>
              <w:t>。</w:t>
            </w:r>
          </w:p>
        </w:tc>
      </w:tr>
      <w:tr w14:paraId="7629385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95" w:hRule="atLeast"/>
          <w:jc w:val="center"/>
        </w:trPr>
        <w:tc>
          <w:tcPr>
            <w:tcW w:w="250" w:type="pct"/>
            <w:noWrap w:val="0"/>
            <w:vAlign w:val="center"/>
          </w:tcPr>
          <w:p w14:paraId="52F4B554">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总量</w:t>
            </w:r>
          </w:p>
          <w:p w14:paraId="25CCB44B">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控制</w:t>
            </w:r>
          </w:p>
          <w:p w14:paraId="5AF0345A">
            <w:pPr>
              <w:pStyle w:val="56"/>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rPr>
              <w:t>指标</w:t>
            </w:r>
          </w:p>
          <w:p w14:paraId="57FCA69C">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auto"/>
                <w:kern w:val="0"/>
                <w:szCs w:val="21"/>
              </w:rPr>
            </w:pPr>
          </w:p>
        </w:tc>
        <w:tc>
          <w:tcPr>
            <w:tcW w:w="4750" w:type="pct"/>
            <w:noWrap w:val="0"/>
            <w:vAlign w:val="top"/>
          </w:tcPr>
          <w:p w14:paraId="0570AA6D">
            <w:pPr>
              <w:pStyle w:val="74"/>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根据国务院关于印发“十四五”节能减排综合工作方案的通知（国发〔2021〕33号）及江西省人民政府关于印发江西省“十四五”生态环境保护规划的通知（赣府发〔2021〕25号），国家实行总量控制的污染物有化学需氧量、氨氮、氮氧化物、挥发性有机物。本项目涉及的总量控制污染物为化学需氧量和氨氮。</w:t>
            </w:r>
          </w:p>
          <w:p w14:paraId="327B5885">
            <w:pPr>
              <w:pStyle w:val="74"/>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本项目生活污水经化粪池预处理后，达到建筑陶瓷产业园污水处理厂接管标准后，通过市政污水管网排入建筑陶瓷产业园污水处理厂处理达《城镇污水处理厂污染物排放标准》（GB18918-2002）一级A标准后排入肖江。</w:t>
            </w:r>
          </w:p>
          <w:p w14:paraId="4DC6CA77">
            <w:pPr>
              <w:pStyle w:val="74"/>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排入江西省建筑陶瓷产业基地污水处理厂的考核指标如下：</w:t>
            </w:r>
          </w:p>
          <w:p w14:paraId="2DD08D97">
            <w:pPr>
              <w:pStyle w:val="54"/>
              <w:keepNext w:val="0"/>
              <w:keepLines w:val="0"/>
              <w:numPr>
                <w:ilvl w:val="0"/>
                <w:numId w:val="10"/>
              </w:numPr>
              <w:suppressLineNumbers w:val="0"/>
              <w:bidi w:val="0"/>
              <w:spacing w:before="0" w:beforeAutospacing="0" w:after="0" w:afterAutospacing="0"/>
              <w:ind w:left="0" w:leftChars="0" w:right="0" w:firstLine="0" w:firstLineChars="0"/>
              <w:rPr>
                <w:rFonts w:hint="eastAsia"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变更前后总量变化情况  单位：t/a</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8"/>
              <w:gridCol w:w="1582"/>
              <w:gridCol w:w="1582"/>
              <w:gridCol w:w="1321"/>
              <w:gridCol w:w="2371"/>
            </w:tblGrid>
            <w:tr w14:paraId="72E9C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pct"/>
                </w:tcPr>
                <w:p w14:paraId="7B6E9F0C">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因子</w:t>
                  </w:r>
                </w:p>
              </w:tc>
              <w:tc>
                <w:tcPr>
                  <w:tcW w:w="999" w:type="pct"/>
                </w:tcPr>
                <w:p w14:paraId="4809980B">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变更前总量</w:t>
                  </w:r>
                </w:p>
              </w:tc>
              <w:tc>
                <w:tcPr>
                  <w:tcW w:w="999" w:type="pct"/>
                </w:tcPr>
                <w:p w14:paraId="2EF17341">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变更后总量</w:t>
                  </w:r>
                </w:p>
              </w:tc>
              <w:tc>
                <w:tcPr>
                  <w:tcW w:w="834" w:type="pct"/>
                </w:tcPr>
                <w:p w14:paraId="4AD55942">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变化情况</w:t>
                  </w:r>
                </w:p>
              </w:tc>
              <w:tc>
                <w:tcPr>
                  <w:tcW w:w="1497" w:type="pct"/>
                </w:tcPr>
                <w:p w14:paraId="3AF0A0AC">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是否需要申请总量</w:t>
                  </w:r>
                </w:p>
              </w:tc>
            </w:tr>
            <w:tr w14:paraId="0B85B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pct"/>
                </w:tcPr>
                <w:p w14:paraId="122BF78A">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CODcr</w:t>
                  </w:r>
                </w:p>
              </w:tc>
              <w:tc>
                <w:tcPr>
                  <w:tcW w:w="999" w:type="pct"/>
                  <w:vAlign w:val="center"/>
                </w:tcPr>
                <w:p w14:paraId="733D9F7C">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sz w:val="21"/>
                      <w:szCs w:val="21"/>
                      <w:lang w:val="en-US" w:eastAsia="zh-CN" w:bidi="ar"/>
                    </w:rPr>
                    <w:t>0.672</w:t>
                  </w:r>
                </w:p>
              </w:tc>
              <w:tc>
                <w:tcPr>
                  <w:tcW w:w="999" w:type="pct"/>
                  <w:vAlign w:val="center"/>
                </w:tcPr>
                <w:p w14:paraId="12D39312">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sz w:val="21"/>
                      <w:szCs w:val="21"/>
                      <w:lang w:val="en-US" w:eastAsia="zh-CN" w:bidi="ar"/>
                    </w:rPr>
                    <w:t>0.1</w:t>
                  </w:r>
                  <w:r>
                    <w:rPr>
                      <w:rFonts w:hint="eastAsia" w:cs="Times New Roman"/>
                      <w:color w:val="auto"/>
                      <w:sz w:val="21"/>
                      <w:szCs w:val="21"/>
                      <w:lang w:val="en-US" w:eastAsia="zh-CN" w:bidi="ar"/>
                    </w:rPr>
                    <w:t>8</w:t>
                  </w:r>
                </w:p>
              </w:tc>
              <w:tc>
                <w:tcPr>
                  <w:tcW w:w="834" w:type="pct"/>
                  <w:vAlign w:val="center"/>
                </w:tcPr>
                <w:p w14:paraId="6769867D">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sz w:val="21"/>
                      <w:szCs w:val="21"/>
                      <w:lang w:val="en-US" w:eastAsia="zh-CN" w:bidi="ar"/>
                    </w:rPr>
                    <w:t>-0.492</w:t>
                  </w:r>
                </w:p>
              </w:tc>
              <w:tc>
                <w:tcPr>
                  <w:tcW w:w="1497" w:type="pct"/>
                </w:tcPr>
                <w:p w14:paraId="042FB856">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无需</w:t>
                  </w:r>
                </w:p>
              </w:tc>
            </w:tr>
            <w:tr w14:paraId="75967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pct"/>
                </w:tcPr>
                <w:p w14:paraId="0EC8ADC7">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NH</w:t>
                  </w:r>
                  <w:r>
                    <w:rPr>
                      <w:rFonts w:hint="eastAsia" w:ascii="Times New Roman" w:hAnsi="Times New Roman" w:eastAsia="宋体" w:cs="Times New Roman"/>
                      <w:color w:val="auto"/>
                      <w:vertAlign w:val="subscript"/>
                      <w:lang w:val="en-US" w:eastAsia="zh-CN"/>
                    </w:rPr>
                    <w:t>3</w:t>
                  </w:r>
                  <w:r>
                    <w:rPr>
                      <w:rFonts w:hint="eastAsia" w:ascii="Times New Roman" w:hAnsi="Times New Roman" w:eastAsia="宋体" w:cs="Times New Roman"/>
                      <w:color w:val="auto"/>
                      <w:lang w:val="en-US" w:eastAsia="zh-CN"/>
                    </w:rPr>
                    <w:t>-N</w:t>
                  </w:r>
                </w:p>
              </w:tc>
              <w:tc>
                <w:tcPr>
                  <w:tcW w:w="999" w:type="pct"/>
                  <w:vAlign w:val="center"/>
                </w:tcPr>
                <w:p w14:paraId="1529F247">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sz w:val="21"/>
                      <w:szCs w:val="21"/>
                      <w:lang w:val="en-US" w:eastAsia="zh-CN" w:bidi="ar"/>
                    </w:rPr>
                    <w:t>0.2044</w:t>
                  </w:r>
                </w:p>
              </w:tc>
              <w:tc>
                <w:tcPr>
                  <w:tcW w:w="999" w:type="pct"/>
                  <w:vAlign w:val="center"/>
                </w:tcPr>
                <w:p w14:paraId="599E7C3D">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sz w:val="21"/>
                      <w:szCs w:val="21"/>
                      <w:lang w:val="en-US" w:eastAsia="zh-CN" w:bidi="ar"/>
                    </w:rPr>
                    <w:t>0.01</w:t>
                  </w:r>
                  <w:r>
                    <w:rPr>
                      <w:rFonts w:hint="eastAsia" w:cs="Times New Roman"/>
                      <w:color w:val="auto"/>
                      <w:sz w:val="21"/>
                      <w:szCs w:val="21"/>
                      <w:lang w:val="en-US" w:eastAsia="zh-CN" w:bidi="ar"/>
                    </w:rPr>
                    <w:t>8</w:t>
                  </w:r>
                </w:p>
              </w:tc>
              <w:tc>
                <w:tcPr>
                  <w:tcW w:w="834" w:type="pct"/>
                  <w:vAlign w:val="center"/>
                </w:tcPr>
                <w:p w14:paraId="70EB602D">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sz w:val="21"/>
                      <w:szCs w:val="21"/>
                      <w:lang w:val="en-US" w:eastAsia="zh-CN" w:bidi="ar"/>
                    </w:rPr>
                    <w:t>-0.1864</w:t>
                  </w:r>
                </w:p>
              </w:tc>
              <w:tc>
                <w:tcPr>
                  <w:tcW w:w="1497" w:type="pct"/>
                </w:tcPr>
                <w:p w14:paraId="13D4083E">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无需</w:t>
                  </w:r>
                </w:p>
              </w:tc>
            </w:tr>
          </w:tbl>
          <w:p w14:paraId="2C0ED98D">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本次重大变更项目不增加废水，无需重新申请总量。</w:t>
            </w:r>
          </w:p>
          <w:p w14:paraId="2B407FDE">
            <w:pPr>
              <w:pStyle w:val="74"/>
              <w:keepNext w:val="0"/>
              <w:keepLines w:val="0"/>
              <w:suppressLineNumbers w:val="0"/>
              <w:bidi w:val="0"/>
              <w:spacing w:before="0" w:beforeAutospacing="0" w:after="0" w:afterAutospacing="0"/>
              <w:ind w:left="0" w:leftChars="0" w:right="0" w:firstLine="0" w:firstLineChars="0"/>
              <w:rPr>
                <w:rFonts w:hint="default" w:cs="Times New Roman"/>
                <w:color w:val="auto"/>
                <w:lang w:val="en-US" w:eastAsia="zh-CN"/>
              </w:rPr>
            </w:pPr>
          </w:p>
        </w:tc>
      </w:tr>
    </w:tbl>
    <w:p w14:paraId="1B41CECD">
      <w:pPr>
        <w:pStyle w:val="12"/>
        <w:bidi w:val="0"/>
        <w:jc w:val="center"/>
        <w:outlineLvl w:val="0"/>
        <w:rPr>
          <w:rFonts w:ascii="黑体" w:hAnsi="黑体" w:eastAsia="黑体"/>
          <w:snapToGrid w:val="0"/>
          <w:color w:val="auto"/>
          <w:sz w:val="30"/>
          <w:szCs w:val="30"/>
        </w:rPr>
      </w:pPr>
      <w:r>
        <w:rPr>
          <w:rFonts w:ascii="黑体" w:hAnsi="黑体" w:eastAsia="黑体"/>
          <w:snapToGrid w:val="0"/>
          <w:color w:val="auto"/>
          <w:sz w:val="36"/>
          <w:szCs w:val="36"/>
        </w:rPr>
        <w:br w:type="page"/>
      </w:r>
      <w:bookmarkStart w:id="6" w:name="_Toc28769"/>
      <w:r>
        <w:rPr>
          <w:rFonts w:hint="eastAsia" w:ascii="黑体" w:hAnsi="黑体" w:eastAsia="黑体" w:cs="Times New Roman"/>
          <w:snapToGrid w:val="0"/>
          <w:color w:val="auto"/>
          <w:kern w:val="0"/>
          <w:sz w:val="30"/>
          <w:szCs w:val="30"/>
          <w:lang w:val="en-US" w:eastAsia="zh-CN" w:bidi="ar-SA"/>
        </w:rPr>
        <w:t>四、主要环境影响和保护措施</w:t>
      </w:r>
      <w:bookmarkEnd w:id="6"/>
    </w:p>
    <w:tbl>
      <w:tblPr>
        <w:tblStyle w:val="28"/>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392"/>
        <w:gridCol w:w="8131"/>
      </w:tblGrid>
      <w:tr w14:paraId="6C079C0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027" w:hRule="atLeast"/>
        </w:trPr>
        <w:tc>
          <w:tcPr>
            <w:tcW w:w="229" w:type="pct"/>
            <w:noWrap w:val="0"/>
            <w:vAlign w:val="center"/>
          </w:tcPr>
          <w:p w14:paraId="3CA55ECA">
            <w:pPr>
              <w:pStyle w:val="24"/>
              <w:keepNext w:val="0"/>
              <w:keepLines w:val="0"/>
              <w:suppressLineNumbers w:val="0"/>
              <w:adjustRightInd w:val="0"/>
              <w:snapToGrid w:val="0"/>
              <w:spacing w:before="0" w:beforeAutospacing="0" w:after="0" w:afterAutospacing="0"/>
              <w:ind w:left="0" w:right="0"/>
              <w:jc w:val="center"/>
              <w:outlineLvl w:val="9"/>
              <w:rPr>
                <w:rFonts w:hint="default" w:cs="宋体"/>
                <w:color w:val="auto"/>
                <w:kern w:val="2"/>
                <w:szCs w:val="24"/>
              </w:rPr>
            </w:pPr>
            <w:r>
              <w:rPr>
                <w:rFonts w:hint="eastAsia" w:cs="宋体"/>
                <w:color w:val="auto"/>
                <w:kern w:val="2"/>
                <w:szCs w:val="24"/>
              </w:rPr>
              <w:t>施工期环境影响</w:t>
            </w:r>
            <w:r>
              <w:rPr>
                <w:rFonts w:hint="default" w:cs="宋体"/>
                <w:color w:val="auto"/>
                <w:kern w:val="2"/>
                <w:szCs w:val="24"/>
              </w:rPr>
              <w:t>和</w:t>
            </w:r>
            <w:r>
              <w:rPr>
                <w:rFonts w:hint="eastAsia" w:cs="宋体"/>
                <w:color w:val="auto"/>
                <w:kern w:val="2"/>
                <w:szCs w:val="24"/>
              </w:rPr>
              <w:t>保护措施</w:t>
            </w:r>
          </w:p>
          <w:p w14:paraId="23263853">
            <w:pPr>
              <w:pStyle w:val="24"/>
              <w:keepNext w:val="0"/>
              <w:keepLines w:val="0"/>
              <w:suppressLineNumbers w:val="0"/>
              <w:adjustRightInd w:val="0"/>
              <w:snapToGrid w:val="0"/>
              <w:spacing w:before="0" w:beforeAutospacing="0" w:after="0" w:afterAutospacing="0"/>
              <w:ind w:left="0" w:right="0"/>
              <w:jc w:val="center"/>
              <w:outlineLvl w:val="0"/>
              <w:rPr>
                <w:rFonts w:hint="eastAsia" w:cs="Times New Roman"/>
                <w:snapToGrid w:val="0"/>
                <w:color w:val="auto"/>
                <w:szCs w:val="24"/>
              </w:rPr>
            </w:pPr>
          </w:p>
        </w:tc>
        <w:tc>
          <w:tcPr>
            <w:tcW w:w="4770" w:type="pct"/>
            <w:noWrap w:val="0"/>
            <w:vAlign w:val="top"/>
          </w:tcPr>
          <w:p w14:paraId="72662DF6">
            <w:pPr>
              <w:pStyle w:val="74"/>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p w14:paraId="42161DA5">
            <w:pPr>
              <w:pStyle w:val="74"/>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p w14:paraId="0E400266">
            <w:pPr>
              <w:pStyle w:val="74"/>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p>
          <w:p w14:paraId="71B35990">
            <w:pPr>
              <w:pStyle w:val="74"/>
              <w:keepNext w:val="0"/>
              <w:keepLines w:val="0"/>
              <w:suppressLineNumbers w:val="0"/>
              <w:bidi w:val="0"/>
              <w:spacing w:before="0" w:beforeAutospacing="0" w:after="0" w:afterAutospacing="0"/>
              <w:ind w:left="0" w:right="0"/>
              <w:rPr>
                <w:rFonts w:hint="default" w:ascii="黑体" w:hAnsi="黑体" w:eastAsia="黑体" w:cs="Times New Roman"/>
                <w:snapToGrid w:val="0"/>
                <w:color w:val="auto"/>
                <w:sz w:val="30"/>
                <w:szCs w:val="30"/>
                <w:lang w:val="en-US"/>
              </w:rPr>
            </w:pPr>
            <w:r>
              <w:rPr>
                <w:rFonts w:hint="eastAsia" w:ascii="Times New Roman" w:hAnsi="Times New Roman" w:eastAsia="宋体" w:cs="Times New Roman"/>
                <w:color w:val="auto"/>
                <w:lang w:val="en-US" w:eastAsia="zh-CN"/>
              </w:rPr>
              <w:t>项目为重大变更项目，利用现有厂房进行生产，变更内容仅为原料替换，无施工期，因此无施工期废水、废气、</w:t>
            </w:r>
            <w:r>
              <w:rPr>
                <w:rFonts w:hint="eastAsia" w:cs="Times New Roman"/>
                <w:color w:val="auto"/>
                <w:lang w:val="en-US" w:eastAsia="zh-CN"/>
              </w:rPr>
              <w:t>噪声</w:t>
            </w:r>
            <w:r>
              <w:rPr>
                <w:rFonts w:hint="eastAsia" w:ascii="Times New Roman" w:hAnsi="Times New Roman" w:eastAsia="宋体" w:cs="Times New Roman"/>
                <w:color w:val="auto"/>
                <w:lang w:val="en-US" w:eastAsia="zh-CN"/>
              </w:rPr>
              <w:t>以及固废。</w:t>
            </w:r>
          </w:p>
        </w:tc>
      </w:tr>
    </w:tbl>
    <w:p w14:paraId="2821B4DB">
      <w:pPr>
        <w:pStyle w:val="24"/>
        <w:adjustRightInd w:val="0"/>
        <w:snapToGrid w:val="0"/>
        <w:spacing w:before="0" w:beforeAutospacing="0" w:after="0" w:afterAutospacing="0"/>
        <w:jc w:val="center"/>
        <w:outlineLvl w:val="0"/>
        <w:rPr>
          <w:rFonts w:cs="宋体"/>
          <w:color w:val="auto"/>
          <w:kern w:val="2"/>
          <w:szCs w:val="24"/>
        </w:rPr>
        <w:sectPr>
          <w:pgSz w:w="11907" w:h="16840"/>
          <w:pgMar w:top="1440" w:right="1800" w:bottom="1440" w:left="1800" w:header="851" w:footer="851" w:gutter="0"/>
          <w:pgBorders w:offsetFrom="page">
            <w:top w:val="none" w:sz="0" w:space="0"/>
            <w:left w:val="none" w:sz="0" w:space="0"/>
            <w:bottom w:val="none" w:sz="0" w:space="0"/>
            <w:right w:val="none" w:sz="0" w:space="0"/>
          </w:pgBorders>
          <w:cols w:space="720" w:num="1"/>
          <w:docGrid w:linePitch="312" w:charSpace="0"/>
        </w:sectPr>
      </w:pPr>
    </w:p>
    <w:tbl>
      <w:tblPr>
        <w:tblStyle w:val="28"/>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649"/>
        <w:gridCol w:w="13527"/>
      </w:tblGrid>
      <w:tr w14:paraId="6560B5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308" w:hRule="atLeast"/>
        </w:trPr>
        <w:tc>
          <w:tcPr>
            <w:tcW w:w="229" w:type="pct"/>
            <w:noWrap w:val="0"/>
            <w:vAlign w:val="center"/>
          </w:tcPr>
          <w:p w14:paraId="0E7FC38D">
            <w:pPr>
              <w:pStyle w:val="56"/>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rPr>
              <w:t>运营期环境影响</w:t>
            </w:r>
            <w:r>
              <w:rPr>
                <w:rFonts w:hint="default" w:cs="Times New Roman"/>
                <w:color w:val="auto"/>
              </w:rPr>
              <w:t>和</w:t>
            </w:r>
            <w:r>
              <w:rPr>
                <w:rFonts w:hint="eastAsia" w:cs="Times New Roman"/>
                <w:color w:val="auto"/>
              </w:rPr>
              <w:t>保护措施</w:t>
            </w:r>
          </w:p>
        </w:tc>
        <w:tc>
          <w:tcPr>
            <w:tcW w:w="4770" w:type="pct"/>
            <w:noWrap w:val="0"/>
            <w:vAlign w:val="top"/>
          </w:tcPr>
          <w:p w14:paraId="775D3890">
            <w:pPr>
              <w:pStyle w:val="79"/>
              <w:keepNext w:val="0"/>
              <w:keepLines w:val="0"/>
              <w:widowControl/>
              <w:numPr>
                <w:ilvl w:val="0"/>
                <w:numId w:val="11"/>
              </w:numPr>
              <w:suppressLineNumbers w:val="0"/>
              <w:spacing w:before="0" w:beforeAutospacing="0" w:after="0" w:afterAutospacing="0"/>
              <w:ind w:left="0" w:right="0" w:firstLine="480"/>
              <w:rPr>
                <w:rFonts w:hint="eastAsia"/>
                <w:b/>
                <w:bCs/>
                <w:snapToGrid w:val="0"/>
                <w:color w:val="auto"/>
              </w:rPr>
            </w:pPr>
            <w:r>
              <w:rPr>
                <w:rFonts w:hint="eastAsia"/>
                <w:b/>
                <w:bCs/>
                <w:snapToGrid w:val="0"/>
                <w:color w:val="auto"/>
              </w:rPr>
              <w:t>废气</w:t>
            </w:r>
          </w:p>
          <w:p w14:paraId="791B37D7">
            <w:pPr>
              <w:pStyle w:val="74"/>
              <w:keepNext w:val="0"/>
              <w:keepLines w:val="0"/>
              <w:suppressLineNumbers w:val="0"/>
              <w:bidi w:val="0"/>
              <w:spacing w:before="0" w:beforeAutospacing="0" w:after="0" w:afterAutospacing="0"/>
              <w:ind w:left="0" w:right="0"/>
              <w:rPr>
                <w:rFonts w:hint="default" w:cs="Times New Roman"/>
                <w:color w:val="auto"/>
                <w:lang w:val="en-US" w:eastAsia="zh-CN"/>
              </w:rPr>
            </w:pPr>
            <w:r>
              <w:rPr>
                <w:rFonts w:hint="default" w:cs="Times New Roman"/>
                <w:color w:val="auto"/>
                <w:lang w:val="en-US" w:eastAsia="zh-CN"/>
              </w:rPr>
              <w:t>项目营运期产生废气主要为</w:t>
            </w:r>
            <w:r>
              <w:rPr>
                <w:rFonts w:hint="eastAsia" w:cs="Times New Roman"/>
                <w:color w:val="auto"/>
                <w:lang w:val="en-US" w:eastAsia="zh-CN"/>
              </w:rPr>
              <w:t>筛选破碎废气，装卸料扬尘，</w:t>
            </w:r>
            <w:r>
              <w:rPr>
                <w:rFonts w:hint="default" w:cs="Times New Roman"/>
                <w:color w:val="auto"/>
                <w:lang w:val="en-US" w:eastAsia="zh-CN"/>
              </w:rPr>
              <w:t>运输车辆动力起尘</w:t>
            </w:r>
            <w:r>
              <w:rPr>
                <w:rFonts w:hint="eastAsia" w:cs="Times New Roman"/>
                <w:color w:val="auto"/>
                <w:lang w:val="en-US" w:eastAsia="zh-CN"/>
              </w:rPr>
              <w:t>，搅拌废气、投料废气，水泥筒库顶呼吸孔粉尘</w:t>
            </w:r>
            <w:r>
              <w:rPr>
                <w:rFonts w:hint="default" w:cs="Times New Roman"/>
                <w:color w:val="auto"/>
                <w:lang w:val="en-US" w:eastAsia="zh-CN"/>
              </w:rPr>
              <w:t>。</w:t>
            </w:r>
          </w:p>
          <w:p w14:paraId="7807EA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jc w:val="left"/>
              <w:textAlignment w:val="auto"/>
              <w:rPr>
                <w:rFonts w:hint="eastAsia" w:cs="Times New Roman"/>
                <w:b/>
                <w:bCs/>
                <w:color w:val="auto"/>
                <w:highlight w:val="none"/>
              </w:rPr>
            </w:pPr>
            <w:r>
              <w:rPr>
                <w:rFonts w:hint="eastAsia" w:cs="Times New Roman"/>
                <w:b/>
                <w:bCs/>
                <w:color w:val="auto"/>
                <w:highlight w:val="none"/>
              </w:rPr>
              <w:t>（1）废气污染源情况</w:t>
            </w:r>
          </w:p>
          <w:p w14:paraId="29BA53E6">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default" w:ascii="Times New Roman" w:hAnsi="Times New Roman" w:eastAsia="宋体" w:cs="Times New Roman"/>
                <w:b/>
                <w:bCs/>
                <w:color w:val="auto"/>
                <w:kern w:val="0"/>
                <w:sz w:val="21"/>
                <w:szCs w:val="21"/>
                <w:lang w:val="zh-CN" w:eastAsia="zh-CN" w:bidi="ar"/>
              </w:rPr>
            </w:pPr>
            <w:r>
              <w:rPr>
                <w:rFonts w:hint="default" w:ascii="Times New Roman" w:hAnsi="Times New Roman" w:eastAsia="宋体" w:cs="Times New Roman"/>
                <w:b/>
                <w:bCs/>
                <w:color w:val="auto"/>
                <w:kern w:val="0"/>
                <w:sz w:val="21"/>
                <w:szCs w:val="21"/>
                <w:lang w:val="zh-CN" w:eastAsia="zh-CN" w:bidi="ar"/>
              </w:rPr>
              <w:t>废气污染源产生、正常排放汇总表</w:t>
            </w:r>
          </w:p>
          <w:tbl>
            <w:tblPr>
              <w:tblStyle w:val="28"/>
              <w:tblW w:w="499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6" w:type="dxa"/>
                <w:bottom w:w="0" w:type="dxa"/>
                <w:right w:w="6" w:type="dxa"/>
              </w:tblCellMar>
            </w:tblPr>
            <w:tblGrid>
              <w:gridCol w:w="252"/>
              <w:gridCol w:w="924"/>
              <w:gridCol w:w="653"/>
              <w:gridCol w:w="685"/>
              <w:gridCol w:w="550"/>
              <w:gridCol w:w="516"/>
              <w:gridCol w:w="455"/>
              <w:gridCol w:w="492"/>
              <w:gridCol w:w="447"/>
              <w:gridCol w:w="625"/>
              <w:gridCol w:w="1156"/>
              <w:gridCol w:w="699"/>
              <w:gridCol w:w="556"/>
              <w:gridCol w:w="781"/>
              <w:gridCol w:w="556"/>
              <w:gridCol w:w="298"/>
              <w:gridCol w:w="413"/>
              <w:gridCol w:w="438"/>
              <w:gridCol w:w="497"/>
              <w:gridCol w:w="1302"/>
              <w:gridCol w:w="633"/>
              <w:gridCol w:w="354"/>
            </w:tblGrid>
            <w:tr w14:paraId="228B52E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228" w:hRule="atLeast"/>
              </w:trPr>
              <w:tc>
                <w:tcPr>
                  <w:tcW w:w="94" w:type="pct"/>
                  <w:vMerge w:val="restart"/>
                  <w:tcBorders>
                    <w:tl2br w:val="nil"/>
                    <w:tr2bl w:val="nil"/>
                  </w:tcBorders>
                  <w:noWrap w:val="0"/>
                  <w:vAlign w:val="center"/>
                </w:tcPr>
                <w:p w14:paraId="0A6E327F">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排放形式</w:t>
                  </w:r>
                </w:p>
              </w:tc>
              <w:tc>
                <w:tcPr>
                  <w:tcW w:w="347" w:type="pct"/>
                  <w:vMerge w:val="restart"/>
                  <w:tcBorders>
                    <w:tl2br w:val="nil"/>
                    <w:tr2bl w:val="nil"/>
                  </w:tcBorders>
                  <w:shd w:val="clear" w:color="auto" w:fill="auto"/>
                  <w:noWrap w:val="0"/>
                  <w:vAlign w:val="center"/>
                </w:tcPr>
                <w:p w14:paraId="186A7098">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cs="Times New Roman"/>
                      <w:color w:val="auto"/>
                      <w:sz w:val="18"/>
                      <w:szCs w:val="18"/>
                    </w:rPr>
                    <w:t>产排污环节</w:t>
                  </w:r>
                </w:p>
              </w:tc>
              <w:tc>
                <w:tcPr>
                  <w:tcW w:w="245" w:type="pct"/>
                  <w:vMerge w:val="restart"/>
                  <w:tcBorders>
                    <w:tl2br w:val="nil"/>
                    <w:tr2bl w:val="nil"/>
                  </w:tcBorders>
                  <w:noWrap w:val="0"/>
                  <w:vAlign w:val="center"/>
                </w:tcPr>
                <w:p w14:paraId="3018CB3F">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污染物</w:t>
                  </w:r>
                </w:p>
                <w:p w14:paraId="5436E50D">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种类</w:t>
                  </w:r>
                </w:p>
              </w:tc>
              <w:tc>
                <w:tcPr>
                  <w:tcW w:w="659" w:type="pct"/>
                  <w:gridSpan w:val="3"/>
                  <w:tcBorders>
                    <w:tl2br w:val="nil"/>
                    <w:tr2bl w:val="nil"/>
                  </w:tcBorders>
                  <w:noWrap w:val="0"/>
                  <w:vAlign w:val="center"/>
                </w:tcPr>
                <w:p w14:paraId="3B2A22E3">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污染物产生量和浓度</w:t>
                  </w:r>
                </w:p>
              </w:tc>
              <w:tc>
                <w:tcPr>
                  <w:tcW w:w="1195" w:type="pct"/>
                  <w:gridSpan w:val="5"/>
                  <w:tcBorders>
                    <w:tl2br w:val="nil"/>
                    <w:tr2bl w:val="nil"/>
                  </w:tcBorders>
                  <w:noWrap w:val="0"/>
                  <w:vAlign w:val="center"/>
                </w:tcPr>
                <w:p w14:paraId="32764E23">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污染治理设施</w:t>
                  </w:r>
                </w:p>
              </w:tc>
              <w:tc>
                <w:tcPr>
                  <w:tcW w:w="766" w:type="pct"/>
                  <w:gridSpan w:val="3"/>
                  <w:tcBorders>
                    <w:tl2br w:val="nil"/>
                    <w:tr2bl w:val="nil"/>
                  </w:tcBorders>
                  <w:noWrap w:val="0"/>
                  <w:vAlign w:val="center"/>
                </w:tcPr>
                <w:p w14:paraId="19DB5563">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污染物排放量和浓度</w:t>
                  </w:r>
                </w:p>
              </w:tc>
              <w:tc>
                <w:tcPr>
                  <w:tcW w:w="1319" w:type="pct"/>
                  <w:gridSpan w:val="6"/>
                  <w:tcBorders>
                    <w:tl2br w:val="nil"/>
                    <w:tr2bl w:val="nil"/>
                  </w:tcBorders>
                  <w:noWrap w:val="0"/>
                  <w:vAlign w:val="center"/>
                </w:tcPr>
                <w:p w14:paraId="2CD91BF0">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排放口基本情况</w:t>
                  </w:r>
                </w:p>
              </w:tc>
              <w:tc>
                <w:tcPr>
                  <w:tcW w:w="371" w:type="pct"/>
                  <w:gridSpan w:val="2"/>
                  <w:tcBorders>
                    <w:tl2br w:val="nil"/>
                    <w:tr2bl w:val="nil"/>
                  </w:tcBorders>
                  <w:noWrap w:val="0"/>
                  <w:vAlign w:val="center"/>
                </w:tcPr>
                <w:p w14:paraId="57D09B26">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排放标准</w:t>
                  </w:r>
                </w:p>
              </w:tc>
            </w:tr>
            <w:tr w14:paraId="7CB0DBF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829" w:hRule="atLeast"/>
              </w:trPr>
              <w:tc>
                <w:tcPr>
                  <w:tcW w:w="94" w:type="pct"/>
                  <w:vMerge w:val="continue"/>
                  <w:tcBorders>
                    <w:tl2br w:val="nil"/>
                    <w:tr2bl w:val="nil"/>
                  </w:tcBorders>
                  <w:noWrap w:val="0"/>
                  <w:vAlign w:val="center"/>
                </w:tcPr>
                <w:p w14:paraId="5921417F">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347" w:type="pct"/>
                  <w:vMerge w:val="continue"/>
                  <w:tcBorders>
                    <w:tl2br w:val="nil"/>
                    <w:tr2bl w:val="nil"/>
                  </w:tcBorders>
                  <w:noWrap w:val="0"/>
                  <w:vAlign w:val="center"/>
                </w:tcPr>
                <w:p w14:paraId="57C9D2EC">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245" w:type="pct"/>
                  <w:vMerge w:val="continue"/>
                  <w:tcBorders>
                    <w:tl2br w:val="nil"/>
                    <w:tr2bl w:val="nil"/>
                  </w:tcBorders>
                  <w:noWrap w:val="0"/>
                  <w:vAlign w:val="center"/>
                </w:tcPr>
                <w:p w14:paraId="43FE6AB1">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257" w:type="pct"/>
                  <w:vMerge w:val="restart"/>
                  <w:tcBorders>
                    <w:tl2br w:val="nil"/>
                    <w:tr2bl w:val="nil"/>
                  </w:tcBorders>
                  <w:noWrap w:val="0"/>
                  <w:vAlign w:val="center"/>
                </w:tcPr>
                <w:p w14:paraId="7D2A9724">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产生浓度</w:t>
                  </w:r>
                </w:p>
                <w:p w14:paraId="1ABC8B99">
                  <w:pPr>
                    <w:pStyle w:val="56"/>
                    <w:keepNext w:val="0"/>
                    <w:keepLines w:val="0"/>
                    <w:suppressLineNumbers w:val="0"/>
                    <w:bidi w:val="0"/>
                    <w:spacing w:before="0" w:beforeAutospacing="0" w:after="0" w:afterAutospacing="0"/>
                    <w:ind w:left="0" w:right="0"/>
                    <w:rPr>
                      <w:rFonts w:hint="default" w:cs="Times New Roman"/>
                      <w:color w:val="auto"/>
                      <w:sz w:val="18"/>
                      <w:szCs w:val="18"/>
                      <w:lang w:eastAsia="zh-CN"/>
                    </w:rPr>
                  </w:pPr>
                  <w:r>
                    <w:rPr>
                      <w:rFonts w:hint="default" w:cs="Times New Roman"/>
                      <w:color w:val="auto"/>
                      <w:sz w:val="18"/>
                      <w:szCs w:val="18"/>
                    </w:rPr>
                    <w:t>mg/</w:t>
                  </w:r>
                  <w:r>
                    <w:rPr>
                      <w:rFonts w:hint="default" w:cs="Times New Roman"/>
                      <w:color w:val="auto"/>
                      <w:sz w:val="18"/>
                      <w:szCs w:val="18"/>
                      <w:lang w:eastAsia="zh-CN"/>
                    </w:rPr>
                    <w:t>m³</w:t>
                  </w:r>
                </w:p>
              </w:tc>
              <w:tc>
                <w:tcPr>
                  <w:tcW w:w="401" w:type="pct"/>
                  <w:gridSpan w:val="2"/>
                  <w:tcBorders>
                    <w:tl2br w:val="nil"/>
                    <w:tr2bl w:val="nil"/>
                  </w:tcBorders>
                  <w:noWrap w:val="0"/>
                  <w:vAlign w:val="center"/>
                </w:tcPr>
                <w:p w14:paraId="3708FF5F">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产生量</w:t>
                  </w:r>
                </w:p>
              </w:tc>
              <w:tc>
                <w:tcPr>
                  <w:tcW w:w="171" w:type="pct"/>
                  <w:tcBorders>
                    <w:tl2br w:val="nil"/>
                    <w:tr2bl w:val="nil"/>
                  </w:tcBorders>
                  <w:noWrap w:val="0"/>
                  <w:vAlign w:val="center"/>
                </w:tcPr>
                <w:p w14:paraId="05A72B6D">
                  <w:pPr>
                    <w:pStyle w:val="56"/>
                    <w:keepNext w:val="0"/>
                    <w:keepLines w:val="0"/>
                    <w:suppressLineNumbers w:val="0"/>
                    <w:bidi w:val="0"/>
                    <w:spacing w:before="0" w:beforeAutospacing="0" w:after="0" w:afterAutospacing="0"/>
                    <w:ind w:left="0" w:right="0"/>
                    <w:rPr>
                      <w:rFonts w:hint="default"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处理能力</w:t>
                  </w:r>
                </w:p>
              </w:tc>
              <w:tc>
                <w:tcPr>
                  <w:tcW w:w="185" w:type="pct"/>
                  <w:tcBorders>
                    <w:tl2br w:val="nil"/>
                    <w:tr2bl w:val="nil"/>
                  </w:tcBorders>
                  <w:noWrap w:val="0"/>
                  <w:vAlign w:val="center"/>
                </w:tcPr>
                <w:p w14:paraId="6ABF54E0">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收集效率</w:t>
                  </w:r>
                </w:p>
              </w:tc>
              <w:tc>
                <w:tcPr>
                  <w:tcW w:w="168" w:type="pct"/>
                  <w:tcBorders>
                    <w:tl2br w:val="nil"/>
                    <w:tr2bl w:val="nil"/>
                  </w:tcBorders>
                  <w:noWrap w:val="0"/>
                  <w:vAlign w:val="center"/>
                </w:tcPr>
                <w:p w14:paraId="5C4DA0ED">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去除效率</w:t>
                  </w:r>
                </w:p>
              </w:tc>
              <w:tc>
                <w:tcPr>
                  <w:tcW w:w="235" w:type="pct"/>
                  <w:vMerge w:val="restart"/>
                  <w:tcBorders>
                    <w:tl2br w:val="nil"/>
                    <w:tr2bl w:val="nil"/>
                  </w:tcBorders>
                  <w:noWrap w:val="0"/>
                  <w:vAlign w:val="center"/>
                </w:tcPr>
                <w:p w14:paraId="2FB16FD2">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是否可行技术</w:t>
                  </w:r>
                </w:p>
              </w:tc>
              <w:tc>
                <w:tcPr>
                  <w:tcW w:w="435" w:type="pct"/>
                  <w:vMerge w:val="restart"/>
                  <w:tcBorders>
                    <w:tl2br w:val="nil"/>
                    <w:tr2bl w:val="nil"/>
                  </w:tcBorders>
                  <w:noWrap w:val="0"/>
                  <w:vAlign w:val="center"/>
                </w:tcPr>
                <w:p w14:paraId="62E68608">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处理</w:t>
                  </w:r>
                </w:p>
                <w:p w14:paraId="4452C002">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工艺</w:t>
                  </w:r>
                </w:p>
              </w:tc>
              <w:tc>
                <w:tcPr>
                  <w:tcW w:w="263" w:type="pct"/>
                  <w:vMerge w:val="restart"/>
                  <w:tcBorders>
                    <w:tl2br w:val="nil"/>
                    <w:tr2bl w:val="nil"/>
                  </w:tcBorders>
                  <w:noWrap w:val="0"/>
                  <w:vAlign w:val="center"/>
                </w:tcPr>
                <w:p w14:paraId="06E9A887">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排放</w:t>
                  </w:r>
                </w:p>
                <w:p w14:paraId="41AE6283">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浓度</w:t>
                  </w:r>
                </w:p>
                <w:p w14:paraId="757B1D83">
                  <w:pPr>
                    <w:pStyle w:val="56"/>
                    <w:keepNext w:val="0"/>
                    <w:keepLines w:val="0"/>
                    <w:suppressLineNumbers w:val="0"/>
                    <w:bidi w:val="0"/>
                    <w:spacing w:before="0" w:beforeAutospacing="0" w:after="0" w:afterAutospacing="0"/>
                    <w:ind w:left="0" w:right="0"/>
                    <w:rPr>
                      <w:rFonts w:hint="default" w:cs="Times New Roman"/>
                      <w:color w:val="auto"/>
                      <w:sz w:val="18"/>
                      <w:szCs w:val="18"/>
                      <w:lang w:eastAsia="zh-CN"/>
                    </w:rPr>
                  </w:pPr>
                  <w:r>
                    <w:rPr>
                      <w:rFonts w:hint="default" w:cs="Times New Roman"/>
                      <w:color w:val="auto"/>
                      <w:sz w:val="18"/>
                      <w:szCs w:val="18"/>
                    </w:rPr>
                    <w:t>mg/</w:t>
                  </w:r>
                  <w:r>
                    <w:rPr>
                      <w:rFonts w:hint="default" w:cs="Times New Roman"/>
                      <w:color w:val="auto"/>
                      <w:sz w:val="18"/>
                      <w:szCs w:val="18"/>
                      <w:lang w:eastAsia="zh-CN"/>
                    </w:rPr>
                    <w:t>m³</w:t>
                  </w:r>
                </w:p>
              </w:tc>
              <w:tc>
                <w:tcPr>
                  <w:tcW w:w="503" w:type="pct"/>
                  <w:gridSpan w:val="2"/>
                  <w:tcBorders>
                    <w:tl2br w:val="nil"/>
                    <w:tr2bl w:val="nil"/>
                  </w:tcBorders>
                  <w:noWrap w:val="0"/>
                  <w:vAlign w:val="center"/>
                </w:tcPr>
                <w:p w14:paraId="0C6B250A">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排放量</w:t>
                  </w:r>
                </w:p>
              </w:tc>
              <w:tc>
                <w:tcPr>
                  <w:tcW w:w="209" w:type="pct"/>
                  <w:tcBorders>
                    <w:tl2br w:val="nil"/>
                    <w:tr2bl w:val="nil"/>
                  </w:tcBorders>
                  <w:noWrap w:val="0"/>
                  <w:vAlign w:val="center"/>
                </w:tcPr>
                <w:p w14:paraId="75966A03">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编号及名称</w:t>
                  </w:r>
                </w:p>
              </w:tc>
              <w:tc>
                <w:tcPr>
                  <w:tcW w:w="112" w:type="pct"/>
                  <w:tcBorders>
                    <w:tl2br w:val="nil"/>
                    <w:tr2bl w:val="nil"/>
                  </w:tcBorders>
                  <w:noWrap w:val="0"/>
                  <w:vAlign w:val="center"/>
                </w:tcPr>
                <w:p w14:paraId="42F45FC4">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高度</w:t>
                  </w:r>
                </w:p>
              </w:tc>
              <w:tc>
                <w:tcPr>
                  <w:tcW w:w="155" w:type="pct"/>
                  <w:tcBorders>
                    <w:tl2br w:val="nil"/>
                    <w:tr2bl w:val="nil"/>
                  </w:tcBorders>
                  <w:noWrap w:val="0"/>
                  <w:vAlign w:val="center"/>
                </w:tcPr>
                <w:p w14:paraId="5BD59F5E">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内径</w:t>
                  </w:r>
                </w:p>
              </w:tc>
              <w:tc>
                <w:tcPr>
                  <w:tcW w:w="164" w:type="pct"/>
                  <w:tcBorders>
                    <w:tl2br w:val="nil"/>
                    <w:tr2bl w:val="nil"/>
                  </w:tcBorders>
                  <w:noWrap w:val="0"/>
                  <w:vAlign w:val="center"/>
                </w:tcPr>
                <w:p w14:paraId="6E4CA610">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温度</w:t>
                  </w:r>
                </w:p>
              </w:tc>
              <w:tc>
                <w:tcPr>
                  <w:tcW w:w="187" w:type="pct"/>
                  <w:vMerge w:val="restart"/>
                  <w:tcBorders>
                    <w:tl2br w:val="nil"/>
                    <w:tr2bl w:val="nil"/>
                  </w:tcBorders>
                  <w:noWrap w:val="0"/>
                  <w:vAlign w:val="center"/>
                </w:tcPr>
                <w:p w14:paraId="5C9D5690">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类型</w:t>
                  </w:r>
                </w:p>
              </w:tc>
              <w:tc>
                <w:tcPr>
                  <w:tcW w:w="490" w:type="pct"/>
                  <w:vMerge w:val="restart"/>
                  <w:tcBorders>
                    <w:tl2br w:val="nil"/>
                    <w:tr2bl w:val="nil"/>
                  </w:tcBorders>
                  <w:noWrap w:val="0"/>
                  <w:vAlign w:val="center"/>
                </w:tcPr>
                <w:p w14:paraId="5D0962CE">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地理</w:t>
                  </w:r>
                </w:p>
                <w:p w14:paraId="30610669">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坐标</w:t>
                  </w:r>
                </w:p>
              </w:tc>
              <w:tc>
                <w:tcPr>
                  <w:tcW w:w="238" w:type="pct"/>
                  <w:vMerge w:val="restart"/>
                  <w:tcBorders>
                    <w:tl2br w:val="nil"/>
                    <w:tr2bl w:val="nil"/>
                  </w:tcBorders>
                  <w:noWrap w:val="0"/>
                  <w:vAlign w:val="center"/>
                </w:tcPr>
                <w:p w14:paraId="72E6122F">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浓度</w:t>
                  </w:r>
                </w:p>
                <w:p w14:paraId="109785D9">
                  <w:pPr>
                    <w:pStyle w:val="56"/>
                    <w:keepNext w:val="0"/>
                    <w:keepLines w:val="0"/>
                    <w:suppressLineNumbers w:val="0"/>
                    <w:bidi w:val="0"/>
                    <w:spacing w:before="0" w:beforeAutospacing="0" w:after="0" w:afterAutospacing="0"/>
                    <w:ind w:left="0" w:right="0"/>
                    <w:rPr>
                      <w:rFonts w:hint="default" w:cs="Times New Roman"/>
                      <w:color w:val="auto"/>
                      <w:sz w:val="18"/>
                      <w:szCs w:val="18"/>
                      <w:lang w:eastAsia="zh-CN"/>
                    </w:rPr>
                  </w:pPr>
                  <w:r>
                    <w:rPr>
                      <w:rFonts w:hint="default" w:cs="Times New Roman"/>
                      <w:color w:val="auto"/>
                      <w:sz w:val="18"/>
                      <w:szCs w:val="18"/>
                    </w:rPr>
                    <w:t>mg/</w:t>
                  </w:r>
                  <w:r>
                    <w:rPr>
                      <w:rFonts w:hint="default" w:cs="Times New Roman"/>
                      <w:color w:val="auto"/>
                      <w:sz w:val="18"/>
                      <w:szCs w:val="18"/>
                      <w:lang w:eastAsia="zh-CN"/>
                    </w:rPr>
                    <w:t>m³</w:t>
                  </w:r>
                </w:p>
              </w:tc>
              <w:tc>
                <w:tcPr>
                  <w:tcW w:w="133" w:type="pct"/>
                  <w:vMerge w:val="restart"/>
                  <w:tcBorders>
                    <w:tl2br w:val="nil"/>
                    <w:tr2bl w:val="nil"/>
                  </w:tcBorders>
                  <w:noWrap w:val="0"/>
                  <w:vAlign w:val="center"/>
                </w:tcPr>
                <w:p w14:paraId="3CCA4F7B">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速率</w:t>
                  </w:r>
                </w:p>
                <w:p w14:paraId="4AE3EF85">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kg/h</w:t>
                  </w:r>
                </w:p>
              </w:tc>
            </w:tr>
            <w:tr w14:paraId="577DC6C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411" w:hRule="atLeast"/>
              </w:trPr>
              <w:tc>
                <w:tcPr>
                  <w:tcW w:w="94" w:type="pct"/>
                  <w:vMerge w:val="continue"/>
                  <w:tcBorders>
                    <w:tl2br w:val="nil"/>
                    <w:tr2bl w:val="nil"/>
                  </w:tcBorders>
                  <w:noWrap w:val="0"/>
                  <w:vAlign w:val="center"/>
                </w:tcPr>
                <w:p w14:paraId="01DEA948">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347" w:type="pct"/>
                  <w:vMerge w:val="continue"/>
                  <w:tcBorders>
                    <w:tl2br w:val="nil"/>
                    <w:tr2bl w:val="nil"/>
                  </w:tcBorders>
                  <w:noWrap w:val="0"/>
                  <w:vAlign w:val="center"/>
                </w:tcPr>
                <w:p w14:paraId="17F337C7">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245" w:type="pct"/>
                  <w:vMerge w:val="continue"/>
                  <w:tcBorders>
                    <w:tl2br w:val="nil"/>
                    <w:tr2bl w:val="nil"/>
                  </w:tcBorders>
                  <w:noWrap w:val="0"/>
                  <w:vAlign w:val="center"/>
                </w:tcPr>
                <w:p w14:paraId="23370A3C">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257" w:type="pct"/>
                  <w:vMerge w:val="continue"/>
                  <w:tcBorders>
                    <w:tl2br w:val="nil"/>
                    <w:tr2bl w:val="nil"/>
                  </w:tcBorders>
                  <w:noWrap w:val="0"/>
                  <w:vAlign w:val="center"/>
                </w:tcPr>
                <w:p w14:paraId="7B02E498">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207" w:type="pct"/>
                  <w:tcBorders>
                    <w:tl2br w:val="nil"/>
                    <w:tr2bl w:val="nil"/>
                  </w:tcBorders>
                  <w:noWrap w:val="0"/>
                  <w:vAlign w:val="center"/>
                </w:tcPr>
                <w:p w14:paraId="01F2B40C">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kg/h</w:t>
                  </w:r>
                </w:p>
              </w:tc>
              <w:tc>
                <w:tcPr>
                  <w:tcW w:w="194" w:type="pct"/>
                  <w:tcBorders>
                    <w:tl2br w:val="nil"/>
                    <w:tr2bl w:val="nil"/>
                  </w:tcBorders>
                  <w:noWrap w:val="0"/>
                  <w:vAlign w:val="center"/>
                </w:tcPr>
                <w:p w14:paraId="19AE3919">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t/a</w:t>
                  </w:r>
                </w:p>
              </w:tc>
              <w:tc>
                <w:tcPr>
                  <w:tcW w:w="171" w:type="pct"/>
                  <w:tcBorders>
                    <w:tl2br w:val="nil"/>
                    <w:tr2bl w:val="nil"/>
                  </w:tcBorders>
                  <w:noWrap w:val="0"/>
                  <w:vAlign w:val="center"/>
                </w:tcPr>
                <w:p w14:paraId="0AC51178">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lang w:eastAsia="zh-CN"/>
                    </w:rPr>
                    <w:t>m³</w:t>
                  </w:r>
                  <w:r>
                    <w:rPr>
                      <w:rFonts w:hint="default" w:cs="Times New Roman"/>
                      <w:color w:val="auto"/>
                      <w:sz w:val="18"/>
                      <w:szCs w:val="18"/>
                    </w:rPr>
                    <w:t>/h</w:t>
                  </w:r>
                </w:p>
              </w:tc>
              <w:tc>
                <w:tcPr>
                  <w:tcW w:w="185" w:type="pct"/>
                  <w:tcBorders>
                    <w:tl2br w:val="nil"/>
                    <w:tr2bl w:val="nil"/>
                  </w:tcBorders>
                  <w:noWrap w:val="0"/>
                  <w:vAlign w:val="center"/>
                </w:tcPr>
                <w:p w14:paraId="4C4789C8">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w:t>
                  </w:r>
                </w:p>
              </w:tc>
              <w:tc>
                <w:tcPr>
                  <w:tcW w:w="168" w:type="pct"/>
                  <w:tcBorders>
                    <w:tl2br w:val="nil"/>
                    <w:tr2bl w:val="nil"/>
                  </w:tcBorders>
                  <w:noWrap w:val="0"/>
                  <w:vAlign w:val="center"/>
                </w:tcPr>
                <w:p w14:paraId="20358E1B">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w:t>
                  </w:r>
                </w:p>
              </w:tc>
              <w:tc>
                <w:tcPr>
                  <w:tcW w:w="235" w:type="pct"/>
                  <w:vMerge w:val="continue"/>
                  <w:tcBorders>
                    <w:tl2br w:val="nil"/>
                    <w:tr2bl w:val="nil"/>
                  </w:tcBorders>
                  <w:noWrap w:val="0"/>
                  <w:vAlign w:val="center"/>
                </w:tcPr>
                <w:p w14:paraId="288B1D2D">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435" w:type="pct"/>
                  <w:vMerge w:val="continue"/>
                  <w:tcBorders>
                    <w:tl2br w:val="nil"/>
                    <w:tr2bl w:val="nil"/>
                  </w:tcBorders>
                  <w:noWrap w:val="0"/>
                  <w:vAlign w:val="center"/>
                </w:tcPr>
                <w:p w14:paraId="373EBCF1">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263" w:type="pct"/>
                  <w:vMerge w:val="continue"/>
                  <w:tcBorders>
                    <w:tl2br w:val="nil"/>
                    <w:tr2bl w:val="nil"/>
                  </w:tcBorders>
                  <w:noWrap w:val="0"/>
                  <w:vAlign w:val="center"/>
                </w:tcPr>
                <w:p w14:paraId="136434A2">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209" w:type="pct"/>
                  <w:tcBorders>
                    <w:tl2br w:val="nil"/>
                    <w:tr2bl w:val="nil"/>
                  </w:tcBorders>
                  <w:noWrap w:val="0"/>
                  <w:vAlign w:val="center"/>
                </w:tcPr>
                <w:p w14:paraId="44F074BC">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kg/h</w:t>
                  </w:r>
                </w:p>
              </w:tc>
              <w:tc>
                <w:tcPr>
                  <w:tcW w:w="294" w:type="pct"/>
                  <w:tcBorders>
                    <w:tl2br w:val="nil"/>
                    <w:tr2bl w:val="nil"/>
                  </w:tcBorders>
                  <w:noWrap w:val="0"/>
                  <w:vAlign w:val="center"/>
                </w:tcPr>
                <w:p w14:paraId="14BF5BAD">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t/a</w:t>
                  </w:r>
                </w:p>
              </w:tc>
              <w:tc>
                <w:tcPr>
                  <w:tcW w:w="209" w:type="pct"/>
                  <w:tcBorders>
                    <w:tl2br w:val="nil"/>
                    <w:tr2bl w:val="nil"/>
                  </w:tcBorders>
                  <w:noWrap w:val="0"/>
                  <w:vAlign w:val="center"/>
                </w:tcPr>
                <w:p w14:paraId="1DCB0EAA">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w:t>
                  </w:r>
                </w:p>
              </w:tc>
              <w:tc>
                <w:tcPr>
                  <w:tcW w:w="112" w:type="pct"/>
                  <w:tcBorders>
                    <w:tl2br w:val="nil"/>
                    <w:tr2bl w:val="nil"/>
                  </w:tcBorders>
                  <w:noWrap w:val="0"/>
                  <w:vAlign w:val="center"/>
                </w:tcPr>
                <w:p w14:paraId="144B2ABE">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m</w:t>
                  </w:r>
                </w:p>
              </w:tc>
              <w:tc>
                <w:tcPr>
                  <w:tcW w:w="155" w:type="pct"/>
                  <w:tcBorders>
                    <w:tl2br w:val="nil"/>
                    <w:tr2bl w:val="nil"/>
                  </w:tcBorders>
                  <w:noWrap w:val="0"/>
                  <w:vAlign w:val="center"/>
                </w:tcPr>
                <w:p w14:paraId="37120E8E">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m</w:t>
                  </w:r>
                </w:p>
              </w:tc>
              <w:tc>
                <w:tcPr>
                  <w:tcW w:w="164" w:type="pct"/>
                  <w:tcBorders>
                    <w:tl2br w:val="nil"/>
                    <w:tr2bl w:val="nil"/>
                  </w:tcBorders>
                  <w:noWrap w:val="0"/>
                  <w:vAlign w:val="center"/>
                </w:tcPr>
                <w:p w14:paraId="7EC4D95C">
                  <w:pPr>
                    <w:pStyle w:val="56"/>
                    <w:keepNext w:val="0"/>
                    <w:keepLines w:val="0"/>
                    <w:suppressLineNumbers w:val="0"/>
                    <w:bidi w:val="0"/>
                    <w:spacing w:before="0" w:beforeAutospacing="0" w:after="0" w:afterAutospacing="0"/>
                    <w:ind w:left="0" w:right="0"/>
                    <w:rPr>
                      <w:rFonts w:hint="default" w:cs="Times New Roman"/>
                      <w:color w:val="auto"/>
                      <w:sz w:val="18"/>
                      <w:szCs w:val="18"/>
                    </w:rPr>
                  </w:pPr>
                  <w:r>
                    <w:rPr>
                      <w:rFonts w:hint="default" w:cs="Times New Roman"/>
                      <w:color w:val="auto"/>
                      <w:sz w:val="18"/>
                      <w:szCs w:val="18"/>
                    </w:rPr>
                    <w:t>℃</w:t>
                  </w:r>
                </w:p>
              </w:tc>
              <w:tc>
                <w:tcPr>
                  <w:tcW w:w="187" w:type="pct"/>
                  <w:vMerge w:val="continue"/>
                  <w:tcBorders>
                    <w:tl2br w:val="nil"/>
                    <w:tr2bl w:val="nil"/>
                  </w:tcBorders>
                  <w:noWrap w:val="0"/>
                  <w:vAlign w:val="center"/>
                </w:tcPr>
                <w:p w14:paraId="4ECD5A63">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490" w:type="pct"/>
                  <w:vMerge w:val="continue"/>
                  <w:tcBorders>
                    <w:tl2br w:val="nil"/>
                    <w:tr2bl w:val="nil"/>
                  </w:tcBorders>
                  <w:noWrap w:val="0"/>
                  <w:vAlign w:val="center"/>
                </w:tcPr>
                <w:p w14:paraId="61C4E72F">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238" w:type="pct"/>
                  <w:vMerge w:val="continue"/>
                  <w:tcBorders>
                    <w:tl2br w:val="nil"/>
                    <w:tr2bl w:val="nil"/>
                  </w:tcBorders>
                  <w:noWrap w:val="0"/>
                  <w:vAlign w:val="center"/>
                </w:tcPr>
                <w:p w14:paraId="1CA6E3F2">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133" w:type="pct"/>
                  <w:vMerge w:val="continue"/>
                  <w:tcBorders>
                    <w:tl2br w:val="nil"/>
                    <w:tr2bl w:val="nil"/>
                  </w:tcBorders>
                  <w:noWrap w:val="0"/>
                  <w:vAlign w:val="center"/>
                </w:tcPr>
                <w:p w14:paraId="2768BE25">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r>
            <w:tr w14:paraId="5729E7A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596" w:hRule="atLeast"/>
              </w:trPr>
              <w:tc>
                <w:tcPr>
                  <w:tcW w:w="94" w:type="pct"/>
                  <w:vMerge w:val="restart"/>
                  <w:tcBorders>
                    <w:tl2br w:val="nil"/>
                    <w:tr2bl w:val="nil"/>
                  </w:tcBorders>
                  <w:noWrap w:val="0"/>
                  <w:vAlign w:val="center"/>
                </w:tcPr>
                <w:p w14:paraId="0645FE0D">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有组织排放</w:t>
                  </w:r>
                </w:p>
              </w:tc>
              <w:tc>
                <w:tcPr>
                  <w:tcW w:w="347" w:type="pct"/>
                  <w:vMerge w:val="restart"/>
                  <w:tcBorders>
                    <w:tl2br w:val="nil"/>
                    <w:tr2bl w:val="nil"/>
                  </w:tcBorders>
                  <w:shd w:val="clear" w:color="auto" w:fill="auto"/>
                  <w:noWrap w:val="0"/>
                  <w:vAlign w:val="center"/>
                </w:tcPr>
                <w:p w14:paraId="7C98133D">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筛选破碎废气</w:t>
                  </w:r>
                </w:p>
              </w:tc>
              <w:tc>
                <w:tcPr>
                  <w:tcW w:w="245" w:type="pct"/>
                  <w:tcBorders>
                    <w:tl2br w:val="nil"/>
                    <w:tr2bl w:val="nil"/>
                  </w:tcBorders>
                  <w:shd w:val="clear" w:color="auto" w:fill="auto"/>
                  <w:noWrap w:val="0"/>
                  <w:vAlign w:val="center"/>
                </w:tcPr>
                <w:p w14:paraId="09DE1E07">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default" w:cs="Times New Roman"/>
                      <w:color w:val="auto"/>
                      <w:sz w:val="18"/>
                      <w:szCs w:val="18"/>
                    </w:rPr>
                    <w:t>颗粒物</w:t>
                  </w:r>
                </w:p>
              </w:tc>
              <w:tc>
                <w:tcPr>
                  <w:tcW w:w="257" w:type="pct"/>
                  <w:tcBorders>
                    <w:tl2br w:val="nil"/>
                    <w:tr2bl w:val="nil"/>
                  </w:tcBorders>
                  <w:shd w:val="clear" w:color="auto" w:fill="auto"/>
                  <w:noWrap w:val="0"/>
                  <w:vAlign w:val="center"/>
                </w:tcPr>
                <w:p w14:paraId="3E1B3F13">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1132.813 </w:t>
                  </w:r>
                </w:p>
              </w:tc>
              <w:tc>
                <w:tcPr>
                  <w:tcW w:w="207" w:type="pct"/>
                  <w:tcBorders>
                    <w:tl2br w:val="nil"/>
                    <w:tr2bl w:val="nil"/>
                  </w:tcBorders>
                  <w:shd w:val="clear" w:color="auto" w:fill="auto"/>
                  <w:noWrap w:val="0"/>
                  <w:vAlign w:val="center"/>
                </w:tcPr>
                <w:p w14:paraId="69F79417">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9.063 </w:t>
                  </w:r>
                </w:p>
              </w:tc>
              <w:tc>
                <w:tcPr>
                  <w:tcW w:w="194" w:type="pct"/>
                  <w:tcBorders>
                    <w:tl2br w:val="nil"/>
                    <w:tr2bl w:val="nil"/>
                  </w:tcBorders>
                  <w:shd w:val="clear" w:color="auto" w:fill="auto"/>
                  <w:noWrap w:val="0"/>
                  <w:vAlign w:val="center"/>
                </w:tcPr>
                <w:p w14:paraId="30A685DA">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65.250 </w:t>
                  </w:r>
                </w:p>
              </w:tc>
              <w:tc>
                <w:tcPr>
                  <w:tcW w:w="171" w:type="pct"/>
                  <w:vMerge w:val="restart"/>
                  <w:tcBorders>
                    <w:tl2br w:val="nil"/>
                    <w:tr2bl w:val="nil"/>
                  </w:tcBorders>
                  <w:shd w:val="clear" w:color="auto" w:fill="auto"/>
                  <w:noWrap w:val="0"/>
                  <w:vAlign w:val="center"/>
                </w:tcPr>
                <w:p w14:paraId="1BD2C2E9">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8000</w:t>
                  </w:r>
                </w:p>
              </w:tc>
              <w:tc>
                <w:tcPr>
                  <w:tcW w:w="185" w:type="pct"/>
                  <w:tcBorders>
                    <w:tl2br w:val="nil"/>
                    <w:tr2bl w:val="nil"/>
                  </w:tcBorders>
                  <w:shd w:val="clear" w:color="auto" w:fill="auto"/>
                  <w:noWrap w:val="0"/>
                  <w:vAlign w:val="center"/>
                </w:tcPr>
                <w:p w14:paraId="29015C1B">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90</w:t>
                  </w:r>
                </w:p>
              </w:tc>
              <w:tc>
                <w:tcPr>
                  <w:tcW w:w="168" w:type="pct"/>
                  <w:tcBorders>
                    <w:tl2br w:val="nil"/>
                    <w:tr2bl w:val="nil"/>
                  </w:tcBorders>
                  <w:shd w:val="clear" w:color="auto" w:fill="auto"/>
                  <w:noWrap w:val="0"/>
                  <w:vAlign w:val="center"/>
                </w:tcPr>
                <w:p w14:paraId="24AA5FD4">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99.7</w:t>
                  </w:r>
                </w:p>
              </w:tc>
              <w:tc>
                <w:tcPr>
                  <w:tcW w:w="235" w:type="pct"/>
                  <w:tcBorders>
                    <w:tl2br w:val="nil"/>
                    <w:tr2bl w:val="nil"/>
                  </w:tcBorders>
                  <w:shd w:val="clear" w:color="auto" w:fill="auto"/>
                  <w:noWrap w:val="0"/>
                  <w:vAlign w:val="center"/>
                </w:tcPr>
                <w:p w14:paraId="5C12350A">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是</w:t>
                  </w:r>
                </w:p>
              </w:tc>
              <w:tc>
                <w:tcPr>
                  <w:tcW w:w="435" w:type="pct"/>
                  <w:vMerge w:val="restart"/>
                  <w:tcBorders>
                    <w:tl2br w:val="nil"/>
                    <w:tr2bl w:val="nil"/>
                  </w:tcBorders>
                  <w:shd w:val="clear" w:color="auto" w:fill="auto"/>
                  <w:noWrap w:val="0"/>
                  <w:vAlign w:val="center"/>
                </w:tcPr>
                <w:p w14:paraId="50D9EAC8">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袋式除尘</w:t>
                  </w:r>
                </w:p>
              </w:tc>
              <w:tc>
                <w:tcPr>
                  <w:tcW w:w="263" w:type="pct"/>
                  <w:tcBorders>
                    <w:tl2br w:val="nil"/>
                    <w:tr2bl w:val="nil"/>
                  </w:tcBorders>
                  <w:shd w:val="clear" w:color="auto" w:fill="auto"/>
                  <w:noWrap w:val="0"/>
                  <w:vAlign w:val="center"/>
                </w:tcPr>
                <w:p w14:paraId="18679369">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3.40 </w:t>
                  </w:r>
                </w:p>
              </w:tc>
              <w:tc>
                <w:tcPr>
                  <w:tcW w:w="209" w:type="pct"/>
                  <w:tcBorders>
                    <w:tl2br w:val="nil"/>
                    <w:tr2bl w:val="nil"/>
                  </w:tcBorders>
                  <w:shd w:val="clear" w:color="auto" w:fill="auto"/>
                  <w:noWrap w:val="0"/>
                  <w:vAlign w:val="center"/>
                </w:tcPr>
                <w:p w14:paraId="19FCF7B0">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0.027 </w:t>
                  </w:r>
                </w:p>
              </w:tc>
              <w:tc>
                <w:tcPr>
                  <w:tcW w:w="294" w:type="pct"/>
                  <w:tcBorders>
                    <w:tl2br w:val="nil"/>
                    <w:tr2bl w:val="nil"/>
                  </w:tcBorders>
                  <w:shd w:val="clear" w:color="auto" w:fill="auto"/>
                  <w:noWrap w:val="0"/>
                  <w:vAlign w:val="center"/>
                </w:tcPr>
                <w:p w14:paraId="010336DA">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0.196 </w:t>
                  </w:r>
                </w:p>
              </w:tc>
              <w:tc>
                <w:tcPr>
                  <w:tcW w:w="209" w:type="pct"/>
                  <w:vMerge w:val="restart"/>
                  <w:tcBorders>
                    <w:tl2br w:val="nil"/>
                    <w:tr2bl w:val="nil"/>
                  </w:tcBorders>
                  <w:noWrap w:val="0"/>
                  <w:vAlign w:val="center"/>
                </w:tcPr>
                <w:p w14:paraId="3DF63B10">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r>
                    <w:rPr>
                      <w:rFonts w:hint="default" w:cs="Times New Roman"/>
                      <w:color w:val="auto"/>
                      <w:sz w:val="18"/>
                      <w:szCs w:val="18"/>
                    </w:rPr>
                    <w:t>DA00</w:t>
                  </w:r>
                  <w:r>
                    <w:rPr>
                      <w:rFonts w:hint="eastAsia" w:cs="Times New Roman"/>
                      <w:color w:val="auto"/>
                      <w:sz w:val="18"/>
                      <w:szCs w:val="18"/>
                      <w:lang w:val="en-US" w:eastAsia="zh-CN"/>
                    </w:rPr>
                    <w:t>1</w:t>
                  </w:r>
                </w:p>
              </w:tc>
              <w:tc>
                <w:tcPr>
                  <w:tcW w:w="112" w:type="pct"/>
                  <w:vMerge w:val="restart"/>
                  <w:tcBorders>
                    <w:tl2br w:val="nil"/>
                    <w:tr2bl w:val="nil"/>
                  </w:tcBorders>
                  <w:noWrap w:val="0"/>
                  <w:vAlign w:val="center"/>
                </w:tcPr>
                <w:p w14:paraId="2318DBA8">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15</w:t>
                  </w:r>
                </w:p>
              </w:tc>
              <w:tc>
                <w:tcPr>
                  <w:tcW w:w="155" w:type="pct"/>
                  <w:vMerge w:val="restart"/>
                  <w:tcBorders>
                    <w:tl2br w:val="nil"/>
                    <w:tr2bl w:val="nil"/>
                  </w:tcBorders>
                  <w:noWrap w:val="0"/>
                  <w:vAlign w:val="center"/>
                </w:tcPr>
                <w:p w14:paraId="28B1E9EB">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0.7</w:t>
                  </w:r>
                </w:p>
              </w:tc>
              <w:tc>
                <w:tcPr>
                  <w:tcW w:w="164" w:type="pct"/>
                  <w:vMerge w:val="restart"/>
                  <w:tcBorders>
                    <w:tl2br w:val="nil"/>
                    <w:tr2bl w:val="nil"/>
                  </w:tcBorders>
                  <w:noWrap w:val="0"/>
                  <w:vAlign w:val="center"/>
                </w:tcPr>
                <w:p w14:paraId="1DF02C48">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r>
                    <w:rPr>
                      <w:rFonts w:hint="eastAsia" w:cs="Times New Roman"/>
                      <w:color w:val="auto"/>
                      <w:sz w:val="18"/>
                      <w:szCs w:val="18"/>
                      <w:lang w:val="en-US" w:eastAsia="zh-CN"/>
                    </w:rPr>
                    <w:t>25</w:t>
                  </w:r>
                </w:p>
              </w:tc>
              <w:tc>
                <w:tcPr>
                  <w:tcW w:w="187" w:type="pct"/>
                  <w:vMerge w:val="restart"/>
                  <w:tcBorders>
                    <w:tl2br w:val="nil"/>
                    <w:tr2bl w:val="nil"/>
                  </w:tcBorders>
                  <w:noWrap w:val="0"/>
                  <w:vAlign w:val="center"/>
                </w:tcPr>
                <w:p w14:paraId="15B16EA2">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cs="Times New Roman"/>
                      <w:color w:val="auto"/>
                      <w:sz w:val="18"/>
                      <w:szCs w:val="18"/>
                    </w:rPr>
                    <w:t>一般排放口</w:t>
                  </w:r>
                </w:p>
              </w:tc>
              <w:tc>
                <w:tcPr>
                  <w:tcW w:w="490" w:type="pct"/>
                  <w:vMerge w:val="restart"/>
                  <w:tcBorders>
                    <w:tl2br w:val="nil"/>
                    <w:tr2bl w:val="nil"/>
                  </w:tcBorders>
                  <w:noWrap w:val="0"/>
                  <w:vAlign w:val="center"/>
                </w:tcPr>
                <w:p w14:paraId="5F0097A2">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z w:val="18"/>
                      <w:szCs w:val="18"/>
                      <w:lang w:val="en-US" w:eastAsia="zh-CN"/>
                    </w:rPr>
                    <w:t>经度115度25分28.613秒，纬度28度10分33.238秒</w:t>
                  </w:r>
                </w:p>
              </w:tc>
              <w:tc>
                <w:tcPr>
                  <w:tcW w:w="238" w:type="pct"/>
                  <w:vMerge w:val="restart"/>
                  <w:tcBorders>
                    <w:tl2br w:val="nil"/>
                    <w:tr2bl w:val="nil"/>
                  </w:tcBorders>
                  <w:noWrap w:val="0"/>
                  <w:vAlign w:val="center"/>
                </w:tcPr>
                <w:p w14:paraId="5F32F9B4">
                  <w:pPr>
                    <w:pStyle w:val="56"/>
                    <w:keepNext w:val="0"/>
                    <w:keepLines w:val="0"/>
                    <w:suppressLineNumbers w:val="0"/>
                    <w:bidi w:val="0"/>
                    <w:spacing w:before="0" w:beforeAutospacing="0" w:after="0" w:afterAutospacing="0"/>
                    <w:ind w:left="0" w:right="0"/>
                    <w:rPr>
                      <w:rFonts w:hint="default" w:eastAsia="宋体" w:cs="Times New Roman"/>
                      <w:color w:val="auto"/>
                      <w:sz w:val="18"/>
                      <w:szCs w:val="18"/>
                      <w:lang w:val="en-US" w:eastAsia="zh-CN"/>
                    </w:rPr>
                  </w:pPr>
                  <w:r>
                    <w:rPr>
                      <w:rFonts w:hint="eastAsia" w:cs="Times New Roman"/>
                      <w:color w:val="auto"/>
                      <w:sz w:val="18"/>
                      <w:szCs w:val="18"/>
                      <w:lang w:val="en-US" w:eastAsia="zh-CN"/>
                    </w:rPr>
                    <w:t>20*</w:t>
                  </w:r>
                </w:p>
              </w:tc>
              <w:tc>
                <w:tcPr>
                  <w:tcW w:w="133" w:type="pct"/>
                  <w:vMerge w:val="restart"/>
                  <w:tcBorders>
                    <w:tl2br w:val="nil"/>
                    <w:tr2bl w:val="nil"/>
                  </w:tcBorders>
                  <w:noWrap w:val="0"/>
                  <w:vAlign w:val="center"/>
                </w:tcPr>
                <w:p w14:paraId="1505E509">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3.5</w:t>
                  </w:r>
                </w:p>
              </w:tc>
            </w:tr>
            <w:tr w14:paraId="1649DDD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561" w:hRule="atLeast"/>
              </w:trPr>
              <w:tc>
                <w:tcPr>
                  <w:tcW w:w="94" w:type="pct"/>
                  <w:vMerge w:val="continue"/>
                  <w:tcBorders>
                    <w:tl2br w:val="nil"/>
                    <w:tr2bl w:val="nil"/>
                  </w:tcBorders>
                  <w:noWrap w:val="0"/>
                  <w:vAlign w:val="center"/>
                </w:tcPr>
                <w:p w14:paraId="2DE3BF25">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347" w:type="pct"/>
                  <w:vMerge w:val="continue"/>
                  <w:tcBorders>
                    <w:tl2br w:val="nil"/>
                    <w:tr2bl w:val="nil"/>
                  </w:tcBorders>
                  <w:shd w:val="clear" w:color="auto" w:fill="auto"/>
                  <w:noWrap w:val="0"/>
                  <w:vAlign w:val="center"/>
                </w:tcPr>
                <w:p w14:paraId="3578D781">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245" w:type="pct"/>
                  <w:tcBorders>
                    <w:tl2br w:val="nil"/>
                    <w:tr2bl w:val="nil"/>
                  </w:tcBorders>
                  <w:shd w:val="clear" w:color="auto" w:fill="auto"/>
                  <w:noWrap w:val="0"/>
                  <w:vAlign w:val="center"/>
                </w:tcPr>
                <w:p w14:paraId="49670803">
                  <w:pPr>
                    <w:pStyle w:val="56"/>
                    <w:keepNext w:val="0"/>
                    <w:keepLines w:val="0"/>
                    <w:suppressLineNumbers w:val="0"/>
                    <w:bidi w:val="0"/>
                    <w:spacing w:before="0" w:beforeAutospacing="0" w:after="0" w:afterAutospacing="0"/>
                    <w:ind w:left="0" w:right="0"/>
                    <w:rPr>
                      <w:rFonts w:hint="eastAsia" w:eastAsia="宋体" w:cs="Times New Roman"/>
                      <w:color w:val="auto"/>
                      <w:sz w:val="18"/>
                      <w:szCs w:val="18"/>
                      <w:lang w:val="en-US" w:eastAsia="zh-CN"/>
                    </w:rPr>
                  </w:pPr>
                  <w:r>
                    <w:rPr>
                      <w:rFonts w:hint="eastAsia" w:cs="Times New Roman"/>
                      <w:color w:val="auto"/>
                      <w:sz w:val="18"/>
                      <w:szCs w:val="18"/>
                      <w:lang w:val="en-US" w:eastAsia="zh-CN"/>
                    </w:rPr>
                    <w:t>氟化物</w:t>
                  </w:r>
                </w:p>
              </w:tc>
              <w:tc>
                <w:tcPr>
                  <w:tcW w:w="257" w:type="pct"/>
                  <w:tcBorders>
                    <w:tl2br w:val="nil"/>
                    <w:tr2bl w:val="nil"/>
                  </w:tcBorders>
                  <w:shd w:val="clear" w:color="auto" w:fill="auto"/>
                  <w:noWrap w:val="0"/>
                  <w:vAlign w:val="center"/>
                </w:tcPr>
                <w:p w14:paraId="2028A511">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9.844 </w:t>
                  </w:r>
                </w:p>
              </w:tc>
              <w:tc>
                <w:tcPr>
                  <w:tcW w:w="207" w:type="pct"/>
                  <w:tcBorders>
                    <w:tl2br w:val="nil"/>
                    <w:tr2bl w:val="nil"/>
                  </w:tcBorders>
                  <w:shd w:val="clear" w:color="auto" w:fill="auto"/>
                  <w:noWrap w:val="0"/>
                  <w:vAlign w:val="center"/>
                </w:tcPr>
                <w:p w14:paraId="17078DB2">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0.079 </w:t>
                  </w:r>
                </w:p>
              </w:tc>
              <w:tc>
                <w:tcPr>
                  <w:tcW w:w="194" w:type="pct"/>
                  <w:tcBorders>
                    <w:tl2br w:val="nil"/>
                    <w:tr2bl w:val="nil"/>
                  </w:tcBorders>
                  <w:shd w:val="clear" w:color="auto" w:fill="auto"/>
                  <w:noWrap w:val="0"/>
                  <w:vAlign w:val="center"/>
                </w:tcPr>
                <w:p w14:paraId="4CA1E37A">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0.567 </w:t>
                  </w:r>
                </w:p>
              </w:tc>
              <w:tc>
                <w:tcPr>
                  <w:tcW w:w="171" w:type="pct"/>
                  <w:vMerge w:val="continue"/>
                  <w:tcBorders>
                    <w:tl2br w:val="nil"/>
                    <w:tr2bl w:val="nil"/>
                  </w:tcBorders>
                  <w:shd w:val="clear" w:color="auto" w:fill="auto"/>
                  <w:noWrap w:val="0"/>
                  <w:vAlign w:val="center"/>
                </w:tcPr>
                <w:p w14:paraId="286B92CC">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p>
              </w:tc>
              <w:tc>
                <w:tcPr>
                  <w:tcW w:w="185" w:type="pct"/>
                  <w:tcBorders>
                    <w:tl2br w:val="nil"/>
                    <w:tr2bl w:val="nil"/>
                  </w:tcBorders>
                  <w:shd w:val="clear" w:color="auto" w:fill="auto"/>
                  <w:noWrap w:val="0"/>
                  <w:vAlign w:val="center"/>
                </w:tcPr>
                <w:p w14:paraId="7F16D02D">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90</w:t>
                  </w:r>
                </w:p>
              </w:tc>
              <w:tc>
                <w:tcPr>
                  <w:tcW w:w="168" w:type="pct"/>
                  <w:tcBorders>
                    <w:tl2br w:val="nil"/>
                    <w:tr2bl w:val="nil"/>
                  </w:tcBorders>
                  <w:shd w:val="clear" w:color="auto" w:fill="auto"/>
                  <w:noWrap w:val="0"/>
                  <w:vAlign w:val="center"/>
                </w:tcPr>
                <w:p w14:paraId="6F91B862">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99.7</w:t>
                  </w:r>
                </w:p>
              </w:tc>
              <w:tc>
                <w:tcPr>
                  <w:tcW w:w="235" w:type="pct"/>
                  <w:tcBorders>
                    <w:tl2br w:val="nil"/>
                    <w:tr2bl w:val="nil"/>
                  </w:tcBorders>
                  <w:shd w:val="clear" w:color="auto" w:fill="auto"/>
                  <w:noWrap w:val="0"/>
                  <w:vAlign w:val="center"/>
                </w:tcPr>
                <w:p w14:paraId="6A9D09B6">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是</w:t>
                  </w:r>
                </w:p>
              </w:tc>
              <w:tc>
                <w:tcPr>
                  <w:tcW w:w="435" w:type="pct"/>
                  <w:vMerge w:val="continue"/>
                  <w:tcBorders>
                    <w:tl2br w:val="nil"/>
                    <w:tr2bl w:val="nil"/>
                  </w:tcBorders>
                  <w:shd w:val="clear" w:color="auto" w:fill="auto"/>
                  <w:noWrap w:val="0"/>
                  <w:vAlign w:val="center"/>
                </w:tcPr>
                <w:p w14:paraId="4A4BEB7F">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p>
              </w:tc>
              <w:tc>
                <w:tcPr>
                  <w:tcW w:w="263" w:type="pct"/>
                  <w:tcBorders>
                    <w:tl2br w:val="nil"/>
                    <w:tr2bl w:val="nil"/>
                  </w:tcBorders>
                  <w:shd w:val="clear" w:color="auto" w:fill="auto"/>
                  <w:noWrap w:val="0"/>
                  <w:vAlign w:val="center"/>
                </w:tcPr>
                <w:p w14:paraId="78076821">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0.03 </w:t>
                  </w:r>
                </w:p>
              </w:tc>
              <w:tc>
                <w:tcPr>
                  <w:tcW w:w="209" w:type="pct"/>
                  <w:tcBorders>
                    <w:tl2br w:val="nil"/>
                    <w:tr2bl w:val="nil"/>
                  </w:tcBorders>
                  <w:shd w:val="clear" w:color="auto" w:fill="auto"/>
                  <w:noWrap w:val="0"/>
                  <w:vAlign w:val="center"/>
                </w:tcPr>
                <w:p w14:paraId="6299C75A">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0.0002 </w:t>
                  </w:r>
                </w:p>
              </w:tc>
              <w:tc>
                <w:tcPr>
                  <w:tcW w:w="294" w:type="pct"/>
                  <w:tcBorders>
                    <w:tl2br w:val="nil"/>
                    <w:tr2bl w:val="nil"/>
                  </w:tcBorders>
                  <w:shd w:val="clear" w:color="auto" w:fill="auto"/>
                  <w:noWrap w:val="0"/>
                  <w:vAlign w:val="center"/>
                </w:tcPr>
                <w:p w14:paraId="674461F1">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0.002 </w:t>
                  </w:r>
                </w:p>
              </w:tc>
              <w:tc>
                <w:tcPr>
                  <w:tcW w:w="209" w:type="pct"/>
                  <w:vMerge w:val="continue"/>
                  <w:tcBorders>
                    <w:tl2br w:val="nil"/>
                    <w:tr2bl w:val="nil"/>
                  </w:tcBorders>
                  <w:noWrap w:val="0"/>
                  <w:vAlign w:val="center"/>
                </w:tcPr>
                <w:p w14:paraId="5819EB87">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112" w:type="pct"/>
                  <w:vMerge w:val="continue"/>
                  <w:tcBorders>
                    <w:tl2br w:val="nil"/>
                    <w:tr2bl w:val="nil"/>
                  </w:tcBorders>
                  <w:noWrap w:val="0"/>
                  <w:vAlign w:val="center"/>
                </w:tcPr>
                <w:p w14:paraId="3E512C2A">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155" w:type="pct"/>
                  <w:vMerge w:val="continue"/>
                  <w:tcBorders>
                    <w:tl2br w:val="nil"/>
                    <w:tr2bl w:val="nil"/>
                  </w:tcBorders>
                  <w:noWrap w:val="0"/>
                  <w:vAlign w:val="center"/>
                </w:tcPr>
                <w:p w14:paraId="3D314174">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164" w:type="pct"/>
                  <w:vMerge w:val="continue"/>
                  <w:tcBorders>
                    <w:tl2br w:val="nil"/>
                    <w:tr2bl w:val="nil"/>
                  </w:tcBorders>
                  <w:noWrap w:val="0"/>
                  <w:vAlign w:val="center"/>
                </w:tcPr>
                <w:p w14:paraId="0DAF380F">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187" w:type="pct"/>
                  <w:vMerge w:val="continue"/>
                  <w:tcBorders>
                    <w:tl2br w:val="nil"/>
                    <w:tr2bl w:val="nil"/>
                  </w:tcBorders>
                  <w:noWrap w:val="0"/>
                  <w:vAlign w:val="center"/>
                </w:tcPr>
                <w:p w14:paraId="43985001">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rPr>
                  </w:pPr>
                </w:p>
              </w:tc>
              <w:tc>
                <w:tcPr>
                  <w:tcW w:w="490" w:type="pct"/>
                  <w:vMerge w:val="continue"/>
                  <w:tcBorders>
                    <w:tl2br w:val="nil"/>
                    <w:tr2bl w:val="nil"/>
                  </w:tcBorders>
                  <w:noWrap w:val="0"/>
                  <w:vAlign w:val="center"/>
                </w:tcPr>
                <w:p w14:paraId="02D182E9">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p>
              </w:tc>
              <w:tc>
                <w:tcPr>
                  <w:tcW w:w="238" w:type="pct"/>
                  <w:vMerge w:val="continue"/>
                  <w:tcBorders>
                    <w:tl2br w:val="nil"/>
                    <w:tr2bl w:val="nil"/>
                  </w:tcBorders>
                  <w:noWrap w:val="0"/>
                  <w:vAlign w:val="center"/>
                </w:tcPr>
                <w:p w14:paraId="1C5FDF7B">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133" w:type="pct"/>
                  <w:vMerge w:val="continue"/>
                  <w:tcBorders>
                    <w:tl2br w:val="nil"/>
                    <w:tr2bl w:val="nil"/>
                  </w:tcBorders>
                  <w:noWrap w:val="0"/>
                  <w:vAlign w:val="center"/>
                </w:tcPr>
                <w:p w14:paraId="3858AD4F">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p>
              </w:tc>
            </w:tr>
            <w:tr w14:paraId="732AE39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405" w:hRule="atLeast"/>
              </w:trPr>
              <w:tc>
                <w:tcPr>
                  <w:tcW w:w="94" w:type="pct"/>
                  <w:vMerge w:val="continue"/>
                  <w:tcBorders>
                    <w:tl2br w:val="nil"/>
                    <w:tr2bl w:val="nil"/>
                  </w:tcBorders>
                  <w:noWrap w:val="0"/>
                  <w:vAlign w:val="center"/>
                </w:tcPr>
                <w:p w14:paraId="2A1F817B">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347" w:type="pct"/>
                  <w:tcBorders>
                    <w:tl2br w:val="nil"/>
                    <w:tr2bl w:val="nil"/>
                  </w:tcBorders>
                  <w:shd w:val="clear" w:color="auto" w:fill="auto"/>
                  <w:noWrap w:val="0"/>
                  <w:vAlign w:val="center"/>
                </w:tcPr>
                <w:p w14:paraId="71C80AC6">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z w:val="18"/>
                      <w:szCs w:val="18"/>
                      <w:lang w:val="en-US" w:eastAsia="zh-CN"/>
                    </w:rPr>
                    <w:t>投料废气</w:t>
                  </w:r>
                </w:p>
              </w:tc>
              <w:tc>
                <w:tcPr>
                  <w:tcW w:w="245" w:type="pct"/>
                  <w:tcBorders>
                    <w:tl2br w:val="nil"/>
                    <w:tr2bl w:val="nil"/>
                  </w:tcBorders>
                  <w:shd w:val="clear" w:color="auto" w:fill="auto"/>
                  <w:noWrap w:val="0"/>
                  <w:vAlign w:val="center"/>
                </w:tcPr>
                <w:p w14:paraId="5D0F9F76">
                  <w:pPr>
                    <w:pStyle w:val="56"/>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cs="Times New Roman"/>
                      <w:color w:val="auto"/>
                      <w:sz w:val="18"/>
                      <w:szCs w:val="18"/>
                      <w:lang w:val="en-US" w:eastAsia="zh-CN"/>
                    </w:rPr>
                    <w:t>颗粒物</w:t>
                  </w:r>
                </w:p>
              </w:tc>
              <w:tc>
                <w:tcPr>
                  <w:tcW w:w="257" w:type="pct"/>
                  <w:tcBorders>
                    <w:tl2br w:val="nil"/>
                    <w:tr2bl w:val="nil"/>
                  </w:tcBorders>
                  <w:shd w:val="clear" w:color="auto" w:fill="auto"/>
                  <w:noWrap w:val="0"/>
                  <w:vAlign w:val="center"/>
                </w:tcPr>
                <w:p w14:paraId="2C0900D2">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170.625</w:t>
                  </w:r>
                </w:p>
              </w:tc>
              <w:tc>
                <w:tcPr>
                  <w:tcW w:w="207" w:type="pct"/>
                  <w:tcBorders>
                    <w:tl2br w:val="nil"/>
                    <w:tr2bl w:val="nil"/>
                  </w:tcBorders>
                  <w:shd w:val="clear" w:color="auto" w:fill="auto"/>
                  <w:noWrap w:val="0"/>
                  <w:vAlign w:val="center"/>
                </w:tcPr>
                <w:p w14:paraId="692A0D2B">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1.365 </w:t>
                  </w:r>
                </w:p>
              </w:tc>
              <w:tc>
                <w:tcPr>
                  <w:tcW w:w="194" w:type="pct"/>
                  <w:tcBorders>
                    <w:tl2br w:val="nil"/>
                    <w:tr2bl w:val="nil"/>
                  </w:tcBorders>
                  <w:shd w:val="clear" w:color="auto" w:fill="auto"/>
                  <w:noWrap w:val="0"/>
                  <w:vAlign w:val="center"/>
                </w:tcPr>
                <w:p w14:paraId="29C11773">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9.828 </w:t>
                  </w:r>
                </w:p>
              </w:tc>
              <w:tc>
                <w:tcPr>
                  <w:tcW w:w="171" w:type="pct"/>
                  <w:vMerge w:val="continue"/>
                  <w:tcBorders>
                    <w:tl2br w:val="nil"/>
                    <w:tr2bl w:val="nil"/>
                  </w:tcBorders>
                  <w:shd w:val="clear" w:color="auto" w:fill="auto"/>
                  <w:noWrap w:val="0"/>
                  <w:vAlign w:val="center"/>
                </w:tcPr>
                <w:p w14:paraId="009CC318">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p>
              </w:tc>
              <w:tc>
                <w:tcPr>
                  <w:tcW w:w="185" w:type="pct"/>
                  <w:tcBorders>
                    <w:tl2br w:val="nil"/>
                    <w:tr2bl w:val="nil"/>
                  </w:tcBorders>
                  <w:shd w:val="clear" w:color="auto" w:fill="auto"/>
                  <w:noWrap w:val="0"/>
                  <w:vAlign w:val="center"/>
                </w:tcPr>
                <w:p w14:paraId="0801BF9A">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90</w:t>
                  </w:r>
                </w:p>
              </w:tc>
              <w:tc>
                <w:tcPr>
                  <w:tcW w:w="168" w:type="pct"/>
                  <w:tcBorders>
                    <w:tl2br w:val="nil"/>
                    <w:tr2bl w:val="nil"/>
                  </w:tcBorders>
                  <w:shd w:val="clear" w:color="auto" w:fill="auto"/>
                  <w:noWrap w:val="0"/>
                  <w:vAlign w:val="center"/>
                </w:tcPr>
                <w:p w14:paraId="0EA715E1">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99.7</w:t>
                  </w:r>
                </w:p>
              </w:tc>
              <w:tc>
                <w:tcPr>
                  <w:tcW w:w="235" w:type="pct"/>
                  <w:tcBorders>
                    <w:tl2br w:val="nil"/>
                    <w:tr2bl w:val="nil"/>
                  </w:tcBorders>
                  <w:shd w:val="clear" w:color="auto" w:fill="auto"/>
                  <w:noWrap w:val="0"/>
                  <w:vAlign w:val="center"/>
                </w:tcPr>
                <w:p w14:paraId="5A4D9187">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是</w:t>
                  </w:r>
                </w:p>
              </w:tc>
              <w:tc>
                <w:tcPr>
                  <w:tcW w:w="435" w:type="pct"/>
                  <w:vMerge w:val="continue"/>
                  <w:tcBorders>
                    <w:tl2br w:val="nil"/>
                    <w:tr2bl w:val="nil"/>
                  </w:tcBorders>
                  <w:shd w:val="clear" w:color="auto" w:fill="auto"/>
                  <w:noWrap w:val="0"/>
                  <w:vAlign w:val="center"/>
                </w:tcPr>
                <w:p w14:paraId="53033BDE">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p>
              </w:tc>
              <w:tc>
                <w:tcPr>
                  <w:tcW w:w="263" w:type="pct"/>
                  <w:tcBorders>
                    <w:tl2br w:val="nil"/>
                    <w:tr2bl w:val="nil"/>
                  </w:tcBorders>
                  <w:shd w:val="clear" w:color="auto" w:fill="auto"/>
                  <w:noWrap w:val="0"/>
                  <w:vAlign w:val="center"/>
                </w:tcPr>
                <w:p w14:paraId="5FDD796E">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0.51 </w:t>
                  </w:r>
                </w:p>
              </w:tc>
              <w:tc>
                <w:tcPr>
                  <w:tcW w:w="209" w:type="pct"/>
                  <w:tcBorders>
                    <w:tl2br w:val="nil"/>
                    <w:tr2bl w:val="nil"/>
                  </w:tcBorders>
                  <w:shd w:val="clear" w:color="auto" w:fill="auto"/>
                  <w:noWrap w:val="0"/>
                  <w:vAlign w:val="center"/>
                </w:tcPr>
                <w:p w14:paraId="15B01E82">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0.004 </w:t>
                  </w:r>
                </w:p>
              </w:tc>
              <w:tc>
                <w:tcPr>
                  <w:tcW w:w="294" w:type="pct"/>
                  <w:tcBorders>
                    <w:tl2br w:val="nil"/>
                    <w:tr2bl w:val="nil"/>
                  </w:tcBorders>
                  <w:shd w:val="clear" w:color="auto" w:fill="auto"/>
                  <w:noWrap w:val="0"/>
                  <w:vAlign w:val="center"/>
                </w:tcPr>
                <w:p w14:paraId="70CCBCBC">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0.029 </w:t>
                  </w:r>
                </w:p>
              </w:tc>
              <w:tc>
                <w:tcPr>
                  <w:tcW w:w="209" w:type="pct"/>
                  <w:vMerge w:val="continue"/>
                  <w:tcBorders>
                    <w:tl2br w:val="nil"/>
                    <w:tr2bl w:val="nil"/>
                  </w:tcBorders>
                  <w:noWrap w:val="0"/>
                  <w:vAlign w:val="center"/>
                </w:tcPr>
                <w:p w14:paraId="63163E99">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112" w:type="pct"/>
                  <w:vMerge w:val="continue"/>
                  <w:tcBorders>
                    <w:tl2br w:val="nil"/>
                    <w:tr2bl w:val="nil"/>
                  </w:tcBorders>
                  <w:noWrap w:val="0"/>
                  <w:vAlign w:val="center"/>
                </w:tcPr>
                <w:p w14:paraId="02BDD107">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155" w:type="pct"/>
                  <w:vMerge w:val="continue"/>
                  <w:tcBorders>
                    <w:tl2br w:val="nil"/>
                    <w:tr2bl w:val="nil"/>
                  </w:tcBorders>
                  <w:noWrap w:val="0"/>
                  <w:vAlign w:val="center"/>
                </w:tcPr>
                <w:p w14:paraId="5BFFFB94">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164" w:type="pct"/>
                  <w:vMerge w:val="continue"/>
                  <w:tcBorders>
                    <w:tl2br w:val="nil"/>
                    <w:tr2bl w:val="nil"/>
                  </w:tcBorders>
                  <w:noWrap w:val="0"/>
                  <w:vAlign w:val="center"/>
                </w:tcPr>
                <w:p w14:paraId="6BEE67A9">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187" w:type="pct"/>
                  <w:vMerge w:val="continue"/>
                  <w:tcBorders>
                    <w:tl2br w:val="nil"/>
                    <w:tr2bl w:val="nil"/>
                  </w:tcBorders>
                  <w:shd w:val="clear" w:color="auto" w:fill="auto"/>
                  <w:noWrap w:val="0"/>
                  <w:vAlign w:val="center"/>
                </w:tcPr>
                <w:p w14:paraId="3DB3B343">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p>
              </w:tc>
              <w:tc>
                <w:tcPr>
                  <w:tcW w:w="490" w:type="pct"/>
                  <w:vMerge w:val="continue"/>
                  <w:tcBorders>
                    <w:tl2br w:val="nil"/>
                    <w:tr2bl w:val="nil"/>
                  </w:tcBorders>
                  <w:shd w:val="clear" w:color="auto" w:fill="auto"/>
                  <w:noWrap w:val="0"/>
                  <w:vAlign w:val="center"/>
                </w:tcPr>
                <w:p w14:paraId="74657640">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p>
              </w:tc>
              <w:tc>
                <w:tcPr>
                  <w:tcW w:w="238" w:type="pct"/>
                  <w:vMerge w:val="continue"/>
                  <w:tcBorders>
                    <w:tl2br w:val="nil"/>
                    <w:tr2bl w:val="nil"/>
                  </w:tcBorders>
                  <w:noWrap w:val="0"/>
                  <w:vAlign w:val="center"/>
                </w:tcPr>
                <w:p w14:paraId="7B448D72">
                  <w:pPr>
                    <w:pStyle w:val="56"/>
                    <w:keepNext w:val="0"/>
                    <w:keepLines w:val="0"/>
                    <w:suppressLineNumbers w:val="0"/>
                    <w:bidi w:val="0"/>
                    <w:spacing w:before="0" w:beforeAutospacing="0" w:after="0" w:afterAutospacing="0"/>
                    <w:ind w:left="0" w:right="0"/>
                    <w:rPr>
                      <w:rFonts w:hint="default" w:cs="Times New Roman"/>
                      <w:color w:val="auto"/>
                      <w:sz w:val="18"/>
                      <w:szCs w:val="18"/>
                      <w:lang w:val="en-US"/>
                    </w:rPr>
                  </w:pPr>
                </w:p>
              </w:tc>
              <w:tc>
                <w:tcPr>
                  <w:tcW w:w="133" w:type="pct"/>
                  <w:vMerge w:val="continue"/>
                  <w:tcBorders>
                    <w:tl2br w:val="nil"/>
                    <w:tr2bl w:val="nil"/>
                  </w:tcBorders>
                  <w:noWrap w:val="0"/>
                  <w:vAlign w:val="center"/>
                </w:tcPr>
                <w:p w14:paraId="7066E9E6">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p>
              </w:tc>
            </w:tr>
            <w:tr w14:paraId="0464DB6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405" w:hRule="atLeast"/>
              </w:trPr>
              <w:tc>
                <w:tcPr>
                  <w:tcW w:w="94" w:type="pct"/>
                  <w:vMerge w:val="continue"/>
                  <w:tcBorders>
                    <w:tl2br w:val="nil"/>
                    <w:tr2bl w:val="nil"/>
                  </w:tcBorders>
                  <w:noWrap w:val="0"/>
                  <w:vAlign w:val="center"/>
                </w:tcPr>
                <w:p w14:paraId="79BCDF59">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347" w:type="pct"/>
                  <w:vMerge w:val="restart"/>
                  <w:tcBorders>
                    <w:tl2br w:val="nil"/>
                    <w:tr2bl w:val="nil"/>
                  </w:tcBorders>
                  <w:shd w:val="clear" w:color="auto" w:fill="auto"/>
                  <w:noWrap w:val="0"/>
                  <w:vAlign w:val="center"/>
                </w:tcPr>
                <w:p w14:paraId="5AB12B29">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搅拌废气</w:t>
                  </w:r>
                </w:p>
              </w:tc>
              <w:tc>
                <w:tcPr>
                  <w:tcW w:w="245" w:type="pct"/>
                  <w:tcBorders>
                    <w:tl2br w:val="nil"/>
                    <w:tr2bl w:val="nil"/>
                  </w:tcBorders>
                  <w:shd w:val="clear" w:color="auto" w:fill="auto"/>
                  <w:noWrap w:val="0"/>
                  <w:vAlign w:val="center"/>
                </w:tcPr>
                <w:p w14:paraId="0F049AE6">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颗粒物</w:t>
                  </w:r>
                </w:p>
              </w:tc>
              <w:tc>
                <w:tcPr>
                  <w:tcW w:w="257" w:type="pct"/>
                  <w:tcBorders>
                    <w:tl2br w:val="nil"/>
                    <w:tr2bl w:val="nil"/>
                  </w:tcBorders>
                  <w:shd w:val="clear" w:color="auto" w:fill="auto"/>
                  <w:noWrap w:val="0"/>
                  <w:vAlign w:val="center"/>
                </w:tcPr>
                <w:p w14:paraId="39AC0AD1">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300</w:t>
                  </w:r>
                </w:p>
              </w:tc>
              <w:tc>
                <w:tcPr>
                  <w:tcW w:w="207" w:type="pct"/>
                  <w:tcBorders>
                    <w:tl2br w:val="nil"/>
                    <w:tr2bl w:val="nil"/>
                  </w:tcBorders>
                  <w:shd w:val="clear" w:color="auto" w:fill="auto"/>
                  <w:noWrap w:val="0"/>
                  <w:vAlign w:val="center"/>
                </w:tcPr>
                <w:p w14:paraId="3994A20D">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2.400 </w:t>
                  </w:r>
                </w:p>
              </w:tc>
              <w:tc>
                <w:tcPr>
                  <w:tcW w:w="194" w:type="pct"/>
                  <w:tcBorders>
                    <w:tl2br w:val="nil"/>
                    <w:tr2bl w:val="nil"/>
                  </w:tcBorders>
                  <w:shd w:val="clear" w:color="auto" w:fill="auto"/>
                  <w:noWrap w:val="0"/>
                  <w:vAlign w:val="center"/>
                </w:tcPr>
                <w:p w14:paraId="56C9E338">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17.280 </w:t>
                  </w:r>
                </w:p>
              </w:tc>
              <w:tc>
                <w:tcPr>
                  <w:tcW w:w="171" w:type="pct"/>
                  <w:vMerge w:val="continue"/>
                  <w:tcBorders>
                    <w:tl2br w:val="nil"/>
                    <w:tr2bl w:val="nil"/>
                  </w:tcBorders>
                  <w:shd w:val="clear" w:color="auto" w:fill="auto"/>
                  <w:noWrap w:val="0"/>
                  <w:vAlign w:val="center"/>
                </w:tcPr>
                <w:p w14:paraId="45A87B94">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p>
              </w:tc>
              <w:tc>
                <w:tcPr>
                  <w:tcW w:w="185" w:type="pct"/>
                  <w:tcBorders>
                    <w:tl2br w:val="nil"/>
                    <w:tr2bl w:val="nil"/>
                  </w:tcBorders>
                  <w:shd w:val="clear" w:color="auto" w:fill="auto"/>
                  <w:noWrap w:val="0"/>
                  <w:vAlign w:val="center"/>
                </w:tcPr>
                <w:p w14:paraId="6C023892">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90</w:t>
                  </w:r>
                </w:p>
              </w:tc>
              <w:tc>
                <w:tcPr>
                  <w:tcW w:w="168" w:type="pct"/>
                  <w:tcBorders>
                    <w:tl2br w:val="nil"/>
                    <w:tr2bl w:val="nil"/>
                  </w:tcBorders>
                  <w:shd w:val="clear" w:color="auto" w:fill="auto"/>
                  <w:noWrap w:val="0"/>
                  <w:vAlign w:val="center"/>
                </w:tcPr>
                <w:p w14:paraId="78C497AD">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99.7</w:t>
                  </w:r>
                </w:p>
              </w:tc>
              <w:tc>
                <w:tcPr>
                  <w:tcW w:w="235" w:type="pct"/>
                  <w:tcBorders>
                    <w:tl2br w:val="nil"/>
                    <w:tr2bl w:val="nil"/>
                  </w:tcBorders>
                  <w:shd w:val="clear" w:color="auto" w:fill="auto"/>
                  <w:noWrap w:val="0"/>
                  <w:vAlign w:val="center"/>
                </w:tcPr>
                <w:p w14:paraId="6C18E75C">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是</w:t>
                  </w:r>
                </w:p>
              </w:tc>
              <w:tc>
                <w:tcPr>
                  <w:tcW w:w="435" w:type="pct"/>
                  <w:vMerge w:val="continue"/>
                  <w:tcBorders>
                    <w:tl2br w:val="nil"/>
                    <w:tr2bl w:val="nil"/>
                  </w:tcBorders>
                  <w:shd w:val="clear" w:color="auto" w:fill="auto"/>
                  <w:noWrap w:val="0"/>
                  <w:vAlign w:val="center"/>
                </w:tcPr>
                <w:p w14:paraId="086DA02C">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p>
              </w:tc>
              <w:tc>
                <w:tcPr>
                  <w:tcW w:w="263" w:type="pct"/>
                  <w:tcBorders>
                    <w:tl2br w:val="nil"/>
                    <w:tr2bl w:val="nil"/>
                  </w:tcBorders>
                  <w:shd w:val="clear" w:color="auto" w:fill="auto"/>
                  <w:noWrap w:val="0"/>
                  <w:vAlign w:val="center"/>
                </w:tcPr>
                <w:p w14:paraId="483F33AD">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0.90 </w:t>
                  </w:r>
                </w:p>
              </w:tc>
              <w:tc>
                <w:tcPr>
                  <w:tcW w:w="209" w:type="pct"/>
                  <w:tcBorders>
                    <w:tl2br w:val="nil"/>
                    <w:tr2bl w:val="nil"/>
                  </w:tcBorders>
                  <w:shd w:val="clear" w:color="auto" w:fill="auto"/>
                  <w:noWrap w:val="0"/>
                  <w:vAlign w:val="center"/>
                </w:tcPr>
                <w:p w14:paraId="5B10060F">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0.007 </w:t>
                  </w:r>
                </w:p>
              </w:tc>
              <w:tc>
                <w:tcPr>
                  <w:tcW w:w="294" w:type="pct"/>
                  <w:tcBorders>
                    <w:tl2br w:val="nil"/>
                    <w:tr2bl w:val="nil"/>
                  </w:tcBorders>
                  <w:shd w:val="clear" w:color="auto" w:fill="auto"/>
                  <w:noWrap w:val="0"/>
                  <w:vAlign w:val="center"/>
                </w:tcPr>
                <w:p w14:paraId="0A44B70C">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0.052 </w:t>
                  </w:r>
                </w:p>
              </w:tc>
              <w:tc>
                <w:tcPr>
                  <w:tcW w:w="209" w:type="pct"/>
                  <w:vMerge w:val="continue"/>
                  <w:tcBorders>
                    <w:tl2br w:val="nil"/>
                    <w:tr2bl w:val="nil"/>
                  </w:tcBorders>
                  <w:noWrap w:val="0"/>
                  <w:vAlign w:val="center"/>
                </w:tcPr>
                <w:p w14:paraId="370E805C">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112" w:type="pct"/>
                  <w:vMerge w:val="continue"/>
                  <w:tcBorders>
                    <w:tl2br w:val="nil"/>
                    <w:tr2bl w:val="nil"/>
                  </w:tcBorders>
                  <w:noWrap w:val="0"/>
                  <w:vAlign w:val="center"/>
                </w:tcPr>
                <w:p w14:paraId="58D9C556">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155" w:type="pct"/>
                  <w:vMerge w:val="continue"/>
                  <w:tcBorders>
                    <w:tl2br w:val="nil"/>
                    <w:tr2bl w:val="nil"/>
                  </w:tcBorders>
                  <w:noWrap w:val="0"/>
                  <w:vAlign w:val="center"/>
                </w:tcPr>
                <w:p w14:paraId="395CE43B">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164" w:type="pct"/>
                  <w:vMerge w:val="continue"/>
                  <w:tcBorders>
                    <w:tl2br w:val="nil"/>
                    <w:tr2bl w:val="nil"/>
                  </w:tcBorders>
                  <w:noWrap w:val="0"/>
                  <w:vAlign w:val="center"/>
                </w:tcPr>
                <w:p w14:paraId="7F0241F1">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187" w:type="pct"/>
                  <w:vMerge w:val="continue"/>
                  <w:tcBorders>
                    <w:tl2br w:val="nil"/>
                    <w:tr2bl w:val="nil"/>
                  </w:tcBorders>
                  <w:shd w:val="clear" w:color="auto" w:fill="auto"/>
                  <w:noWrap w:val="0"/>
                  <w:vAlign w:val="center"/>
                </w:tcPr>
                <w:p w14:paraId="519DE6C3">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p>
              </w:tc>
              <w:tc>
                <w:tcPr>
                  <w:tcW w:w="490" w:type="pct"/>
                  <w:vMerge w:val="continue"/>
                  <w:tcBorders>
                    <w:tl2br w:val="nil"/>
                    <w:tr2bl w:val="nil"/>
                  </w:tcBorders>
                  <w:shd w:val="clear" w:color="auto" w:fill="auto"/>
                  <w:noWrap w:val="0"/>
                  <w:vAlign w:val="center"/>
                </w:tcPr>
                <w:p w14:paraId="66B449F5">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p>
              </w:tc>
              <w:tc>
                <w:tcPr>
                  <w:tcW w:w="238" w:type="pct"/>
                  <w:vMerge w:val="continue"/>
                  <w:tcBorders>
                    <w:tl2br w:val="nil"/>
                    <w:tr2bl w:val="nil"/>
                  </w:tcBorders>
                  <w:noWrap w:val="0"/>
                  <w:vAlign w:val="center"/>
                </w:tcPr>
                <w:p w14:paraId="38B251C4">
                  <w:pPr>
                    <w:pStyle w:val="56"/>
                    <w:keepNext w:val="0"/>
                    <w:keepLines w:val="0"/>
                    <w:suppressLineNumbers w:val="0"/>
                    <w:bidi w:val="0"/>
                    <w:spacing w:before="0" w:beforeAutospacing="0" w:after="0" w:afterAutospacing="0"/>
                    <w:ind w:left="0" w:right="0"/>
                    <w:rPr>
                      <w:rFonts w:hint="default" w:eastAsia="宋体" w:cs="Times New Roman"/>
                      <w:color w:val="auto"/>
                      <w:sz w:val="18"/>
                      <w:szCs w:val="18"/>
                      <w:lang w:val="en-US" w:eastAsia="zh-CN"/>
                    </w:rPr>
                  </w:pPr>
                </w:p>
              </w:tc>
              <w:tc>
                <w:tcPr>
                  <w:tcW w:w="133" w:type="pct"/>
                  <w:vMerge w:val="continue"/>
                  <w:tcBorders>
                    <w:tl2br w:val="nil"/>
                    <w:tr2bl w:val="nil"/>
                  </w:tcBorders>
                  <w:noWrap w:val="0"/>
                  <w:vAlign w:val="center"/>
                </w:tcPr>
                <w:p w14:paraId="1E2ECD0E">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p>
              </w:tc>
            </w:tr>
            <w:tr w14:paraId="3CFC123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405" w:hRule="atLeast"/>
              </w:trPr>
              <w:tc>
                <w:tcPr>
                  <w:tcW w:w="94" w:type="pct"/>
                  <w:vMerge w:val="continue"/>
                  <w:tcBorders>
                    <w:tl2br w:val="nil"/>
                    <w:tr2bl w:val="nil"/>
                  </w:tcBorders>
                  <w:noWrap w:val="0"/>
                  <w:vAlign w:val="center"/>
                </w:tcPr>
                <w:p w14:paraId="07A1596A">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347" w:type="pct"/>
                  <w:vMerge w:val="continue"/>
                  <w:tcBorders>
                    <w:tl2br w:val="nil"/>
                    <w:tr2bl w:val="nil"/>
                  </w:tcBorders>
                  <w:shd w:val="clear" w:color="auto" w:fill="auto"/>
                  <w:noWrap w:val="0"/>
                  <w:vAlign w:val="center"/>
                </w:tcPr>
                <w:p w14:paraId="1BCCF88D">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p>
              </w:tc>
              <w:tc>
                <w:tcPr>
                  <w:tcW w:w="245" w:type="pct"/>
                  <w:tcBorders>
                    <w:tl2br w:val="nil"/>
                    <w:tr2bl w:val="nil"/>
                  </w:tcBorders>
                  <w:shd w:val="clear" w:color="auto" w:fill="auto"/>
                  <w:noWrap w:val="0"/>
                  <w:vAlign w:val="center"/>
                </w:tcPr>
                <w:p w14:paraId="322245E2">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pacing w:val="0"/>
                      <w:kern w:val="0"/>
                      <w:sz w:val="18"/>
                      <w:szCs w:val="18"/>
                      <w:lang w:val="en-US" w:eastAsia="zh-CN" w:bidi="ar-SA"/>
                    </w:rPr>
                    <w:t>氟化物</w:t>
                  </w:r>
                </w:p>
              </w:tc>
              <w:tc>
                <w:tcPr>
                  <w:tcW w:w="257" w:type="pct"/>
                  <w:tcBorders>
                    <w:tl2br w:val="nil"/>
                    <w:tr2bl w:val="nil"/>
                  </w:tcBorders>
                  <w:shd w:val="clear" w:color="auto" w:fill="auto"/>
                  <w:noWrap w:val="0"/>
                  <w:vAlign w:val="center"/>
                </w:tcPr>
                <w:p w14:paraId="2003A7A1">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2.3625</w:t>
                  </w:r>
                </w:p>
              </w:tc>
              <w:tc>
                <w:tcPr>
                  <w:tcW w:w="207" w:type="pct"/>
                  <w:tcBorders>
                    <w:tl2br w:val="nil"/>
                    <w:tr2bl w:val="nil"/>
                  </w:tcBorders>
                  <w:shd w:val="clear" w:color="auto" w:fill="auto"/>
                  <w:noWrap w:val="0"/>
                  <w:vAlign w:val="center"/>
                </w:tcPr>
                <w:p w14:paraId="5EF0D581">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0.019 </w:t>
                  </w:r>
                </w:p>
              </w:tc>
              <w:tc>
                <w:tcPr>
                  <w:tcW w:w="194" w:type="pct"/>
                  <w:tcBorders>
                    <w:tl2br w:val="nil"/>
                    <w:tr2bl w:val="nil"/>
                  </w:tcBorders>
                  <w:shd w:val="clear" w:color="auto" w:fill="auto"/>
                  <w:noWrap w:val="0"/>
                  <w:vAlign w:val="center"/>
                </w:tcPr>
                <w:p w14:paraId="0CDC5F0C">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0.136 </w:t>
                  </w:r>
                </w:p>
              </w:tc>
              <w:tc>
                <w:tcPr>
                  <w:tcW w:w="171" w:type="pct"/>
                  <w:vMerge w:val="continue"/>
                  <w:tcBorders>
                    <w:tl2br w:val="nil"/>
                    <w:tr2bl w:val="nil"/>
                  </w:tcBorders>
                  <w:shd w:val="clear" w:color="auto" w:fill="auto"/>
                  <w:noWrap w:val="0"/>
                  <w:vAlign w:val="center"/>
                </w:tcPr>
                <w:p w14:paraId="626048A7">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p>
              </w:tc>
              <w:tc>
                <w:tcPr>
                  <w:tcW w:w="185" w:type="pct"/>
                  <w:tcBorders>
                    <w:tl2br w:val="nil"/>
                    <w:tr2bl w:val="nil"/>
                  </w:tcBorders>
                  <w:shd w:val="clear" w:color="auto" w:fill="auto"/>
                  <w:noWrap w:val="0"/>
                  <w:vAlign w:val="center"/>
                </w:tcPr>
                <w:p w14:paraId="067E6799">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90</w:t>
                  </w:r>
                </w:p>
              </w:tc>
              <w:tc>
                <w:tcPr>
                  <w:tcW w:w="168" w:type="pct"/>
                  <w:tcBorders>
                    <w:tl2br w:val="nil"/>
                    <w:tr2bl w:val="nil"/>
                  </w:tcBorders>
                  <w:shd w:val="clear" w:color="auto" w:fill="auto"/>
                  <w:noWrap w:val="0"/>
                  <w:vAlign w:val="center"/>
                </w:tcPr>
                <w:p w14:paraId="7115BF21">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99.7</w:t>
                  </w:r>
                </w:p>
              </w:tc>
              <w:tc>
                <w:tcPr>
                  <w:tcW w:w="235" w:type="pct"/>
                  <w:tcBorders>
                    <w:tl2br w:val="nil"/>
                    <w:tr2bl w:val="nil"/>
                  </w:tcBorders>
                  <w:shd w:val="clear" w:color="auto" w:fill="auto"/>
                  <w:noWrap w:val="0"/>
                  <w:vAlign w:val="center"/>
                </w:tcPr>
                <w:p w14:paraId="663FD957">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是</w:t>
                  </w:r>
                </w:p>
              </w:tc>
              <w:tc>
                <w:tcPr>
                  <w:tcW w:w="435" w:type="pct"/>
                  <w:vMerge w:val="continue"/>
                  <w:tcBorders>
                    <w:tl2br w:val="nil"/>
                    <w:tr2bl w:val="nil"/>
                  </w:tcBorders>
                  <w:shd w:val="clear" w:color="auto" w:fill="auto"/>
                  <w:noWrap w:val="0"/>
                  <w:vAlign w:val="center"/>
                </w:tcPr>
                <w:p w14:paraId="3BAFF6A3">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p>
              </w:tc>
              <w:tc>
                <w:tcPr>
                  <w:tcW w:w="263" w:type="pct"/>
                  <w:tcBorders>
                    <w:tl2br w:val="nil"/>
                    <w:tr2bl w:val="nil"/>
                  </w:tcBorders>
                  <w:shd w:val="clear" w:color="auto" w:fill="auto"/>
                  <w:noWrap w:val="0"/>
                  <w:vAlign w:val="center"/>
                </w:tcPr>
                <w:p w14:paraId="4C870F32">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0.01 </w:t>
                  </w:r>
                </w:p>
              </w:tc>
              <w:tc>
                <w:tcPr>
                  <w:tcW w:w="209" w:type="pct"/>
                  <w:tcBorders>
                    <w:tl2br w:val="nil"/>
                    <w:tr2bl w:val="nil"/>
                  </w:tcBorders>
                  <w:shd w:val="clear" w:color="auto" w:fill="auto"/>
                  <w:noWrap w:val="0"/>
                  <w:vAlign w:val="center"/>
                </w:tcPr>
                <w:p w14:paraId="10419822">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0.0001 </w:t>
                  </w:r>
                </w:p>
              </w:tc>
              <w:tc>
                <w:tcPr>
                  <w:tcW w:w="294" w:type="pct"/>
                  <w:tcBorders>
                    <w:tl2br w:val="nil"/>
                    <w:tr2bl w:val="nil"/>
                  </w:tcBorders>
                  <w:shd w:val="clear" w:color="auto" w:fill="auto"/>
                  <w:noWrap w:val="0"/>
                  <w:vAlign w:val="center"/>
                </w:tcPr>
                <w:p w14:paraId="4ADAAFFD">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0.0004 </w:t>
                  </w:r>
                </w:p>
              </w:tc>
              <w:tc>
                <w:tcPr>
                  <w:tcW w:w="209" w:type="pct"/>
                  <w:vMerge w:val="continue"/>
                  <w:tcBorders>
                    <w:tl2br w:val="nil"/>
                    <w:tr2bl w:val="nil"/>
                  </w:tcBorders>
                  <w:noWrap w:val="0"/>
                  <w:vAlign w:val="center"/>
                </w:tcPr>
                <w:p w14:paraId="192F6AA6">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112" w:type="pct"/>
                  <w:vMerge w:val="continue"/>
                  <w:tcBorders>
                    <w:tl2br w:val="nil"/>
                    <w:tr2bl w:val="nil"/>
                  </w:tcBorders>
                  <w:noWrap w:val="0"/>
                  <w:vAlign w:val="center"/>
                </w:tcPr>
                <w:p w14:paraId="1D0DF3BB">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155" w:type="pct"/>
                  <w:vMerge w:val="continue"/>
                  <w:tcBorders>
                    <w:tl2br w:val="nil"/>
                    <w:tr2bl w:val="nil"/>
                  </w:tcBorders>
                  <w:noWrap w:val="0"/>
                  <w:vAlign w:val="center"/>
                </w:tcPr>
                <w:p w14:paraId="438D51BF">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164" w:type="pct"/>
                  <w:vMerge w:val="continue"/>
                  <w:tcBorders>
                    <w:tl2br w:val="nil"/>
                    <w:tr2bl w:val="nil"/>
                  </w:tcBorders>
                  <w:noWrap w:val="0"/>
                  <w:vAlign w:val="center"/>
                </w:tcPr>
                <w:p w14:paraId="4685EA78">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187" w:type="pct"/>
                  <w:vMerge w:val="continue"/>
                  <w:tcBorders>
                    <w:tl2br w:val="nil"/>
                    <w:tr2bl w:val="nil"/>
                  </w:tcBorders>
                  <w:shd w:val="clear" w:color="auto" w:fill="auto"/>
                  <w:noWrap w:val="0"/>
                  <w:vAlign w:val="center"/>
                </w:tcPr>
                <w:p w14:paraId="2F8B054C">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p>
              </w:tc>
              <w:tc>
                <w:tcPr>
                  <w:tcW w:w="490" w:type="pct"/>
                  <w:vMerge w:val="continue"/>
                  <w:tcBorders>
                    <w:tl2br w:val="nil"/>
                    <w:tr2bl w:val="nil"/>
                  </w:tcBorders>
                  <w:shd w:val="clear" w:color="auto" w:fill="auto"/>
                  <w:noWrap w:val="0"/>
                  <w:vAlign w:val="center"/>
                </w:tcPr>
                <w:p w14:paraId="421AFC65">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p>
              </w:tc>
              <w:tc>
                <w:tcPr>
                  <w:tcW w:w="238" w:type="pct"/>
                  <w:vMerge w:val="continue"/>
                  <w:tcBorders>
                    <w:tl2br w:val="nil"/>
                    <w:tr2bl w:val="nil"/>
                  </w:tcBorders>
                  <w:noWrap w:val="0"/>
                  <w:vAlign w:val="center"/>
                </w:tcPr>
                <w:p w14:paraId="7E557CD4">
                  <w:pPr>
                    <w:pStyle w:val="56"/>
                    <w:keepNext w:val="0"/>
                    <w:keepLines w:val="0"/>
                    <w:suppressLineNumbers w:val="0"/>
                    <w:bidi w:val="0"/>
                    <w:spacing w:before="0" w:beforeAutospacing="0" w:after="0" w:afterAutospacing="0"/>
                    <w:ind w:left="0" w:right="0"/>
                    <w:rPr>
                      <w:rFonts w:hint="default" w:eastAsia="宋体" w:cs="Times New Roman"/>
                      <w:color w:val="auto"/>
                      <w:sz w:val="18"/>
                      <w:szCs w:val="18"/>
                      <w:lang w:val="en-US" w:eastAsia="zh-CN"/>
                    </w:rPr>
                  </w:pPr>
                </w:p>
              </w:tc>
              <w:tc>
                <w:tcPr>
                  <w:tcW w:w="133" w:type="pct"/>
                  <w:vMerge w:val="continue"/>
                  <w:tcBorders>
                    <w:tl2br w:val="nil"/>
                    <w:tr2bl w:val="nil"/>
                  </w:tcBorders>
                  <w:noWrap w:val="0"/>
                  <w:vAlign w:val="center"/>
                </w:tcPr>
                <w:p w14:paraId="036ADDDE">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p>
              </w:tc>
            </w:tr>
            <w:tr w14:paraId="536E74A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715" w:hRule="atLeast"/>
              </w:trPr>
              <w:tc>
                <w:tcPr>
                  <w:tcW w:w="94" w:type="pct"/>
                  <w:vMerge w:val="restart"/>
                  <w:tcBorders>
                    <w:tl2br w:val="nil"/>
                    <w:tr2bl w:val="nil"/>
                  </w:tcBorders>
                  <w:noWrap w:val="0"/>
                  <w:vAlign w:val="center"/>
                </w:tcPr>
                <w:p w14:paraId="5D1AD632">
                  <w:pPr>
                    <w:pStyle w:val="56"/>
                    <w:keepNext w:val="0"/>
                    <w:keepLines w:val="0"/>
                    <w:suppressLineNumbers w:val="0"/>
                    <w:bidi w:val="0"/>
                    <w:spacing w:before="0" w:beforeAutospacing="0" w:after="0" w:afterAutospacing="0"/>
                    <w:ind w:left="0" w:right="0"/>
                    <w:rPr>
                      <w:rFonts w:hint="eastAsia" w:eastAsia="宋体" w:cs="Times New Roman"/>
                      <w:color w:val="auto"/>
                      <w:sz w:val="18"/>
                      <w:szCs w:val="18"/>
                      <w:lang w:val="en-US" w:eastAsia="zh-CN"/>
                    </w:rPr>
                  </w:pPr>
                  <w:r>
                    <w:rPr>
                      <w:rFonts w:hint="default" w:cs="Times New Roman"/>
                      <w:color w:val="auto"/>
                      <w:sz w:val="18"/>
                      <w:szCs w:val="18"/>
                    </w:rPr>
                    <w:t>无组织</w:t>
                  </w:r>
                  <w:r>
                    <w:rPr>
                      <w:rFonts w:hint="eastAsia" w:cs="Times New Roman"/>
                      <w:color w:val="auto"/>
                      <w:sz w:val="18"/>
                      <w:szCs w:val="18"/>
                      <w:lang w:val="en-US" w:eastAsia="zh-CN"/>
                    </w:rPr>
                    <w:t>排放</w:t>
                  </w:r>
                </w:p>
              </w:tc>
              <w:tc>
                <w:tcPr>
                  <w:tcW w:w="347" w:type="pct"/>
                  <w:tcBorders>
                    <w:tl2br w:val="nil"/>
                    <w:tr2bl w:val="nil"/>
                  </w:tcBorders>
                  <w:shd w:val="clear" w:color="auto" w:fill="auto"/>
                  <w:noWrap w:val="0"/>
                  <w:vAlign w:val="center"/>
                </w:tcPr>
                <w:p w14:paraId="19C249C5">
                  <w:pPr>
                    <w:pStyle w:val="56"/>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cs="Times New Roman"/>
                      <w:color w:val="auto"/>
                      <w:sz w:val="18"/>
                      <w:szCs w:val="18"/>
                      <w:lang w:val="en-US" w:eastAsia="zh-CN"/>
                    </w:rPr>
                    <w:t>水泥筒库顶呼吸孔粉尘</w:t>
                  </w:r>
                </w:p>
              </w:tc>
              <w:tc>
                <w:tcPr>
                  <w:tcW w:w="245" w:type="pct"/>
                  <w:tcBorders>
                    <w:tl2br w:val="nil"/>
                    <w:tr2bl w:val="nil"/>
                  </w:tcBorders>
                  <w:shd w:val="clear" w:color="auto" w:fill="auto"/>
                  <w:noWrap w:val="0"/>
                  <w:vAlign w:val="center"/>
                </w:tcPr>
                <w:p w14:paraId="18B1CD67">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颗粒物</w:t>
                  </w:r>
                </w:p>
              </w:tc>
              <w:tc>
                <w:tcPr>
                  <w:tcW w:w="257" w:type="pct"/>
                  <w:tcBorders>
                    <w:tl2br w:val="nil"/>
                    <w:tr2bl w:val="nil"/>
                  </w:tcBorders>
                  <w:shd w:val="clear" w:color="auto" w:fill="auto"/>
                  <w:noWrap w:val="0"/>
                  <w:vAlign w:val="center"/>
                </w:tcPr>
                <w:p w14:paraId="34864509">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w:t>
                  </w:r>
                </w:p>
              </w:tc>
              <w:tc>
                <w:tcPr>
                  <w:tcW w:w="207" w:type="pct"/>
                  <w:tcBorders>
                    <w:tl2br w:val="nil"/>
                    <w:tr2bl w:val="nil"/>
                  </w:tcBorders>
                  <w:shd w:val="clear" w:color="auto" w:fill="auto"/>
                  <w:noWrap w:val="0"/>
                  <w:vAlign w:val="center"/>
                </w:tcPr>
                <w:p w14:paraId="2AEAE2D3">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default" w:cs="Times New Roman"/>
                      <w:color w:val="auto"/>
                      <w:sz w:val="18"/>
                      <w:szCs w:val="18"/>
                      <w:lang w:val="en-US" w:eastAsia="zh-CN"/>
                    </w:rPr>
                    <w:t xml:space="preserve">1.5 </w:t>
                  </w:r>
                </w:p>
              </w:tc>
              <w:tc>
                <w:tcPr>
                  <w:tcW w:w="194" w:type="pct"/>
                  <w:tcBorders>
                    <w:tl2br w:val="nil"/>
                    <w:tr2bl w:val="nil"/>
                  </w:tcBorders>
                  <w:shd w:val="clear" w:color="auto" w:fill="auto"/>
                  <w:noWrap w:val="0"/>
                  <w:vAlign w:val="center"/>
                </w:tcPr>
                <w:p w14:paraId="7DC27183">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default" w:cs="Times New Roman"/>
                      <w:color w:val="auto"/>
                      <w:sz w:val="18"/>
                      <w:szCs w:val="18"/>
                      <w:lang w:val="en-US" w:eastAsia="zh-CN"/>
                    </w:rPr>
                    <w:t>7.2</w:t>
                  </w:r>
                </w:p>
              </w:tc>
              <w:tc>
                <w:tcPr>
                  <w:tcW w:w="171" w:type="pct"/>
                  <w:tcBorders>
                    <w:tl2br w:val="nil"/>
                    <w:tr2bl w:val="nil"/>
                  </w:tcBorders>
                  <w:shd w:val="clear" w:color="auto" w:fill="auto"/>
                  <w:noWrap w:val="0"/>
                  <w:vAlign w:val="center"/>
                </w:tcPr>
                <w:p w14:paraId="3D149A71">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w:t>
                  </w:r>
                </w:p>
              </w:tc>
              <w:tc>
                <w:tcPr>
                  <w:tcW w:w="185" w:type="pct"/>
                  <w:tcBorders>
                    <w:tl2br w:val="nil"/>
                    <w:tr2bl w:val="nil"/>
                  </w:tcBorders>
                  <w:shd w:val="clear" w:color="auto" w:fill="auto"/>
                  <w:noWrap w:val="0"/>
                  <w:vAlign w:val="center"/>
                </w:tcPr>
                <w:p w14:paraId="33A05D23">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100</w:t>
                  </w:r>
                </w:p>
              </w:tc>
              <w:tc>
                <w:tcPr>
                  <w:tcW w:w="168" w:type="pct"/>
                  <w:tcBorders>
                    <w:tl2br w:val="nil"/>
                    <w:tr2bl w:val="nil"/>
                  </w:tcBorders>
                  <w:shd w:val="clear" w:color="auto" w:fill="auto"/>
                  <w:noWrap w:val="0"/>
                  <w:vAlign w:val="center"/>
                </w:tcPr>
                <w:p w14:paraId="6E82EFC3">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99</w:t>
                  </w:r>
                </w:p>
              </w:tc>
              <w:tc>
                <w:tcPr>
                  <w:tcW w:w="235" w:type="pct"/>
                  <w:tcBorders>
                    <w:tl2br w:val="nil"/>
                    <w:tr2bl w:val="nil"/>
                  </w:tcBorders>
                  <w:shd w:val="clear" w:color="auto" w:fill="auto"/>
                  <w:noWrap w:val="0"/>
                  <w:vAlign w:val="center"/>
                </w:tcPr>
                <w:p w14:paraId="1BA42119">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是</w:t>
                  </w:r>
                </w:p>
              </w:tc>
              <w:tc>
                <w:tcPr>
                  <w:tcW w:w="435" w:type="pct"/>
                  <w:tcBorders>
                    <w:tl2br w:val="nil"/>
                    <w:tr2bl w:val="nil"/>
                  </w:tcBorders>
                  <w:shd w:val="clear" w:color="auto" w:fill="auto"/>
                  <w:noWrap w:val="0"/>
                  <w:vAlign w:val="center"/>
                </w:tcPr>
                <w:p w14:paraId="7EB1C1BC">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自带高效除尘器</w:t>
                  </w:r>
                </w:p>
              </w:tc>
              <w:tc>
                <w:tcPr>
                  <w:tcW w:w="263" w:type="pct"/>
                  <w:tcBorders>
                    <w:tl2br w:val="nil"/>
                    <w:tr2bl w:val="nil"/>
                  </w:tcBorders>
                  <w:shd w:val="clear" w:color="auto" w:fill="auto"/>
                  <w:noWrap w:val="0"/>
                  <w:vAlign w:val="center"/>
                </w:tcPr>
                <w:p w14:paraId="2710AC01">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w:t>
                  </w:r>
                </w:p>
              </w:tc>
              <w:tc>
                <w:tcPr>
                  <w:tcW w:w="209" w:type="pct"/>
                  <w:tcBorders>
                    <w:tl2br w:val="nil"/>
                    <w:tr2bl w:val="nil"/>
                  </w:tcBorders>
                  <w:shd w:val="clear" w:color="auto" w:fill="auto"/>
                  <w:noWrap w:val="0"/>
                  <w:vAlign w:val="center"/>
                </w:tcPr>
                <w:p w14:paraId="427E39B3">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default" w:cs="Times New Roman"/>
                      <w:color w:val="auto"/>
                      <w:sz w:val="18"/>
                      <w:szCs w:val="18"/>
                      <w:lang w:val="en-US" w:eastAsia="zh-CN"/>
                    </w:rPr>
                    <w:t xml:space="preserve">0.015 </w:t>
                  </w:r>
                </w:p>
              </w:tc>
              <w:tc>
                <w:tcPr>
                  <w:tcW w:w="294" w:type="pct"/>
                  <w:tcBorders>
                    <w:tl2br w:val="nil"/>
                    <w:tr2bl w:val="nil"/>
                  </w:tcBorders>
                  <w:shd w:val="clear" w:color="auto" w:fill="auto"/>
                  <w:noWrap w:val="0"/>
                  <w:vAlign w:val="center"/>
                </w:tcPr>
                <w:p w14:paraId="645C8A71">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default" w:cs="Times New Roman"/>
                      <w:color w:val="auto"/>
                      <w:sz w:val="18"/>
                      <w:szCs w:val="18"/>
                      <w:lang w:val="en-US" w:eastAsia="zh-CN"/>
                    </w:rPr>
                    <w:t xml:space="preserve">0.072 </w:t>
                  </w:r>
                </w:p>
              </w:tc>
              <w:tc>
                <w:tcPr>
                  <w:tcW w:w="209" w:type="pct"/>
                  <w:tcBorders>
                    <w:tl2br w:val="nil"/>
                    <w:tr2bl w:val="nil"/>
                  </w:tcBorders>
                  <w:noWrap w:val="0"/>
                  <w:vAlign w:val="center"/>
                </w:tcPr>
                <w:p w14:paraId="66830DB1">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112" w:type="pct"/>
                  <w:tcBorders>
                    <w:tl2br w:val="nil"/>
                    <w:tr2bl w:val="nil"/>
                  </w:tcBorders>
                  <w:noWrap w:val="0"/>
                  <w:vAlign w:val="center"/>
                </w:tcPr>
                <w:p w14:paraId="263F7C26">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155" w:type="pct"/>
                  <w:tcBorders>
                    <w:tl2br w:val="nil"/>
                    <w:tr2bl w:val="nil"/>
                  </w:tcBorders>
                  <w:noWrap w:val="0"/>
                  <w:vAlign w:val="center"/>
                </w:tcPr>
                <w:p w14:paraId="6B74E10E">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164" w:type="pct"/>
                  <w:tcBorders>
                    <w:tl2br w:val="nil"/>
                    <w:tr2bl w:val="nil"/>
                  </w:tcBorders>
                  <w:noWrap w:val="0"/>
                  <w:vAlign w:val="center"/>
                </w:tcPr>
                <w:p w14:paraId="71F63570">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187" w:type="pct"/>
                  <w:tcBorders>
                    <w:tl2br w:val="nil"/>
                    <w:tr2bl w:val="nil"/>
                  </w:tcBorders>
                  <w:shd w:val="clear" w:color="auto" w:fill="auto"/>
                  <w:noWrap w:val="0"/>
                  <w:vAlign w:val="center"/>
                </w:tcPr>
                <w:p w14:paraId="06AC6CA4">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p>
              </w:tc>
              <w:tc>
                <w:tcPr>
                  <w:tcW w:w="490" w:type="pct"/>
                  <w:tcBorders>
                    <w:tl2br w:val="nil"/>
                    <w:tr2bl w:val="nil"/>
                  </w:tcBorders>
                  <w:shd w:val="clear" w:color="auto" w:fill="auto"/>
                  <w:noWrap w:val="0"/>
                  <w:vAlign w:val="center"/>
                </w:tcPr>
                <w:p w14:paraId="489BE6AE">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p>
              </w:tc>
              <w:tc>
                <w:tcPr>
                  <w:tcW w:w="238" w:type="pct"/>
                  <w:tcBorders>
                    <w:tl2br w:val="nil"/>
                    <w:tr2bl w:val="nil"/>
                  </w:tcBorders>
                  <w:noWrap w:val="0"/>
                  <w:vAlign w:val="center"/>
                </w:tcPr>
                <w:p w14:paraId="5E380122">
                  <w:pPr>
                    <w:pStyle w:val="56"/>
                    <w:keepNext w:val="0"/>
                    <w:keepLines w:val="0"/>
                    <w:suppressLineNumbers w:val="0"/>
                    <w:bidi w:val="0"/>
                    <w:spacing w:before="0" w:beforeAutospacing="0" w:after="0" w:afterAutospacing="0"/>
                    <w:ind w:left="0" w:right="0"/>
                    <w:rPr>
                      <w:rFonts w:hint="default" w:eastAsia="宋体" w:cs="Times New Roman"/>
                      <w:color w:val="auto"/>
                      <w:sz w:val="18"/>
                      <w:szCs w:val="18"/>
                      <w:lang w:val="en-US" w:eastAsia="zh-CN"/>
                    </w:rPr>
                  </w:pPr>
                </w:p>
              </w:tc>
              <w:tc>
                <w:tcPr>
                  <w:tcW w:w="133" w:type="pct"/>
                  <w:tcBorders>
                    <w:tl2br w:val="nil"/>
                    <w:tr2bl w:val="nil"/>
                  </w:tcBorders>
                  <w:noWrap w:val="0"/>
                  <w:vAlign w:val="center"/>
                </w:tcPr>
                <w:p w14:paraId="4C695DBC">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p>
              </w:tc>
            </w:tr>
            <w:tr w14:paraId="2799744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420" w:hRule="atLeast"/>
              </w:trPr>
              <w:tc>
                <w:tcPr>
                  <w:tcW w:w="94" w:type="pct"/>
                  <w:vMerge w:val="continue"/>
                  <w:tcBorders>
                    <w:tl2br w:val="nil"/>
                    <w:tr2bl w:val="nil"/>
                  </w:tcBorders>
                  <w:noWrap w:val="0"/>
                  <w:vAlign w:val="center"/>
                </w:tcPr>
                <w:p w14:paraId="525BC636">
                  <w:pPr>
                    <w:pStyle w:val="56"/>
                    <w:keepNext w:val="0"/>
                    <w:keepLines w:val="0"/>
                    <w:suppressLineNumbers w:val="0"/>
                    <w:bidi w:val="0"/>
                    <w:spacing w:before="0" w:beforeAutospacing="0" w:after="0" w:afterAutospacing="0"/>
                    <w:ind w:left="0" w:right="0"/>
                    <w:rPr>
                      <w:rFonts w:hint="eastAsia" w:eastAsia="宋体" w:cs="Times New Roman"/>
                      <w:color w:val="auto"/>
                      <w:sz w:val="18"/>
                      <w:szCs w:val="18"/>
                      <w:lang w:val="en-US" w:eastAsia="zh-CN"/>
                    </w:rPr>
                  </w:pPr>
                </w:p>
              </w:tc>
              <w:tc>
                <w:tcPr>
                  <w:tcW w:w="347" w:type="pct"/>
                  <w:tcBorders>
                    <w:tl2br w:val="nil"/>
                    <w:tr2bl w:val="nil"/>
                  </w:tcBorders>
                  <w:noWrap w:val="0"/>
                  <w:vAlign w:val="center"/>
                </w:tcPr>
                <w:p w14:paraId="17DF1578">
                  <w:pPr>
                    <w:pStyle w:val="56"/>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r>
                    <w:rPr>
                      <w:rFonts w:hint="eastAsia" w:cs="Times New Roman"/>
                      <w:color w:val="auto"/>
                      <w:sz w:val="18"/>
                      <w:szCs w:val="18"/>
                      <w:lang w:val="en-US" w:eastAsia="zh-CN"/>
                    </w:rPr>
                    <w:t>运输车辆动力起尘</w:t>
                  </w:r>
                </w:p>
              </w:tc>
              <w:tc>
                <w:tcPr>
                  <w:tcW w:w="245" w:type="pct"/>
                  <w:tcBorders>
                    <w:tl2br w:val="nil"/>
                    <w:tr2bl w:val="nil"/>
                  </w:tcBorders>
                  <w:noWrap w:val="0"/>
                  <w:vAlign w:val="center"/>
                </w:tcPr>
                <w:p w14:paraId="453F5020">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颗粒物</w:t>
                  </w:r>
                </w:p>
              </w:tc>
              <w:tc>
                <w:tcPr>
                  <w:tcW w:w="257" w:type="pct"/>
                  <w:tcBorders>
                    <w:tl2br w:val="nil"/>
                    <w:tr2bl w:val="nil"/>
                  </w:tcBorders>
                  <w:noWrap w:val="0"/>
                  <w:vAlign w:val="center"/>
                </w:tcPr>
                <w:p w14:paraId="09336033">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w:t>
                  </w:r>
                </w:p>
              </w:tc>
              <w:tc>
                <w:tcPr>
                  <w:tcW w:w="207" w:type="pct"/>
                  <w:tcBorders>
                    <w:tl2br w:val="nil"/>
                    <w:tr2bl w:val="nil"/>
                  </w:tcBorders>
                  <w:noWrap w:val="0"/>
                  <w:vAlign w:val="center"/>
                </w:tcPr>
                <w:p w14:paraId="33C6C6F7">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4.98</w:t>
                  </w:r>
                </w:p>
              </w:tc>
              <w:tc>
                <w:tcPr>
                  <w:tcW w:w="194" w:type="pct"/>
                  <w:tcBorders>
                    <w:tl2br w:val="nil"/>
                    <w:tr2bl w:val="nil"/>
                  </w:tcBorders>
                  <w:noWrap w:val="0"/>
                  <w:vAlign w:val="center"/>
                </w:tcPr>
                <w:p w14:paraId="28F1A00C">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4.98</w:t>
                  </w:r>
                </w:p>
              </w:tc>
              <w:tc>
                <w:tcPr>
                  <w:tcW w:w="171" w:type="pct"/>
                  <w:tcBorders>
                    <w:tl2br w:val="nil"/>
                    <w:tr2bl w:val="nil"/>
                  </w:tcBorders>
                  <w:noWrap w:val="0"/>
                  <w:vAlign w:val="center"/>
                </w:tcPr>
                <w:p w14:paraId="62B1BA28">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w:t>
                  </w:r>
                </w:p>
              </w:tc>
              <w:tc>
                <w:tcPr>
                  <w:tcW w:w="185" w:type="pct"/>
                  <w:tcBorders>
                    <w:tl2br w:val="nil"/>
                    <w:tr2bl w:val="nil"/>
                  </w:tcBorders>
                  <w:noWrap w:val="0"/>
                  <w:vAlign w:val="center"/>
                </w:tcPr>
                <w:p w14:paraId="43C39694">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w:t>
                  </w:r>
                </w:p>
              </w:tc>
              <w:tc>
                <w:tcPr>
                  <w:tcW w:w="168" w:type="pct"/>
                  <w:tcBorders>
                    <w:tl2br w:val="nil"/>
                    <w:tr2bl w:val="nil"/>
                  </w:tcBorders>
                  <w:noWrap w:val="0"/>
                  <w:vAlign w:val="center"/>
                </w:tcPr>
                <w:p w14:paraId="5C05F2A3">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90</w:t>
                  </w:r>
                </w:p>
              </w:tc>
              <w:tc>
                <w:tcPr>
                  <w:tcW w:w="235" w:type="pct"/>
                  <w:tcBorders>
                    <w:tl2br w:val="nil"/>
                    <w:tr2bl w:val="nil"/>
                  </w:tcBorders>
                  <w:noWrap w:val="0"/>
                  <w:vAlign w:val="center"/>
                </w:tcPr>
                <w:p w14:paraId="5E247545">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是</w:t>
                  </w:r>
                </w:p>
              </w:tc>
              <w:tc>
                <w:tcPr>
                  <w:tcW w:w="435" w:type="pct"/>
                  <w:tcBorders>
                    <w:tl2br w:val="nil"/>
                    <w:tr2bl w:val="nil"/>
                  </w:tcBorders>
                  <w:noWrap w:val="0"/>
                  <w:vAlign w:val="center"/>
                </w:tcPr>
                <w:p w14:paraId="0A6A4C97">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厂区洒水、清扫</w:t>
                  </w:r>
                </w:p>
              </w:tc>
              <w:tc>
                <w:tcPr>
                  <w:tcW w:w="263" w:type="pct"/>
                  <w:tcBorders>
                    <w:tl2br w:val="nil"/>
                    <w:tr2bl w:val="nil"/>
                  </w:tcBorders>
                  <w:noWrap w:val="0"/>
                  <w:vAlign w:val="center"/>
                </w:tcPr>
                <w:p w14:paraId="311AA67F">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w:t>
                  </w:r>
                </w:p>
              </w:tc>
              <w:tc>
                <w:tcPr>
                  <w:tcW w:w="209" w:type="pct"/>
                  <w:tcBorders>
                    <w:tl2br w:val="nil"/>
                    <w:tr2bl w:val="nil"/>
                  </w:tcBorders>
                  <w:noWrap w:val="0"/>
                  <w:vAlign w:val="center"/>
                </w:tcPr>
                <w:p w14:paraId="62009E62">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0.498</w:t>
                  </w:r>
                </w:p>
              </w:tc>
              <w:tc>
                <w:tcPr>
                  <w:tcW w:w="294" w:type="pct"/>
                  <w:tcBorders>
                    <w:tl2br w:val="nil"/>
                    <w:tr2bl w:val="nil"/>
                  </w:tcBorders>
                  <w:noWrap w:val="0"/>
                  <w:vAlign w:val="center"/>
                </w:tcPr>
                <w:p w14:paraId="31A124AB">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0.498</w:t>
                  </w:r>
                </w:p>
              </w:tc>
              <w:tc>
                <w:tcPr>
                  <w:tcW w:w="209" w:type="pct"/>
                  <w:tcBorders>
                    <w:tl2br w:val="nil"/>
                    <w:tr2bl w:val="nil"/>
                  </w:tcBorders>
                  <w:noWrap w:val="0"/>
                  <w:vAlign w:val="center"/>
                </w:tcPr>
                <w:p w14:paraId="0F92F53E">
                  <w:pPr>
                    <w:pStyle w:val="56"/>
                    <w:keepNext w:val="0"/>
                    <w:keepLines w:val="0"/>
                    <w:suppressLineNumbers w:val="0"/>
                    <w:bidi w:val="0"/>
                    <w:spacing w:before="0" w:beforeAutospacing="0" w:after="0" w:afterAutospacing="0"/>
                    <w:ind w:left="0" w:leftChars="0" w:right="0" w:rightChars="0" w:firstLine="0" w:firstLineChars="0"/>
                    <w:rPr>
                      <w:rFonts w:hint="eastAsia" w:eastAsia="宋体" w:cs="Times New Roman"/>
                      <w:color w:val="auto"/>
                      <w:sz w:val="18"/>
                      <w:szCs w:val="18"/>
                      <w:lang w:val="en-US" w:eastAsia="zh-CN"/>
                    </w:rPr>
                  </w:pPr>
                  <w:r>
                    <w:rPr>
                      <w:rFonts w:hint="eastAsia" w:cs="Times New Roman"/>
                      <w:color w:val="auto"/>
                      <w:sz w:val="18"/>
                      <w:szCs w:val="18"/>
                      <w:lang w:val="en-US" w:eastAsia="zh-CN"/>
                    </w:rPr>
                    <w:t>/</w:t>
                  </w:r>
                </w:p>
              </w:tc>
              <w:tc>
                <w:tcPr>
                  <w:tcW w:w="112" w:type="pct"/>
                  <w:tcBorders>
                    <w:tl2br w:val="nil"/>
                    <w:tr2bl w:val="nil"/>
                  </w:tcBorders>
                  <w:noWrap w:val="0"/>
                  <w:vAlign w:val="center"/>
                </w:tcPr>
                <w:p w14:paraId="2AD9CD56">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w:t>
                  </w:r>
                </w:p>
              </w:tc>
              <w:tc>
                <w:tcPr>
                  <w:tcW w:w="155" w:type="pct"/>
                  <w:tcBorders>
                    <w:tl2br w:val="nil"/>
                    <w:tr2bl w:val="nil"/>
                  </w:tcBorders>
                  <w:noWrap w:val="0"/>
                  <w:vAlign w:val="center"/>
                </w:tcPr>
                <w:p w14:paraId="56162214">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w:t>
                  </w:r>
                </w:p>
              </w:tc>
              <w:tc>
                <w:tcPr>
                  <w:tcW w:w="164" w:type="pct"/>
                  <w:tcBorders>
                    <w:tl2br w:val="nil"/>
                    <w:tr2bl w:val="nil"/>
                  </w:tcBorders>
                  <w:noWrap w:val="0"/>
                  <w:vAlign w:val="center"/>
                </w:tcPr>
                <w:p w14:paraId="558053EE">
                  <w:pPr>
                    <w:pStyle w:val="56"/>
                    <w:keepNext w:val="0"/>
                    <w:keepLines w:val="0"/>
                    <w:suppressLineNumbers w:val="0"/>
                    <w:bidi w:val="0"/>
                    <w:spacing w:before="0" w:beforeAutospacing="0" w:after="0" w:afterAutospacing="0"/>
                    <w:ind w:left="0" w:leftChars="0" w:right="0" w:rightChars="0" w:firstLine="0" w:firstLineChars="0"/>
                    <w:rPr>
                      <w:rFonts w:hint="default" w:eastAsia="宋体" w:cs="Times New Roman"/>
                      <w:color w:val="auto"/>
                      <w:sz w:val="18"/>
                      <w:szCs w:val="18"/>
                      <w:lang w:val="en-US" w:eastAsia="zh-CN"/>
                    </w:rPr>
                  </w:pPr>
                  <w:r>
                    <w:rPr>
                      <w:rFonts w:hint="eastAsia" w:cs="Times New Roman"/>
                      <w:color w:val="auto"/>
                      <w:sz w:val="18"/>
                      <w:szCs w:val="18"/>
                      <w:lang w:val="en-US" w:eastAsia="zh-CN"/>
                    </w:rPr>
                    <w:t>25</w:t>
                  </w:r>
                </w:p>
              </w:tc>
              <w:tc>
                <w:tcPr>
                  <w:tcW w:w="187" w:type="pct"/>
                  <w:tcBorders>
                    <w:tl2br w:val="nil"/>
                    <w:tr2bl w:val="nil"/>
                  </w:tcBorders>
                  <w:noWrap w:val="0"/>
                  <w:vAlign w:val="center"/>
                </w:tcPr>
                <w:p w14:paraId="1CF7222C">
                  <w:pPr>
                    <w:pStyle w:val="56"/>
                    <w:keepNext w:val="0"/>
                    <w:keepLines w:val="0"/>
                    <w:suppressLineNumbers w:val="0"/>
                    <w:bidi w:val="0"/>
                    <w:spacing w:before="0" w:beforeAutospacing="0" w:after="0" w:afterAutospacing="0"/>
                    <w:ind w:left="0" w:leftChars="0" w:right="0" w:rightChars="0" w:firstLine="0" w:firstLineChars="0"/>
                    <w:rPr>
                      <w:rFonts w:hint="eastAsia" w:eastAsia="宋体" w:cs="Times New Roman"/>
                      <w:color w:val="auto"/>
                      <w:sz w:val="18"/>
                      <w:szCs w:val="18"/>
                      <w:lang w:val="en-US" w:eastAsia="zh-CN"/>
                    </w:rPr>
                  </w:pPr>
                  <w:r>
                    <w:rPr>
                      <w:rFonts w:hint="eastAsia" w:cs="Times New Roman"/>
                      <w:color w:val="auto"/>
                      <w:sz w:val="18"/>
                      <w:szCs w:val="18"/>
                      <w:lang w:val="en-US" w:eastAsia="zh-CN"/>
                    </w:rPr>
                    <w:t>/</w:t>
                  </w:r>
                </w:p>
              </w:tc>
              <w:tc>
                <w:tcPr>
                  <w:tcW w:w="490" w:type="pct"/>
                  <w:tcBorders>
                    <w:tl2br w:val="nil"/>
                    <w:tr2bl w:val="nil"/>
                  </w:tcBorders>
                  <w:noWrap w:val="0"/>
                  <w:vAlign w:val="center"/>
                </w:tcPr>
                <w:p w14:paraId="43F26087">
                  <w:pPr>
                    <w:pStyle w:val="56"/>
                    <w:keepNext w:val="0"/>
                    <w:keepLines w:val="0"/>
                    <w:suppressLineNumbers w:val="0"/>
                    <w:bidi w:val="0"/>
                    <w:spacing w:before="0" w:beforeAutospacing="0" w:after="0" w:afterAutospacing="0"/>
                    <w:ind w:left="0" w:leftChars="0" w:right="0" w:rightChars="0" w:firstLine="0" w:firstLineChars="0"/>
                    <w:rPr>
                      <w:rFonts w:hint="default" w:eastAsia="宋体" w:cs="Times New Roman"/>
                      <w:color w:val="auto"/>
                      <w:sz w:val="18"/>
                      <w:szCs w:val="18"/>
                      <w:lang w:val="en-US" w:eastAsia="zh-CN"/>
                    </w:rPr>
                  </w:pPr>
                  <w:r>
                    <w:rPr>
                      <w:rFonts w:hint="eastAsia" w:cs="Times New Roman"/>
                      <w:color w:val="auto"/>
                      <w:sz w:val="18"/>
                      <w:szCs w:val="18"/>
                      <w:lang w:val="en-US" w:eastAsia="zh-CN"/>
                    </w:rPr>
                    <w:t>/</w:t>
                  </w:r>
                </w:p>
              </w:tc>
              <w:tc>
                <w:tcPr>
                  <w:tcW w:w="238" w:type="pct"/>
                  <w:tcBorders>
                    <w:tl2br w:val="nil"/>
                    <w:tr2bl w:val="nil"/>
                  </w:tcBorders>
                  <w:noWrap w:val="0"/>
                  <w:vAlign w:val="center"/>
                </w:tcPr>
                <w:p w14:paraId="68AD813B">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cs="Times New Roman"/>
                      <w:color w:val="auto"/>
                      <w:lang w:val="en-US" w:eastAsia="zh-CN"/>
                    </w:rPr>
                    <w:t>/</w:t>
                  </w:r>
                </w:p>
              </w:tc>
              <w:tc>
                <w:tcPr>
                  <w:tcW w:w="133" w:type="pct"/>
                  <w:tcBorders>
                    <w:tl2br w:val="nil"/>
                    <w:tr2bl w:val="nil"/>
                  </w:tcBorders>
                  <w:noWrap w:val="0"/>
                  <w:vAlign w:val="center"/>
                </w:tcPr>
                <w:p w14:paraId="6CF2BAC8">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cs="Times New Roman"/>
                      <w:color w:val="auto"/>
                      <w:lang w:val="en-US" w:eastAsia="zh-CN"/>
                    </w:rPr>
                    <w:t>/</w:t>
                  </w:r>
                </w:p>
              </w:tc>
            </w:tr>
            <w:tr w14:paraId="059F9A9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420" w:hRule="atLeast"/>
              </w:trPr>
              <w:tc>
                <w:tcPr>
                  <w:tcW w:w="94" w:type="pct"/>
                  <w:vMerge w:val="continue"/>
                  <w:tcBorders>
                    <w:tl2br w:val="nil"/>
                    <w:tr2bl w:val="nil"/>
                  </w:tcBorders>
                  <w:noWrap w:val="0"/>
                  <w:vAlign w:val="center"/>
                </w:tcPr>
                <w:p w14:paraId="56AE1C49">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347" w:type="pct"/>
                  <w:vMerge w:val="restart"/>
                  <w:tcBorders>
                    <w:tl2br w:val="nil"/>
                    <w:tr2bl w:val="nil"/>
                  </w:tcBorders>
                  <w:shd w:val="clear" w:color="auto" w:fill="auto"/>
                  <w:noWrap w:val="0"/>
                  <w:vAlign w:val="center"/>
                </w:tcPr>
                <w:p w14:paraId="174EA37E">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eastAsia" w:cs="Times New Roman"/>
                      <w:color w:val="auto"/>
                      <w:sz w:val="18"/>
                      <w:szCs w:val="18"/>
                      <w:lang w:val="en-US" w:eastAsia="zh-CN"/>
                    </w:rPr>
                    <w:t>筛选破碎废气</w:t>
                  </w:r>
                </w:p>
              </w:tc>
              <w:tc>
                <w:tcPr>
                  <w:tcW w:w="245" w:type="pct"/>
                  <w:tcBorders>
                    <w:tl2br w:val="nil"/>
                    <w:tr2bl w:val="nil"/>
                  </w:tcBorders>
                  <w:shd w:val="clear" w:color="auto" w:fill="auto"/>
                  <w:noWrap w:val="0"/>
                  <w:vAlign w:val="center"/>
                </w:tcPr>
                <w:p w14:paraId="2991528C">
                  <w:pPr>
                    <w:pStyle w:val="56"/>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cs="Times New Roman"/>
                      <w:color w:val="auto"/>
                      <w:sz w:val="18"/>
                      <w:szCs w:val="18"/>
                      <w:lang w:val="en-US" w:eastAsia="zh-CN"/>
                    </w:rPr>
                    <w:t>颗粒物</w:t>
                  </w:r>
                </w:p>
              </w:tc>
              <w:tc>
                <w:tcPr>
                  <w:tcW w:w="257" w:type="pct"/>
                  <w:tcBorders>
                    <w:tl2br w:val="nil"/>
                    <w:tr2bl w:val="nil"/>
                  </w:tcBorders>
                  <w:shd w:val="clear" w:color="auto" w:fill="auto"/>
                  <w:noWrap w:val="0"/>
                  <w:vAlign w:val="center"/>
                </w:tcPr>
                <w:p w14:paraId="3CA3D8ED">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r>
                    <w:rPr>
                      <w:rFonts w:hint="eastAsia" w:cs="Times New Roman"/>
                      <w:color w:val="auto"/>
                      <w:sz w:val="18"/>
                      <w:szCs w:val="18"/>
                      <w:lang w:val="en-US" w:eastAsia="zh-CN"/>
                    </w:rPr>
                    <w:t>/</w:t>
                  </w:r>
                </w:p>
              </w:tc>
              <w:tc>
                <w:tcPr>
                  <w:tcW w:w="207" w:type="pct"/>
                  <w:tcBorders>
                    <w:tl2br w:val="nil"/>
                    <w:tr2bl w:val="nil"/>
                  </w:tcBorders>
                  <w:shd w:val="clear" w:color="auto" w:fill="auto"/>
                  <w:noWrap w:val="0"/>
                  <w:vAlign w:val="center"/>
                </w:tcPr>
                <w:p w14:paraId="4E6582A1">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1.007 </w:t>
                  </w:r>
                </w:p>
              </w:tc>
              <w:tc>
                <w:tcPr>
                  <w:tcW w:w="194" w:type="pct"/>
                  <w:tcBorders>
                    <w:tl2br w:val="nil"/>
                    <w:tr2bl w:val="nil"/>
                  </w:tcBorders>
                  <w:shd w:val="clear" w:color="auto" w:fill="auto"/>
                  <w:noWrap w:val="0"/>
                  <w:vAlign w:val="center"/>
                </w:tcPr>
                <w:p w14:paraId="27105AB4">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7.250 </w:t>
                  </w:r>
                </w:p>
              </w:tc>
              <w:tc>
                <w:tcPr>
                  <w:tcW w:w="171" w:type="pct"/>
                  <w:tcBorders>
                    <w:tl2br w:val="nil"/>
                    <w:tr2bl w:val="nil"/>
                  </w:tcBorders>
                  <w:shd w:val="clear" w:color="auto" w:fill="auto"/>
                  <w:noWrap w:val="0"/>
                  <w:vAlign w:val="center"/>
                </w:tcPr>
                <w:p w14:paraId="6CCEB174">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w:t>
                  </w:r>
                </w:p>
              </w:tc>
              <w:tc>
                <w:tcPr>
                  <w:tcW w:w="185" w:type="pct"/>
                  <w:tcBorders>
                    <w:tl2br w:val="nil"/>
                    <w:tr2bl w:val="nil"/>
                  </w:tcBorders>
                  <w:shd w:val="clear" w:color="auto" w:fill="auto"/>
                  <w:noWrap w:val="0"/>
                  <w:vAlign w:val="center"/>
                </w:tcPr>
                <w:p w14:paraId="596F8EE7">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w:t>
                  </w:r>
                </w:p>
              </w:tc>
              <w:tc>
                <w:tcPr>
                  <w:tcW w:w="168" w:type="pct"/>
                  <w:vMerge w:val="restart"/>
                  <w:tcBorders>
                    <w:tl2br w:val="nil"/>
                    <w:tr2bl w:val="nil"/>
                  </w:tcBorders>
                  <w:shd w:val="clear" w:color="auto" w:fill="auto"/>
                  <w:noWrap w:val="0"/>
                  <w:vAlign w:val="center"/>
                </w:tcPr>
                <w:p w14:paraId="6B749E4F">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90</w:t>
                  </w:r>
                </w:p>
              </w:tc>
              <w:tc>
                <w:tcPr>
                  <w:tcW w:w="235" w:type="pct"/>
                  <w:vMerge w:val="restart"/>
                  <w:tcBorders>
                    <w:tl2br w:val="nil"/>
                    <w:tr2bl w:val="nil"/>
                  </w:tcBorders>
                  <w:shd w:val="clear" w:color="auto" w:fill="auto"/>
                  <w:noWrap w:val="0"/>
                  <w:vAlign w:val="center"/>
                </w:tcPr>
                <w:p w14:paraId="5297AB84">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是</w:t>
                  </w:r>
                </w:p>
              </w:tc>
              <w:tc>
                <w:tcPr>
                  <w:tcW w:w="435" w:type="pct"/>
                  <w:vMerge w:val="restart"/>
                  <w:tcBorders>
                    <w:tl2br w:val="nil"/>
                    <w:tr2bl w:val="nil"/>
                  </w:tcBorders>
                  <w:shd w:val="clear" w:color="auto" w:fill="auto"/>
                  <w:noWrap w:val="0"/>
                  <w:vAlign w:val="center"/>
                </w:tcPr>
                <w:p w14:paraId="7AFCC9CD">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厂区洒水、清扫</w:t>
                  </w:r>
                </w:p>
              </w:tc>
              <w:tc>
                <w:tcPr>
                  <w:tcW w:w="263" w:type="pct"/>
                  <w:tcBorders>
                    <w:tl2br w:val="nil"/>
                    <w:tr2bl w:val="nil"/>
                  </w:tcBorders>
                  <w:shd w:val="clear" w:color="auto" w:fill="auto"/>
                  <w:noWrap w:val="0"/>
                  <w:vAlign w:val="center"/>
                </w:tcPr>
                <w:p w14:paraId="0F601D17">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w:t>
                  </w:r>
                </w:p>
              </w:tc>
              <w:tc>
                <w:tcPr>
                  <w:tcW w:w="209" w:type="pct"/>
                  <w:tcBorders>
                    <w:tl2br w:val="nil"/>
                    <w:tr2bl w:val="nil"/>
                  </w:tcBorders>
                  <w:shd w:val="clear" w:color="auto" w:fill="auto"/>
                  <w:noWrap w:val="0"/>
                  <w:vAlign w:val="center"/>
                </w:tcPr>
                <w:p w14:paraId="741633FA">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0.105 </w:t>
                  </w:r>
                </w:p>
              </w:tc>
              <w:tc>
                <w:tcPr>
                  <w:tcW w:w="294" w:type="pct"/>
                  <w:tcBorders>
                    <w:tl2br w:val="nil"/>
                    <w:tr2bl w:val="nil"/>
                  </w:tcBorders>
                  <w:shd w:val="clear" w:color="auto" w:fill="auto"/>
                  <w:noWrap w:val="0"/>
                  <w:vAlign w:val="center"/>
                </w:tcPr>
                <w:p w14:paraId="282830B2">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0.754 </w:t>
                  </w:r>
                </w:p>
              </w:tc>
              <w:tc>
                <w:tcPr>
                  <w:tcW w:w="209" w:type="pct"/>
                  <w:tcBorders>
                    <w:tl2br w:val="nil"/>
                    <w:tr2bl w:val="nil"/>
                  </w:tcBorders>
                  <w:shd w:val="clear" w:color="auto" w:fill="auto"/>
                  <w:noWrap w:val="0"/>
                  <w:vAlign w:val="center"/>
                </w:tcPr>
                <w:p w14:paraId="717AC8F9">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cs="Times New Roman"/>
                      <w:color w:val="auto"/>
                      <w:sz w:val="18"/>
                      <w:szCs w:val="18"/>
                    </w:rPr>
                    <w:t>/</w:t>
                  </w:r>
                </w:p>
              </w:tc>
              <w:tc>
                <w:tcPr>
                  <w:tcW w:w="112" w:type="pct"/>
                  <w:tcBorders>
                    <w:tl2br w:val="nil"/>
                    <w:tr2bl w:val="nil"/>
                  </w:tcBorders>
                  <w:shd w:val="clear" w:color="auto" w:fill="auto"/>
                  <w:noWrap w:val="0"/>
                  <w:vAlign w:val="center"/>
                </w:tcPr>
                <w:p w14:paraId="3833CB2A">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cs="Times New Roman"/>
                      <w:color w:val="auto"/>
                      <w:sz w:val="18"/>
                      <w:szCs w:val="18"/>
                    </w:rPr>
                    <w:t>/</w:t>
                  </w:r>
                </w:p>
              </w:tc>
              <w:tc>
                <w:tcPr>
                  <w:tcW w:w="155" w:type="pct"/>
                  <w:tcBorders>
                    <w:tl2br w:val="nil"/>
                    <w:tr2bl w:val="nil"/>
                  </w:tcBorders>
                  <w:shd w:val="clear" w:color="auto" w:fill="auto"/>
                  <w:noWrap w:val="0"/>
                  <w:vAlign w:val="center"/>
                </w:tcPr>
                <w:p w14:paraId="7AA5B8CB">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cs="Times New Roman"/>
                      <w:color w:val="auto"/>
                      <w:sz w:val="18"/>
                      <w:szCs w:val="18"/>
                    </w:rPr>
                    <w:t>/</w:t>
                  </w:r>
                </w:p>
              </w:tc>
              <w:tc>
                <w:tcPr>
                  <w:tcW w:w="164" w:type="pct"/>
                  <w:tcBorders>
                    <w:tl2br w:val="nil"/>
                    <w:tr2bl w:val="nil"/>
                  </w:tcBorders>
                  <w:shd w:val="clear" w:color="auto" w:fill="auto"/>
                  <w:noWrap w:val="0"/>
                  <w:vAlign w:val="center"/>
                </w:tcPr>
                <w:p w14:paraId="1C917771">
                  <w:pPr>
                    <w:pStyle w:val="56"/>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18"/>
                      <w:szCs w:val="18"/>
                      <w:lang w:val="en-US" w:eastAsia="zh-CN" w:bidi="ar-SA"/>
                    </w:rPr>
                  </w:pPr>
                  <w:r>
                    <w:rPr>
                      <w:rFonts w:hint="eastAsia" w:cs="Times New Roman"/>
                      <w:color w:val="auto"/>
                      <w:sz w:val="18"/>
                      <w:szCs w:val="18"/>
                      <w:lang w:val="en-US" w:eastAsia="zh-CN"/>
                    </w:rPr>
                    <w:t>25</w:t>
                  </w:r>
                </w:p>
              </w:tc>
              <w:tc>
                <w:tcPr>
                  <w:tcW w:w="187" w:type="pct"/>
                  <w:tcBorders>
                    <w:tl2br w:val="nil"/>
                    <w:tr2bl w:val="nil"/>
                  </w:tcBorders>
                  <w:shd w:val="clear" w:color="auto" w:fill="auto"/>
                  <w:noWrap w:val="0"/>
                  <w:vAlign w:val="center"/>
                </w:tcPr>
                <w:p w14:paraId="27CF26ED">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cs="Times New Roman"/>
                      <w:color w:val="auto"/>
                      <w:sz w:val="18"/>
                      <w:szCs w:val="18"/>
                    </w:rPr>
                    <w:t>/</w:t>
                  </w:r>
                </w:p>
              </w:tc>
              <w:tc>
                <w:tcPr>
                  <w:tcW w:w="490" w:type="pct"/>
                  <w:tcBorders>
                    <w:tl2br w:val="nil"/>
                    <w:tr2bl w:val="nil"/>
                  </w:tcBorders>
                  <w:shd w:val="clear" w:color="auto" w:fill="auto"/>
                  <w:noWrap w:val="0"/>
                  <w:vAlign w:val="center"/>
                </w:tcPr>
                <w:p w14:paraId="10AB668A">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18"/>
                      <w:szCs w:val="18"/>
                      <w:lang w:val="en-US" w:eastAsia="zh-CN" w:bidi="ar-SA"/>
                    </w:rPr>
                  </w:pPr>
                  <w:r>
                    <w:rPr>
                      <w:rFonts w:hint="default" w:cs="Times New Roman"/>
                      <w:color w:val="auto"/>
                      <w:sz w:val="18"/>
                      <w:szCs w:val="18"/>
                    </w:rPr>
                    <w:t>/</w:t>
                  </w:r>
                </w:p>
              </w:tc>
              <w:tc>
                <w:tcPr>
                  <w:tcW w:w="238" w:type="pct"/>
                  <w:tcBorders>
                    <w:tl2br w:val="nil"/>
                    <w:tr2bl w:val="nil"/>
                  </w:tcBorders>
                  <w:shd w:val="clear" w:color="auto" w:fill="auto"/>
                  <w:noWrap w:val="0"/>
                  <w:vAlign w:val="center"/>
                </w:tcPr>
                <w:p w14:paraId="0441FEF9">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s="Times New Roman"/>
                      <w:color w:val="auto"/>
                      <w:sz w:val="18"/>
                      <w:szCs w:val="18"/>
                    </w:rPr>
                    <w:t>/</w:t>
                  </w:r>
                </w:p>
              </w:tc>
              <w:tc>
                <w:tcPr>
                  <w:tcW w:w="133" w:type="pct"/>
                  <w:tcBorders>
                    <w:tl2br w:val="nil"/>
                    <w:tr2bl w:val="nil"/>
                  </w:tcBorders>
                  <w:shd w:val="clear" w:color="auto" w:fill="auto"/>
                  <w:noWrap w:val="0"/>
                  <w:vAlign w:val="center"/>
                </w:tcPr>
                <w:p w14:paraId="5B2960A7">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pacing w:val="0"/>
                      <w:kern w:val="0"/>
                      <w:sz w:val="21"/>
                      <w:szCs w:val="21"/>
                      <w:lang w:val="en-US" w:eastAsia="zh-CN" w:bidi="ar-SA"/>
                    </w:rPr>
                  </w:pPr>
                  <w:r>
                    <w:rPr>
                      <w:rFonts w:hint="default" w:cs="Times New Roman"/>
                      <w:color w:val="auto"/>
                      <w:sz w:val="18"/>
                      <w:szCs w:val="18"/>
                    </w:rPr>
                    <w:t>/</w:t>
                  </w:r>
                </w:p>
              </w:tc>
            </w:tr>
            <w:tr w14:paraId="0417417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420" w:hRule="atLeast"/>
              </w:trPr>
              <w:tc>
                <w:tcPr>
                  <w:tcW w:w="94" w:type="pct"/>
                  <w:vMerge w:val="continue"/>
                  <w:tcBorders>
                    <w:tl2br w:val="nil"/>
                    <w:tr2bl w:val="nil"/>
                  </w:tcBorders>
                  <w:noWrap w:val="0"/>
                  <w:vAlign w:val="center"/>
                </w:tcPr>
                <w:p w14:paraId="2FE2FFE8">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347" w:type="pct"/>
                  <w:vMerge w:val="continue"/>
                  <w:tcBorders>
                    <w:tl2br w:val="nil"/>
                    <w:tr2bl w:val="nil"/>
                  </w:tcBorders>
                  <w:shd w:val="clear" w:color="auto" w:fill="auto"/>
                  <w:noWrap w:val="0"/>
                  <w:vAlign w:val="center"/>
                </w:tcPr>
                <w:p w14:paraId="5BE67DB1">
                  <w:pPr>
                    <w:pStyle w:val="56"/>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p>
              </w:tc>
              <w:tc>
                <w:tcPr>
                  <w:tcW w:w="245" w:type="pct"/>
                  <w:tcBorders>
                    <w:tl2br w:val="nil"/>
                    <w:tr2bl w:val="nil"/>
                  </w:tcBorders>
                  <w:shd w:val="clear" w:color="auto" w:fill="auto"/>
                  <w:noWrap w:val="0"/>
                  <w:vAlign w:val="center"/>
                </w:tcPr>
                <w:p w14:paraId="2E6894D0">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氟化物</w:t>
                  </w:r>
                </w:p>
              </w:tc>
              <w:tc>
                <w:tcPr>
                  <w:tcW w:w="257" w:type="pct"/>
                  <w:tcBorders>
                    <w:tl2br w:val="nil"/>
                    <w:tr2bl w:val="nil"/>
                  </w:tcBorders>
                  <w:shd w:val="clear" w:color="auto" w:fill="auto"/>
                  <w:noWrap w:val="0"/>
                  <w:vAlign w:val="center"/>
                </w:tcPr>
                <w:p w14:paraId="7FB37F3B">
                  <w:pPr>
                    <w:pStyle w:val="56"/>
                    <w:keepNext w:val="0"/>
                    <w:keepLines w:val="0"/>
                    <w:suppressLineNumbers w:val="0"/>
                    <w:bidi w:val="0"/>
                    <w:spacing w:before="0" w:beforeAutospacing="0" w:after="0" w:afterAutospacing="0"/>
                    <w:ind w:left="0" w:right="0"/>
                    <w:rPr>
                      <w:rFonts w:hint="eastAsia" w:cs="Times New Roman"/>
                      <w:color w:val="auto"/>
                      <w:sz w:val="18"/>
                      <w:szCs w:val="18"/>
                      <w:lang w:val="en-US" w:eastAsia="zh-CN"/>
                    </w:rPr>
                  </w:pPr>
                </w:p>
              </w:tc>
              <w:tc>
                <w:tcPr>
                  <w:tcW w:w="207" w:type="pct"/>
                  <w:tcBorders>
                    <w:tl2br w:val="nil"/>
                    <w:tr2bl w:val="nil"/>
                  </w:tcBorders>
                  <w:shd w:val="clear" w:color="auto" w:fill="auto"/>
                  <w:noWrap w:val="0"/>
                  <w:vAlign w:val="center"/>
                </w:tcPr>
                <w:p w14:paraId="40D4F580">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0.009 </w:t>
                  </w:r>
                </w:p>
              </w:tc>
              <w:tc>
                <w:tcPr>
                  <w:tcW w:w="194" w:type="pct"/>
                  <w:tcBorders>
                    <w:tl2br w:val="nil"/>
                    <w:tr2bl w:val="nil"/>
                  </w:tcBorders>
                  <w:shd w:val="clear" w:color="auto" w:fill="auto"/>
                  <w:noWrap w:val="0"/>
                  <w:vAlign w:val="center"/>
                </w:tcPr>
                <w:p w14:paraId="010DD9CA">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0.063 </w:t>
                  </w:r>
                </w:p>
              </w:tc>
              <w:tc>
                <w:tcPr>
                  <w:tcW w:w="171" w:type="pct"/>
                  <w:tcBorders>
                    <w:tl2br w:val="nil"/>
                    <w:tr2bl w:val="nil"/>
                  </w:tcBorders>
                  <w:shd w:val="clear" w:color="auto" w:fill="auto"/>
                  <w:noWrap w:val="0"/>
                  <w:vAlign w:val="center"/>
                </w:tcPr>
                <w:p w14:paraId="057E9767">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p>
              </w:tc>
              <w:tc>
                <w:tcPr>
                  <w:tcW w:w="185" w:type="pct"/>
                  <w:tcBorders>
                    <w:tl2br w:val="nil"/>
                    <w:tr2bl w:val="nil"/>
                  </w:tcBorders>
                  <w:shd w:val="clear" w:color="auto" w:fill="auto"/>
                  <w:noWrap w:val="0"/>
                  <w:vAlign w:val="center"/>
                </w:tcPr>
                <w:p w14:paraId="7EC769D7">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p>
              </w:tc>
              <w:tc>
                <w:tcPr>
                  <w:tcW w:w="168" w:type="pct"/>
                  <w:vMerge w:val="continue"/>
                  <w:tcBorders>
                    <w:tl2br w:val="nil"/>
                    <w:tr2bl w:val="nil"/>
                  </w:tcBorders>
                  <w:shd w:val="clear" w:color="auto" w:fill="auto"/>
                  <w:noWrap w:val="0"/>
                  <w:vAlign w:val="center"/>
                </w:tcPr>
                <w:p w14:paraId="75D916B6">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p>
              </w:tc>
              <w:tc>
                <w:tcPr>
                  <w:tcW w:w="235" w:type="pct"/>
                  <w:vMerge w:val="continue"/>
                  <w:tcBorders>
                    <w:tl2br w:val="nil"/>
                    <w:tr2bl w:val="nil"/>
                  </w:tcBorders>
                  <w:shd w:val="clear" w:color="auto" w:fill="auto"/>
                  <w:noWrap w:val="0"/>
                  <w:vAlign w:val="center"/>
                </w:tcPr>
                <w:p w14:paraId="4D9629A6">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p>
              </w:tc>
              <w:tc>
                <w:tcPr>
                  <w:tcW w:w="435" w:type="pct"/>
                  <w:vMerge w:val="continue"/>
                  <w:tcBorders>
                    <w:tl2br w:val="nil"/>
                    <w:tr2bl w:val="nil"/>
                  </w:tcBorders>
                  <w:shd w:val="clear" w:color="auto" w:fill="auto"/>
                  <w:noWrap w:val="0"/>
                  <w:vAlign w:val="center"/>
                </w:tcPr>
                <w:p w14:paraId="6E8E0983">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p>
              </w:tc>
              <w:tc>
                <w:tcPr>
                  <w:tcW w:w="263" w:type="pct"/>
                  <w:tcBorders>
                    <w:tl2br w:val="nil"/>
                    <w:tr2bl w:val="nil"/>
                  </w:tcBorders>
                  <w:shd w:val="clear" w:color="auto" w:fill="auto"/>
                  <w:noWrap w:val="0"/>
                  <w:vAlign w:val="center"/>
                </w:tcPr>
                <w:p w14:paraId="09FDF049">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209" w:type="pct"/>
                  <w:tcBorders>
                    <w:tl2br w:val="nil"/>
                    <w:tr2bl w:val="nil"/>
                  </w:tcBorders>
                  <w:shd w:val="clear" w:color="auto" w:fill="auto"/>
                  <w:noWrap w:val="0"/>
                  <w:vAlign w:val="center"/>
                </w:tcPr>
                <w:p w14:paraId="15294A2D">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0.001 </w:t>
                  </w:r>
                </w:p>
              </w:tc>
              <w:tc>
                <w:tcPr>
                  <w:tcW w:w="294" w:type="pct"/>
                  <w:tcBorders>
                    <w:tl2br w:val="nil"/>
                    <w:tr2bl w:val="nil"/>
                  </w:tcBorders>
                  <w:shd w:val="clear" w:color="auto" w:fill="auto"/>
                  <w:noWrap w:val="0"/>
                  <w:vAlign w:val="center"/>
                </w:tcPr>
                <w:p w14:paraId="351235DF">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0.006 </w:t>
                  </w:r>
                </w:p>
              </w:tc>
              <w:tc>
                <w:tcPr>
                  <w:tcW w:w="209" w:type="pct"/>
                  <w:tcBorders>
                    <w:tl2br w:val="nil"/>
                    <w:tr2bl w:val="nil"/>
                  </w:tcBorders>
                  <w:shd w:val="clear" w:color="auto" w:fill="auto"/>
                  <w:noWrap w:val="0"/>
                  <w:vAlign w:val="center"/>
                </w:tcPr>
                <w:p w14:paraId="6A3C0DE4">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rPr>
                  </w:pPr>
                  <w:r>
                    <w:rPr>
                      <w:rFonts w:hint="default" w:cs="Times New Roman"/>
                      <w:color w:val="auto"/>
                      <w:sz w:val="18"/>
                      <w:szCs w:val="18"/>
                    </w:rPr>
                    <w:t>/</w:t>
                  </w:r>
                </w:p>
              </w:tc>
              <w:tc>
                <w:tcPr>
                  <w:tcW w:w="112" w:type="pct"/>
                  <w:tcBorders>
                    <w:tl2br w:val="nil"/>
                    <w:tr2bl w:val="nil"/>
                  </w:tcBorders>
                  <w:shd w:val="clear" w:color="auto" w:fill="auto"/>
                  <w:noWrap w:val="0"/>
                  <w:vAlign w:val="center"/>
                </w:tcPr>
                <w:p w14:paraId="76A5F8AE">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rPr>
                  </w:pPr>
                  <w:r>
                    <w:rPr>
                      <w:rFonts w:hint="default" w:cs="Times New Roman"/>
                      <w:color w:val="auto"/>
                      <w:sz w:val="18"/>
                      <w:szCs w:val="18"/>
                    </w:rPr>
                    <w:t>/</w:t>
                  </w:r>
                </w:p>
              </w:tc>
              <w:tc>
                <w:tcPr>
                  <w:tcW w:w="155" w:type="pct"/>
                  <w:tcBorders>
                    <w:tl2br w:val="nil"/>
                    <w:tr2bl w:val="nil"/>
                  </w:tcBorders>
                  <w:shd w:val="clear" w:color="auto" w:fill="auto"/>
                  <w:noWrap w:val="0"/>
                  <w:vAlign w:val="center"/>
                </w:tcPr>
                <w:p w14:paraId="1372C465">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rPr>
                  </w:pPr>
                  <w:r>
                    <w:rPr>
                      <w:rFonts w:hint="default" w:cs="Times New Roman"/>
                      <w:color w:val="auto"/>
                      <w:sz w:val="18"/>
                      <w:szCs w:val="18"/>
                    </w:rPr>
                    <w:t>/</w:t>
                  </w:r>
                </w:p>
              </w:tc>
              <w:tc>
                <w:tcPr>
                  <w:tcW w:w="164" w:type="pct"/>
                  <w:tcBorders>
                    <w:tl2br w:val="nil"/>
                    <w:tr2bl w:val="nil"/>
                  </w:tcBorders>
                  <w:shd w:val="clear" w:color="auto" w:fill="auto"/>
                  <w:noWrap w:val="0"/>
                  <w:vAlign w:val="center"/>
                </w:tcPr>
                <w:p w14:paraId="4198C412">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25</w:t>
                  </w:r>
                </w:p>
              </w:tc>
              <w:tc>
                <w:tcPr>
                  <w:tcW w:w="187" w:type="pct"/>
                  <w:tcBorders>
                    <w:tl2br w:val="nil"/>
                    <w:tr2bl w:val="nil"/>
                  </w:tcBorders>
                  <w:shd w:val="clear" w:color="auto" w:fill="auto"/>
                  <w:noWrap w:val="0"/>
                  <w:vAlign w:val="center"/>
                </w:tcPr>
                <w:p w14:paraId="0A67AFC6">
                  <w:pPr>
                    <w:pStyle w:val="56"/>
                    <w:keepNext w:val="0"/>
                    <w:keepLines w:val="0"/>
                    <w:suppressLineNumbers w:val="0"/>
                    <w:bidi w:val="0"/>
                    <w:spacing w:before="0" w:beforeAutospacing="0" w:after="0" w:afterAutospacing="0"/>
                    <w:ind w:left="0" w:leftChars="0" w:right="0" w:rightChars="0" w:firstLine="0" w:firstLineChars="0"/>
                    <w:rPr>
                      <w:rFonts w:hint="eastAsia" w:eastAsia="宋体" w:cs="Times New Roman"/>
                      <w:color w:val="auto"/>
                      <w:sz w:val="18"/>
                      <w:szCs w:val="18"/>
                      <w:lang w:val="en-US" w:eastAsia="zh-CN"/>
                    </w:rPr>
                  </w:pPr>
                  <w:r>
                    <w:rPr>
                      <w:rFonts w:hint="eastAsia" w:cs="Times New Roman"/>
                      <w:color w:val="auto"/>
                      <w:sz w:val="18"/>
                      <w:szCs w:val="18"/>
                      <w:lang w:val="en-US" w:eastAsia="zh-CN"/>
                    </w:rPr>
                    <w:t>/</w:t>
                  </w:r>
                </w:p>
              </w:tc>
              <w:tc>
                <w:tcPr>
                  <w:tcW w:w="490" w:type="pct"/>
                  <w:tcBorders>
                    <w:tl2br w:val="nil"/>
                    <w:tr2bl w:val="nil"/>
                  </w:tcBorders>
                  <w:shd w:val="clear" w:color="auto" w:fill="auto"/>
                  <w:noWrap w:val="0"/>
                  <w:vAlign w:val="center"/>
                </w:tcPr>
                <w:p w14:paraId="1449716C">
                  <w:pPr>
                    <w:pStyle w:val="56"/>
                    <w:keepNext w:val="0"/>
                    <w:keepLines w:val="0"/>
                    <w:suppressLineNumbers w:val="0"/>
                    <w:bidi w:val="0"/>
                    <w:spacing w:before="0" w:beforeAutospacing="0" w:after="0" w:afterAutospacing="0"/>
                    <w:ind w:left="0" w:leftChars="0" w:right="0" w:rightChars="0" w:firstLine="0" w:firstLineChars="0"/>
                    <w:rPr>
                      <w:rFonts w:hint="eastAsia" w:eastAsia="宋体" w:cs="Times New Roman"/>
                      <w:color w:val="auto"/>
                      <w:sz w:val="18"/>
                      <w:szCs w:val="18"/>
                      <w:lang w:val="en-US" w:eastAsia="zh-CN"/>
                    </w:rPr>
                  </w:pPr>
                  <w:r>
                    <w:rPr>
                      <w:rFonts w:hint="eastAsia" w:cs="Times New Roman"/>
                      <w:color w:val="auto"/>
                      <w:sz w:val="18"/>
                      <w:szCs w:val="18"/>
                      <w:lang w:val="en-US" w:eastAsia="zh-CN"/>
                    </w:rPr>
                    <w:t>/</w:t>
                  </w:r>
                </w:p>
              </w:tc>
              <w:tc>
                <w:tcPr>
                  <w:tcW w:w="238" w:type="pct"/>
                  <w:tcBorders>
                    <w:tl2br w:val="nil"/>
                    <w:tr2bl w:val="nil"/>
                  </w:tcBorders>
                  <w:shd w:val="clear" w:color="auto" w:fill="auto"/>
                  <w:noWrap w:val="0"/>
                  <w:vAlign w:val="center"/>
                </w:tcPr>
                <w:p w14:paraId="0018A8A5">
                  <w:pPr>
                    <w:pStyle w:val="56"/>
                    <w:keepNext w:val="0"/>
                    <w:keepLines w:val="0"/>
                    <w:suppressLineNumbers w:val="0"/>
                    <w:bidi w:val="0"/>
                    <w:spacing w:before="0" w:beforeAutospacing="0" w:after="0" w:afterAutospacing="0"/>
                    <w:ind w:left="0" w:leftChars="0" w:right="0" w:rightChars="0" w:firstLine="0" w:firstLineChars="0"/>
                    <w:rPr>
                      <w:rFonts w:hint="eastAsia" w:eastAsia="宋体" w:cs="Times New Roman"/>
                      <w:color w:val="auto"/>
                      <w:sz w:val="18"/>
                      <w:szCs w:val="18"/>
                      <w:lang w:val="en-US" w:eastAsia="zh-CN"/>
                    </w:rPr>
                  </w:pPr>
                  <w:r>
                    <w:rPr>
                      <w:rFonts w:hint="eastAsia" w:cs="Times New Roman"/>
                      <w:color w:val="auto"/>
                      <w:sz w:val="18"/>
                      <w:szCs w:val="18"/>
                      <w:lang w:val="en-US" w:eastAsia="zh-CN"/>
                    </w:rPr>
                    <w:t>/</w:t>
                  </w:r>
                </w:p>
              </w:tc>
              <w:tc>
                <w:tcPr>
                  <w:tcW w:w="133" w:type="pct"/>
                  <w:tcBorders>
                    <w:tl2br w:val="nil"/>
                    <w:tr2bl w:val="nil"/>
                  </w:tcBorders>
                  <w:shd w:val="clear" w:color="auto" w:fill="auto"/>
                  <w:noWrap w:val="0"/>
                  <w:vAlign w:val="center"/>
                </w:tcPr>
                <w:p w14:paraId="240C21D9">
                  <w:pPr>
                    <w:pStyle w:val="56"/>
                    <w:keepNext w:val="0"/>
                    <w:keepLines w:val="0"/>
                    <w:suppressLineNumbers w:val="0"/>
                    <w:bidi w:val="0"/>
                    <w:spacing w:before="0" w:beforeAutospacing="0" w:after="0" w:afterAutospacing="0"/>
                    <w:ind w:left="0" w:leftChars="0" w:right="0" w:rightChars="0" w:firstLine="0" w:firstLineChars="0"/>
                    <w:rPr>
                      <w:rFonts w:hint="eastAsia" w:eastAsia="宋体" w:cs="Times New Roman"/>
                      <w:color w:val="auto"/>
                      <w:sz w:val="18"/>
                      <w:szCs w:val="18"/>
                      <w:lang w:val="en-US" w:eastAsia="zh-CN"/>
                    </w:rPr>
                  </w:pPr>
                  <w:r>
                    <w:rPr>
                      <w:rFonts w:hint="eastAsia" w:cs="Times New Roman"/>
                      <w:color w:val="auto"/>
                      <w:sz w:val="18"/>
                      <w:szCs w:val="18"/>
                      <w:lang w:val="en-US" w:eastAsia="zh-CN"/>
                    </w:rPr>
                    <w:t>/</w:t>
                  </w:r>
                </w:p>
              </w:tc>
            </w:tr>
            <w:tr w14:paraId="50C40DB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420" w:hRule="atLeast"/>
              </w:trPr>
              <w:tc>
                <w:tcPr>
                  <w:tcW w:w="94" w:type="pct"/>
                  <w:vMerge w:val="continue"/>
                  <w:tcBorders>
                    <w:tl2br w:val="nil"/>
                    <w:tr2bl w:val="nil"/>
                  </w:tcBorders>
                  <w:noWrap w:val="0"/>
                  <w:vAlign w:val="center"/>
                </w:tcPr>
                <w:p w14:paraId="35951431">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347" w:type="pct"/>
                  <w:tcBorders>
                    <w:tl2br w:val="nil"/>
                    <w:tr2bl w:val="nil"/>
                  </w:tcBorders>
                  <w:shd w:val="clear" w:color="auto" w:fill="auto"/>
                  <w:noWrap w:val="0"/>
                  <w:vAlign w:val="center"/>
                </w:tcPr>
                <w:p w14:paraId="4568245A">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投料废气</w:t>
                  </w:r>
                </w:p>
              </w:tc>
              <w:tc>
                <w:tcPr>
                  <w:tcW w:w="245" w:type="pct"/>
                  <w:tcBorders>
                    <w:tl2br w:val="nil"/>
                    <w:tr2bl w:val="nil"/>
                  </w:tcBorders>
                  <w:shd w:val="clear" w:color="auto" w:fill="auto"/>
                  <w:noWrap w:val="0"/>
                  <w:vAlign w:val="center"/>
                </w:tcPr>
                <w:p w14:paraId="3023FCB1">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颗粒物</w:t>
                  </w:r>
                </w:p>
              </w:tc>
              <w:tc>
                <w:tcPr>
                  <w:tcW w:w="257" w:type="pct"/>
                  <w:tcBorders>
                    <w:tl2br w:val="nil"/>
                    <w:tr2bl w:val="nil"/>
                  </w:tcBorders>
                  <w:shd w:val="clear" w:color="auto" w:fill="auto"/>
                  <w:noWrap w:val="0"/>
                  <w:vAlign w:val="center"/>
                </w:tcPr>
                <w:p w14:paraId="0D01AF80">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w:t>
                  </w:r>
                </w:p>
              </w:tc>
              <w:tc>
                <w:tcPr>
                  <w:tcW w:w="207" w:type="pct"/>
                  <w:tcBorders>
                    <w:tl2br w:val="nil"/>
                    <w:tr2bl w:val="nil"/>
                  </w:tcBorders>
                  <w:shd w:val="clear" w:color="auto" w:fill="auto"/>
                  <w:noWrap w:val="0"/>
                  <w:vAlign w:val="center"/>
                </w:tcPr>
                <w:p w14:paraId="46D38252">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0.152 </w:t>
                  </w:r>
                </w:p>
              </w:tc>
              <w:tc>
                <w:tcPr>
                  <w:tcW w:w="194" w:type="pct"/>
                  <w:tcBorders>
                    <w:tl2br w:val="nil"/>
                    <w:tr2bl w:val="nil"/>
                  </w:tcBorders>
                  <w:shd w:val="clear" w:color="auto" w:fill="auto"/>
                  <w:noWrap w:val="0"/>
                  <w:vAlign w:val="center"/>
                </w:tcPr>
                <w:p w14:paraId="61EC5E21">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1.092 </w:t>
                  </w:r>
                </w:p>
              </w:tc>
              <w:tc>
                <w:tcPr>
                  <w:tcW w:w="171" w:type="pct"/>
                  <w:tcBorders>
                    <w:tl2br w:val="nil"/>
                    <w:tr2bl w:val="nil"/>
                  </w:tcBorders>
                  <w:shd w:val="clear" w:color="auto" w:fill="auto"/>
                  <w:noWrap w:val="0"/>
                  <w:vAlign w:val="center"/>
                </w:tcPr>
                <w:p w14:paraId="0FDE1576">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185" w:type="pct"/>
                  <w:tcBorders>
                    <w:tl2br w:val="nil"/>
                    <w:tr2bl w:val="nil"/>
                  </w:tcBorders>
                  <w:shd w:val="clear" w:color="auto" w:fill="auto"/>
                  <w:noWrap w:val="0"/>
                  <w:vAlign w:val="center"/>
                </w:tcPr>
                <w:p w14:paraId="7A8DE600">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168" w:type="pct"/>
                  <w:tcBorders>
                    <w:tl2br w:val="nil"/>
                    <w:tr2bl w:val="nil"/>
                  </w:tcBorders>
                  <w:shd w:val="clear" w:color="auto" w:fill="auto"/>
                  <w:noWrap w:val="0"/>
                  <w:vAlign w:val="center"/>
                </w:tcPr>
                <w:p w14:paraId="5B2A4717">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90</w:t>
                  </w:r>
                </w:p>
              </w:tc>
              <w:tc>
                <w:tcPr>
                  <w:tcW w:w="235" w:type="pct"/>
                  <w:tcBorders>
                    <w:tl2br w:val="nil"/>
                    <w:tr2bl w:val="nil"/>
                  </w:tcBorders>
                  <w:shd w:val="clear" w:color="auto" w:fill="auto"/>
                  <w:noWrap w:val="0"/>
                  <w:vAlign w:val="center"/>
                </w:tcPr>
                <w:p w14:paraId="300A7D35">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是</w:t>
                  </w:r>
                </w:p>
              </w:tc>
              <w:tc>
                <w:tcPr>
                  <w:tcW w:w="435" w:type="pct"/>
                  <w:tcBorders>
                    <w:tl2br w:val="nil"/>
                    <w:tr2bl w:val="nil"/>
                  </w:tcBorders>
                  <w:shd w:val="clear" w:color="auto" w:fill="auto"/>
                  <w:noWrap w:val="0"/>
                  <w:vAlign w:val="center"/>
                </w:tcPr>
                <w:p w14:paraId="72326099">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厂区洒水、清扫</w:t>
                  </w:r>
                </w:p>
              </w:tc>
              <w:tc>
                <w:tcPr>
                  <w:tcW w:w="263" w:type="pct"/>
                  <w:tcBorders>
                    <w:tl2br w:val="nil"/>
                    <w:tr2bl w:val="nil"/>
                  </w:tcBorders>
                  <w:shd w:val="clear" w:color="auto" w:fill="auto"/>
                  <w:noWrap w:val="0"/>
                  <w:vAlign w:val="center"/>
                </w:tcPr>
                <w:p w14:paraId="03AB23B7">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209" w:type="pct"/>
                  <w:tcBorders>
                    <w:tl2br w:val="nil"/>
                    <w:tr2bl w:val="nil"/>
                  </w:tcBorders>
                  <w:shd w:val="clear" w:color="auto" w:fill="auto"/>
                  <w:noWrap w:val="0"/>
                  <w:vAlign w:val="center"/>
                </w:tcPr>
                <w:p w14:paraId="16C5FE2E">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0.016 </w:t>
                  </w:r>
                </w:p>
              </w:tc>
              <w:tc>
                <w:tcPr>
                  <w:tcW w:w="294" w:type="pct"/>
                  <w:tcBorders>
                    <w:tl2br w:val="nil"/>
                    <w:tr2bl w:val="nil"/>
                  </w:tcBorders>
                  <w:shd w:val="clear" w:color="auto" w:fill="auto"/>
                  <w:noWrap w:val="0"/>
                  <w:vAlign w:val="center"/>
                </w:tcPr>
                <w:p w14:paraId="5A27C0D7">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0.114 </w:t>
                  </w:r>
                </w:p>
              </w:tc>
              <w:tc>
                <w:tcPr>
                  <w:tcW w:w="209" w:type="pct"/>
                  <w:tcBorders>
                    <w:tl2br w:val="nil"/>
                    <w:tr2bl w:val="nil"/>
                  </w:tcBorders>
                  <w:shd w:val="clear" w:color="auto" w:fill="auto"/>
                  <w:noWrap w:val="0"/>
                  <w:vAlign w:val="center"/>
                </w:tcPr>
                <w:p w14:paraId="1C20D0EE">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cs="Times New Roman"/>
                      <w:color w:val="auto"/>
                      <w:sz w:val="18"/>
                      <w:szCs w:val="18"/>
                    </w:rPr>
                    <w:t>/</w:t>
                  </w:r>
                </w:p>
              </w:tc>
              <w:tc>
                <w:tcPr>
                  <w:tcW w:w="112" w:type="pct"/>
                  <w:tcBorders>
                    <w:tl2br w:val="nil"/>
                    <w:tr2bl w:val="nil"/>
                  </w:tcBorders>
                  <w:shd w:val="clear" w:color="auto" w:fill="auto"/>
                  <w:noWrap w:val="0"/>
                  <w:vAlign w:val="center"/>
                </w:tcPr>
                <w:p w14:paraId="34374656">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rPr>
                  </w:pPr>
                  <w:r>
                    <w:rPr>
                      <w:rFonts w:hint="default" w:cs="Times New Roman"/>
                      <w:color w:val="auto"/>
                      <w:sz w:val="18"/>
                      <w:szCs w:val="18"/>
                    </w:rPr>
                    <w:t>/</w:t>
                  </w:r>
                </w:p>
              </w:tc>
              <w:tc>
                <w:tcPr>
                  <w:tcW w:w="155" w:type="pct"/>
                  <w:tcBorders>
                    <w:tl2br w:val="nil"/>
                    <w:tr2bl w:val="nil"/>
                  </w:tcBorders>
                  <w:shd w:val="clear" w:color="auto" w:fill="auto"/>
                  <w:noWrap w:val="0"/>
                  <w:vAlign w:val="center"/>
                </w:tcPr>
                <w:p w14:paraId="5D56DA47">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rPr>
                  </w:pPr>
                  <w:r>
                    <w:rPr>
                      <w:rFonts w:hint="default" w:cs="Times New Roman"/>
                      <w:color w:val="auto"/>
                      <w:sz w:val="18"/>
                      <w:szCs w:val="18"/>
                    </w:rPr>
                    <w:t>/</w:t>
                  </w:r>
                </w:p>
              </w:tc>
              <w:tc>
                <w:tcPr>
                  <w:tcW w:w="164" w:type="pct"/>
                  <w:tcBorders>
                    <w:tl2br w:val="nil"/>
                    <w:tr2bl w:val="nil"/>
                  </w:tcBorders>
                  <w:shd w:val="clear" w:color="auto" w:fill="auto"/>
                  <w:noWrap w:val="0"/>
                  <w:vAlign w:val="center"/>
                </w:tcPr>
                <w:p w14:paraId="4658D492">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25</w:t>
                  </w:r>
                </w:p>
              </w:tc>
              <w:tc>
                <w:tcPr>
                  <w:tcW w:w="187" w:type="pct"/>
                  <w:tcBorders>
                    <w:tl2br w:val="nil"/>
                    <w:tr2bl w:val="nil"/>
                  </w:tcBorders>
                  <w:shd w:val="clear" w:color="auto" w:fill="auto"/>
                  <w:noWrap w:val="0"/>
                  <w:vAlign w:val="center"/>
                </w:tcPr>
                <w:p w14:paraId="649C7BE5">
                  <w:pPr>
                    <w:pStyle w:val="56"/>
                    <w:keepNext w:val="0"/>
                    <w:keepLines w:val="0"/>
                    <w:suppressLineNumbers w:val="0"/>
                    <w:bidi w:val="0"/>
                    <w:spacing w:before="0" w:beforeAutospacing="0" w:after="0" w:afterAutospacing="0"/>
                    <w:ind w:left="0" w:leftChars="0" w:right="0" w:rightChars="0" w:firstLine="0" w:firstLineChars="0"/>
                    <w:rPr>
                      <w:rFonts w:hint="eastAsia" w:eastAsia="宋体" w:cs="Times New Roman"/>
                      <w:color w:val="auto"/>
                      <w:sz w:val="18"/>
                      <w:szCs w:val="18"/>
                      <w:lang w:val="en-US" w:eastAsia="zh-CN"/>
                    </w:rPr>
                  </w:pPr>
                  <w:r>
                    <w:rPr>
                      <w:rFonts w:hint="eastAsia" w:cs="Times New Roman"/>
                      <w:color w:val="auto"/>
                      <w:sz w:val="18"/>
                      <w:szCs w:val="18"/>
                      <w:lang w:val="en-US" w:eastAsia="zh-CN"/>
                    </w:rPr>
                    <w:t>/</w:t>
                  </w:r>
                </w:p>
              </w:tc>
              <w:tc>
                <w:tcPr>
                  <w:tcW w:w="490" w:type="pct"/>
                  <w:tcBorders>
                    <w:tl2br w:val="nil"/>
                    <w:tr2bl w:val="nil"/>
                  </w:tcBorders>
                  <w:shd w:val="clear" w:color="auto" w:fill="auto"/>
                  <w:noWrap w:val="0"/>
                  <w:vAlign w:val="center"/>
                </w:tcPr>
                <w:p w14:paraId="5897FCE5">
                  <w:pPr>
                    <w:pStyle w:val="56"/>
                    <w:keepNext w:val="0"/>
                    <w:keepLines w:val="0"/>
                    <w:suppressLineNumbers w:val="0"/>
                    <w:bidi w:val="0"/>
                    <w:spacing w:before="0" w:beforeAutospacing="0" w:after="0" w:afterAutospacing="0"/>
                    <w:ind w:left="0" w:leftChars="0" w:right="0" w:rightChars="0" w:firstLine="0" w:firstLineChars="0"/>
                    <w:rPr>
                      <w:rFonts w:hint="eastAsia" w:eastAsia="宋体" w:cs="Times New Roman"/>
                      <w:color w:val="auto"/>
                      <w:sz w:val="18"/>
                      <w:szCs w:val="18"/>
                      <w:lang w:val="en-US" w:eastAsia="zh-CN"/>
                    </w:rPr>
                  </w:pPr>
                  <w:r>
                    <w:rPr>
                      <w:rFonts w:hint="eastAsia" w:cs="Times New Roman"/>
                      <w:color w:val="auto"/>
                      <w:sz w:val="18"/>
                      <w:szCs w:val="18"/>
                      <w:lang w:val="en-US" w:eastAsia="zh-CN"/>
                    </w:rPr>
                    <w:t>/</w:t>
                  </w:r>
                </w:p>
              </w:tc>
              <w:tc>
                <w:tcPr>
                  <w:tcW w:w="238" w:type="pct"/>
                  <w:tcBorders>
                    <w:tl2br w:val="nil"/>
                    <w:tr2bl w:val="nil"/>
                  </w:tcBorders>
                  <w:shd w:val="clear" w:color="auto" w:fill="auto"/>
                  <w:noWrap w:val="0"/>
                  <w:vAlign w:val="center"/>
                </w:tcPr>
                <w:p w14:paraId="36ADE827">
                  <w:pPr>
                    <w:pStyle w:val="56"/>
                    <w:keepNext w:val="0"/>
                    <w:keepLines w:val="0"/>
                    <w:suppressLineNumbers w:val="0"/>
                    <w:bidi w:val="0"/>
                    <w:spacing w:before="0" w:beforeAutospacing="0" w:after="0" w:afterAutospacing="0"/>
                    <w:ind w:left="0" w:leftChars="0" w:right="0" w:rightChars="0" w:firstLine="0" w:firstLineChars="0"/>
                    <w:rPr>
                      <w:rFonts w:hint="eastAsia" w:eastAsia="宋体" w:cs="Times New Roman"/>
                      <w:color w:val="auto"/>
                      <w:sz w:val="18"/>
                      <w:szCs w:val="18"/>
                      <w:lang w:val="en-US" w:eastAsia="zh-CN"/>
                    </w:rPr>
                  </w:pPr>
                  <w:r>
                    <w:rPr>
                      <w:rFonts w:hint="eastAsia" w:cs="Times New Roman"/>
                      <w:color w:val="auto"/>
                      <w:sz w:val="18"/>
                      <w:szCs w:val="18"/>
                      <w:lang w:val="en-US" w:eastAsia="zh-CN"/>
                    </w:rPr>
                    <w:t>/</w:t>
                  </w:r>
                </w:p>
              </w:tc>
              <w:tc>
                <w:tcPr>
                  <w:tcW w:w="133" w:type="pct"/>
                  <w:tcBorders>
                    <w:tl2br w:val="nil"/>
                    <w:tr2bl w:val="nil"/>
                  </w:tcBorders>
                  <w:shd w:val="clear" w:color="auto" w:fill="auto"/>
                  <w:noWrap w:val="0"/>
                  <w:vAlign w:val="center"/>
                </w:tcPr>
                <w:p w14:paraId="56FB4F22">
                  <w:pPr>
                    <w:pStyle w:val="56"/>
                    <w:keepNext w:val="0"/>
                    <w:keepLines w:val="0"/>
                    <w:suppressLineNumbers w:val="0"/>
                    <w:bidi w:val="0"/>
                    <w:spacing w:before="0" w:beforeAutospacing="0" w:after="0" w:afterAutospacing="0"/>
                    <w:ind w:left="0" w:leftChars="0" w:right="0" w:rightChars="0" w:firstLine="0" w:firstLineChars="0"/>
                    <w:rPr>
                      <w:rFonts w:hint="eastAsia" w:eastAsia="宋体" w:cs="Times New Roman"/>
                      <w:color w:val="auto"/>
                      <w:sz w:val="18"/>
                      <w:szCs w:val="18"/>
                      <w:lang w:val="en-US" w:eastAsia="zh-CN"/>
                    </w:rPr>
                  </w:pPr>
                  <w:r>
                    <w:rPr>
                      <w:rFonts w:hint="eastAsia" w:cs="Times New Roman"/>
                      <w:color w:val="auto"/>
                      <w:sz w:val="18"/>
                      <w:szCs w:val="18"/>
                      <w:lang w:val="en-US" w:eastAsia="zh-CN"/>
                    </w:rPr>
                    <w:t>/</w:t>
                  </w:r>
                </w:p>
              </w:tc>
            </w:tr>
            <w:tr w14:paraId="5CF9E45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662" w:hRule="atLeast"/>
              </w:trPr>
              <w:tc>
                <w:tcPr>
                  <w:tcW w:w="94" w:type="pct"/>
                  <w:vMerge w:val="continue"/>
                  <w:tcBorders>
                    <w:tl2br w:val="nil"/>
                    <w:tr2bl w:val="nil"/>
                  </w:tcBorders>
                  <w:noWrap w:val="0"/>
                  <w:vAlign w:val="center"/>
                </w:tcPr>
                <w:p w14:paraId="6BF4AFD7">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347" w:type="pct"/>
                  <w:vMerge w:val="restart"/>
                  <w:tcBorders>
                    <w:tl2br w:val="nil"/>
                    <w:tr2bl w:val="nil"/>
                  </w:tcBorders>
                  <w:shd w:val="clear" w:color="auto" w:fill="auto"/>
                  <w:noWrap w:val="0"/>
                  <w:vAlign w:val="center"/>
                </w:tcPr>
                <w:p w14:paraId="07679F8D">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搅拌</w:t>
                  </w:r>
                  <w:r>
                    <w:rPr>
                      <w:rFonts w:hint="eastAsia" w:cs="Times New Roman"/>
                      <w:color w:val="auto"/>
                      <w:sz w:val="18"/>
                      <w:szCs w:val="18"/>
                      <w:lang w:val="en-US" w:eastAsia="zh-CN"/>
                    </w:rPr>
                    <w:t>废气</w:t>
                  </w:r>
                </w:p>
              </w:tc>
              <w:tc>
                <w:tcPr>
                  <w:tcW w:w="245" w:type="pct"/>
                  <w:tcBorders>
                    <w:tl2br w:val="nil"/>
                    <w:tr2bl w:val="nil"/>
                  </w:tcBorders>
                  <w:shd w:val="clear" w:color="auto" w:fill="auto"/>
                  <w:noWrap w:val="0"/>
                  <w:vAlign w:val="center"/>
                </w:tcPr>
                <w:p w14:paraId="03AEF0B6">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颗粒物</w:t>
                  </w:r>
                </w:p>
              </w:tc>
              <w:tc>
                <w:tcPr>
                  <w:tcW w:w="257" w:type="pct"/>
                  <w:tcBorders>
                    <w:tl2br w:val="nil"/>
                    <w:tr2bl w:val="nil"/>
                  </w:tcBorders>
                  <w:shd w:val="clear" w:color="auto" w:fill="auto"/>
                  <w:noWrap w:val="0"/>
                  <w:vAlign w:val="center"/>
                </w:tcPr>
                <w:p w14:paraId="1F493B7A">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w:t>
                  </w:r>
                </w:p>
              </w:tc>
              <w:tc>
                <w:tcPr>
                  <w:tcW w:w="207" w:type="pct"/>
                  <w:tcBorders>
                    <w:tl2br w:val="nil"/>
                    <w:tr2bl w:val="nil"/>
                  </w:tcBorders>
                  <w:shd w:val="clear" w:color="auto" w:fill="auto"/>
                  <w:noWrap w:val="0"/>
                  <w:vAlign w:val="center"/>
                </w:tcPr>
                <w:p w14:paraId="31347052">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0.2667 </w:t>
                  </w:r>
                </w:p>
              </w:tc>
              <w:tc>
                <w:tcPr>
                  <w:tcW w:w="194" w:type="pct"/>
                  <w:tcBorders>
                    <w:tl2br w:val="nil"/>
                    <w:tr2bl w:val="nil"/>
                  </w:tcBorders>
                  <w:shd w:val="clear" w:color="auto" w:fill="auto"/>
                  <w:noWrap w:val="0"/>
                  <w:vAlign w:val="center"/>
                </w:tcPr>
                <w:p w14:paraId="62EC979B">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1.9200 </w:t>
                  </w:r>
                </w:p>
              </w:tc>
              <w:tc>
                <w:tcPr>
                  <w:tcW w:w="171" w:type="pct"/>
                  <w:tcBorders>
                    <w:tl2br w:val="nil"/>
                    <w:tr2bl w:val="nil"/>
                  </w:tcBorders>
                  <w:shd w:val="clear" w:color="auto" w:fill="auto"/>
                  <w:noWrap w:val="0"/>
                  <w:vAlign w:val="center"/>
                </w:tcPr>
                <w:p w14:paraId="31C20C11">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185" w:type="pct"/>
                  <w:tcBorders>
                    <w:tl2br w:val="nil"/>
                    <w:tr2bl w:val="nil"/>
                  </w:tcBorders>
                  <w:shd w:val="clear" w:color="auto" w:fill="auto"/>
                  <w:noWrap w:val="0"/>
                  <w:vAlign w:val="center"/>
                </w:tcPr>
                <w:p w14:paraId="2D53F4AD">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168" w:type="pct"/>
                  <w:tcBorders>
                    <w:tl2br w:val="nil"/>
                    <w:tr2bl w:val="nil"/>
                  </w:tcBorders>
                  <w:shd w:val="clear" w:color="auto" w:fill="auto"/>
                  <w:noWrap w:val="0"/>
                  <w:vAlign w:val="center"/>
                </w:tcPr>
                <w:p w14:paraId="41CFDE73">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90</w:t>
                  </w:r>
                </w:p>
              </w:tc>
              <w:tc>
                <w:tcPr>
                  <w:tcW w:w="235" w:type="pct"/>
                  <w:tcBorders>
                    <w:tl2br w:val="nil"/>
                    <w:tr2bl w:val="nil"/>
                  </w:tcBorders>
                  <w:shd w:val="clear" w:color="auto" w:fill="auto"/>
                  <w:noWrap w:val="0"/>
                  <w:vAlign w:val="center"/>
                </w:tcPr>
                <w:p w14:paraId="6DDF9864">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是</w:t>
                  </w:r>
                </w:p>
              </w:tc>
              <w:tc>
                <w:tcPr>
                  <w:tcW w:w="435" w:type="pct"/>
                  <w:tcBorders>
                    <w:tl2br w:val="nil"/>
                    <w:tr2bl w:val="nil"/>
                  </w:tcBorders>
                  <w:shd w:val="clear" w:color="auto" w:fill="auto"/>
                  <w:noWrap w:val="0"/>
                  <w:vAlign w:val="center"/>
                </w:tcPr>
                <w:p w14:paraId="21FFC76C">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厂区洒水、清扫</w:t>
                  </w:r>
                </w:p>
              </w:tc>
              <w:tc>
                <w:tcPr>
                  <w:tcW w:w="263" w:type="pct"/>
                  <w:tcBorders>
                    <w:tl2br w:val="nil"/>
                    <w:tr2bl w:val="nil"/>
                  </w:tcBorders>
                  <w:shd w:val="clear" w:color="auto" w:fill="auto"/>
                  <w:noWrap w:val="0"/>
                  <w:vAlign w:val="center"/>
                </w:tcPr>
                <w:p w14:paraId="379A4316">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209" w:type="pct"/>
                  <w:tcBorders>
                    <w:tl2br w:val="nil"/>
                    <w:tr2bl w:val="nil"/>
                  </w:tcBorders>
                  <w:shd w:val="clear" w:color="auto" w:fill="auto"/>
                  <w:noWrap w:val="0"/>
                  <w:vAlign w:val="center"/>
                </w:tcPr>
                <w:p w14:paraId="314B82F9">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0.0277 </w:t>
                  </w:r>
                </w:p>
              </w:tc>
              <w:tc>
                <w:tcPr>
                  <w:tcW w:w="294" w:type="pct"/>
                  <w:tcBorders>
                    <w:tl2br w:val="nil"/>
                    <w:tr2bl w:val="nil"/>
                  </w:tcBorders>
                  <w:shd w:val="clear" w:color="auto" w:fill="auto"/>
                  <w:noWrap w:val="0"/>
                  <w:vAlign w:val="center"/>
                </w:tcPr>
                <w:p w14:paraId="400A1919">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0.1997 </w:t>
                  </w:r>
                </w:p>
              </w:tc>
              <w:tc>
                <w:tcPr>
                  <w:tcW w:w="209" w:type="pct"/>
                  <w:tcBorders>
                    <w:tl2br w:val="nil"/>
                    <w:tr2bl w:val="nil"/>
                  </w:tcBorders>
                  <w:shd w:val="clear" w:color="auto" w:fill="auto"/>
                  <w:noWrap w:val="0"/>
                  <w:vAlign w:val="center"/>
                </w:tcPr>
                <w:p w14:paraId="23FE8DC6">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cs="Times New Roman"/>
                      <w:color w:val="auto"/>
                      <w:sz w:val="18"/>
                      <w:szCs w:val="18"/>
                    </w:rPr>
                    <w:t>/</w:t>
                  </w:r>
                </w:p>
              </w:tc>
              <w:tc>
                <w:tcPr>
                  <w:tcW w:w="112" w:type="pct"/>
                  <w:tcBorders>
                    <w:tl2br w:val="nil"/>
                    <w:tr2bl w:val="nil"/>
                  </w:tcBorders>
                  <w:shd w:val="clear" w:color="auto" w:fill="auto"/>
                  <w:noWrap w:val="0"/>
                  <w:vAlign w:val="center"/>
                </w:tcPr>
                <w:p w14:paraId="70DE5B02">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cs="Times New Roman"/>
                      <w:color w:val="auto"/>
                      <w:sz w:val="18"/>
                      <w:szCs w:val="18"/>
                    </w:rPr>
                    <w:t>/</w:t>
                  </w:r>
                </w:p>
              </w:tc>
              <w:tc>
                <w:tcPr>
                  <w:tcW w:w="155" w:type="pct"/>
                  <w:tcBorders>
                    <w:tl2br w:val="nil"/>
                    <w:tr2bl w:val="nil"/>
                  </w:tcBorders>
                  <w:shd w:val="clear" w:color="auto" w:fill="auto"/>
                  <w:noWrap w:val="0"/>
                  <w:vAlign w:val="center"/>
                </w:tcPr>
                <w:p w14:paraId="273071BC">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cs="Times New Roman"/>
                      <w:color w:val="auto"/>
                      <w:sz w:val="18"/>
                      <w:szCs w:val="18"/>
                    </w:rPr>
                    <w:t>/</w:t>
                  </w:r>
                </w:p>
              </w:tc>
              <w:tc>
                <w:tcPr>
                  <w:tcW w:w="164" w:type="pct"/>
                  <w:tcBorders>
                    <w:tl2br w:val="nil"/>
                    <w:tr2bl w:val="nil"/>
                  </w:tcBorders>
                  <w:shd w:val="clear" w:color="auto" w:fill="auto"/>
                  <w:noWrap w:val="0"/>
                  <w:vAlign w:val="center"/>
                </w:tcPr>
                <w:p w14:paraId="311AD93D">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25</w:t>
                  </w:r>
                </w:p>
              </w:tc>
              <w:tc>
                <w:tcPr>
                  <w:tcW w:w="187" w:type="pct"/>
                  <w:tcBorders>
                    <w:tl2br w:val="nil"/>
                    <w:tr2bl w:val="nil"/>
                  </w:tcBorders>
                  <w:shd w:val="clear" w:color="auto" w:fill="auto"/>
                  <w:noWrap w:val="0"/>
                  <w:vAlign w:val="center"/>
                </w:tcPr>
                <w:p w14:paraId="12ECA7C6">
                  <w:pPr>
                    <w:pStyle w:val="56"/>
                    <w:keepNext w:val="0"/>
                    <w:keepLines w:val="0"/>
                    <w:suppressLineNumbers w:val="0"/>
                    <w:bidi w:val="0"/>
                    <w:spacing w:before="0" w:beforeAutospacing="0" w:after="0" w:afterAutospacing="0"/>
                    <w:ind w:left="0" w:leftChars="0" w:right="0" w:rightChars="0" w:firstLine="0" w:firstLineChars="0"/>
                    <w:rPr>
                      <w:rFonts w:hint="eastAsia" w:eastAsia="宋体" w:cs="Times New Roman"/>
                      <w:color w:val="auto"/>
                      <w:sz w:val="18"/>
                      <w:szCs w:val="18"/>
                      <w:lang w:val="en-US" w:eastAsia="zh-CN"/>
                    </w:rPr>
                  </w:pPr>
                  <w:r>
                    <w:rPr>
                      <w:rFonts w:hint="eastAsia" w:cs="Times New Roman"/>
                      <w:color w:val="auto"/>
                      <w:sz w:val="18"/>
                      <w:szCs w:val="18"/>
                      <w:lang w:val="en-US" w:eastAsia="zh-CN"/>
                    </w:rPr>
                    <w:t>/</w:t>
                  </w:r>
                </w:p>
              </w:tc>
              <w:tc>
                <w:tcPr>
                  <w:tcW w:w="490" w:type="pct"/>
                  <w:tcBorders>
                    <w:tl2br w:val="nil"/>
                    <w:tr2bl w:val="nil"/>
                  </w:tcBorders>
                  <w:shd w:val="clear" w:color="auto" w:fill="auto"/>
                  <w:noWrap w:val="0"/>
                  <w:vAlign w:val="center"/>
                </w:tcPr>
                <w:p w14:paraId="3807DC7F">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w:t>
                  </w:r>
                </w:p>
              </w:tc>
              <w:tc>
                <w:tcPr>
                  <w:tcW w:w="238" w:type="pct"/>
                  <w:tcBorders>
                    <w:tl2br w:val="nil"/>
                    <w:tr2bl w:val="nil"/>
                  </w:tcBorders>
                  <w:shd w:val="clear" w:color="auto" w:fill="auto"/>
                  <w:noWrap w:val="0"/>
                  <w:vAlign w:val="center"/>
                </w:tcPr>
                <w:p w14:paraId="17E10579">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w:t>
                  </w:r>
                </w:p>
              </w:tc>
              <w:tc>
                <w:tcPr>
                  <w:tcW w:w="133" w:type="pct"/>
                  <w:tcBorders>
                    <w:tl2br w:val="nil"/>
                    <w:tr2bl w:val="nil"/>
                  </w:tcBorders>
                  <w:shd w:val="clear" w:color="auto" w:fill="auto"/>
                  <w:noWrap w:val="0"/>
                  <w:vAlign w:val="center"/>
                </w:tcPr>
                <w:p w14:paraId="4205656B">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w:t>
                  </w:r>
                </w:p>
              </w:tc>
            </w:tr>
            <w:tr w14:paraId="5277BE6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420" w:hRule="atLeast"/>
              </w:trPr>
              <w:tc>
                <w:tcPr>
                  <w:tcW w:w="94" w:type="pct"/>
                  <w:vMerge w:val="continue"/>
                  <w:tcBorders>
                    <w:tl2br w:val="nil"/>
                    <w:tr2bl w:val="nil"/>
                  </w:tcBorders>
                  <w:noWrap w:val="0"/>
                  <w:vAlign w:val="center"/>
                </w:tcPr>
                <w:p w14:paraId="766699A3">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347" w:type="pct"/>
                  <w:vMerge w:val="continue"/>
                  <w:tcBorders>
                    <w:tl2br w:val="nil"/>
                    <w:tr2bl w:val="nil"/>
                  </w:tcBorders>
                  <w:shd w:val="clear" w:color="auto" w:fill="auto"/>
                  <w:noWrap w:val="0"/>
                  <w:vAlign w:val="center"/>
                </w:tcPr>
                <w:p w14:paraId="6019DEF4">
                  <w:pPr>
                    <w:pStyle w:val="56"/>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18"/>
                      <w:szCs w:val="18"/>
                      <w:lang w:val="en-US" w:eastAsia="zh-CN"/>
                    </w:rPr>
                  </w:pPr>
                </w:p>
              </w:tc>
              <w:tc>
                <w:tcPr>
                  <w:tcW w:w="245" w:type="pct"/>
                  <w:tcBorders>
                    <w:tl2br w:val="nil"/>
                    <w:tr2bl w:val="nil"/>
                  </w:tcBorders>
                  <w:shd w:val="clear" w:color="auto" w:fill="auto"/>
                  <w:noWrap w:val="0"/>
                  <w:vAlign w:val="center"/>
                </w:tcPr>
                <w:p w14:paraId="41D21A21">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氟化物</w:t>
                  </w:r>
                </w:p>
              </w:tc>
              <w:tc>
                <w:tcPr>
                  <w:tcW w:w="257" w:type="pct"/>
                  <w:tcBorders>
                    <w:tl2br w:val="nil"/>
                    <w:tr2bl w:val="nil"/>
                  </w:tcBorders>
                  <w:shd w:val="clear" w:color="auto" w:fill="auto"/>
                  <w:noWrap w:val="0"/>
                  <w:vAlign w:val="center"/>
                </w:tcPr>
                <w:p w14:paraId="7236D443">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w:t>
                  </w:r>
                </w:p>
              </w:tc>
              <w:tc>
                <w:tcPr>
                  <w:tcW w:w="207" w:type="pct"/>
                  <w:tcBorders>
                    <w:tl2br w:val="nil"/>
                    <w:tr2bl w:val="nil"/>
                  </w:tcBorders>
                  <w:shd w:val="clear" w:color="auto" w:fill="auto"/>
                  <w:noWrap w:val="0"/>
                  <w:vAlign w:val="center"/>
                </w:tcPr>
                <w:p w14:paraId="262BFF62">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0.002 </w:t>
                  </w:r>
                </w:p>
              </w:tc>
              <w:tc>
                <w:tcPr>
                  <w:tcW w:w="194" w:type="pct"/>
                  <w:tcBorders>
                    <w:tl2br w:val="nil"/>
                    <w:tr2bl w:val="nil"/>
                  </w:tcBorders>
                  <w:shd w:val="clear" w:color="auto" w:fill="auto"/>
                  <w:noWrap w:val="0"/>
                  <w:vAlign w:val="center"/>
                </w:tcPr>
                <w:p w14:paraId="16E28D34">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0.015 </w:t>
                  </w:r>
                </w:p>
              </w:tc>
              <w:tc>
                <w:tcPr>
                  <w:tcW w:w="171" w:type="pct"/>
                  <w:tcBorders>
                    <w:tl2br w:val="nil"/>
                    <w:tr2bl w:val="nil"/>
                  </w:tcBorders>
                  <w:shd w:val="clear" w:color="auto" w:fill="auto"/>
                  <w:noWrap w:val="0"/>
                  <w:vAlign w:val="center"/>
                </w:tcPr>
                <w:p w14:paraId="43E6ECE1">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185" w:type="pct"/>
                  <w:tcBorders>
                    <w:tl2br w:val="nil"/>
                    <w:tr2bl w:val="nil"/>
                  </w:tcBorders>
                  <w:shd w:val="clear" w:color="auto" w:fill="auto"/>
                  <w:noWrap w:val="0"/>
                  <w:vAlign w:val="center"/>
                </w:tcPr>
                <w:p w14:paraId="517487A0">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168" w:type="pct"/>
                  <w:tcBorders>
                    <w:tl2br w:val="nil"/>
                    <w:tr2bl w:val="nil"/>
                  </w:tcBorders>
                  <w:shd w:val="clear" w:color="auto" w:fill="auto"/>
                  <w:noWrap w:val="0"/>
                  <w:vAlign w:val="center"/>
                </w:tcPr>
                <w:p w14:paraId="0FBB9E9F">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90</w:t>
                  </w:r>
                </w:p>
              </w:tc>
              <w:tc>
                <w:tcPr>
                  <w:tcW w:w="235" w:type="pct"/>
                  <w:tcBorders>
                    <w:tl2br w:val="nil"/>
                    <w:tr2bl w:val="nil"/>
                  </w:tcBorders>
                  <w:shd w:val="clear" w:color="auto" w:fill="auto"/>
                  <w:noWrap w:val="0"/>
                  <w:vAlign w:val="center"/>
                </w:tcPr>
                <w:p w14:paraId="0D7EF379">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是</w:t>
                  </w:r>
                </w:p>
              </w:tc>
              <w:tc>
                <w:tcPr>
                  <w:tcW w:w="435" w:type="pct"/>
                  <w:tcBorders>
                    <w:tl2br w:val="nil"/>
                    <w:tr2bl w:val="nil"/>
                  </w:tcBorders>
                  <w:shd w:val="clear" w:color="auto" w:fill="auto"/>
                  <w:noWrap w:val="0"/>
                  <w:vAlign w:val="center"/>
                </w:tcPr>
                <w:p w14:paraId="2FC7B14D">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厂区洒水、清扫</w:t>
                  </w:r>
                </w:p>
              </w:tc>
              <w:tc>
                <w:tcPr>
                  <w:tcW w:w="263" w:type="pct"/>
                  <w:tcBorders>
                    <w:tl2br w:val="nil"/>
                    <w:tr2bl w:val="nil"/>
                  </w:tcBorders>
                  <w:shd w:val="clear" w:color="auto" w:fill="auto"/>
                  <w:noWrap w:val="0"/>
                  <w:vAlign w:val="center"/>
                </w:tcPr>
                <w:p w14:paraId="291357B2">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209" w:type="pct"/>
                  <w:tcBorders>
                    <w:tl2br w:val="nil"/>
                    <w:tr2bl w:val="nil"/>
                  </w:tcBorders>
                  <w:shd w:val="clear" w:color="auto" w:fill="auto"/>
                  <w:noWrap w:val="0"/>
                  <w:vAlign w:val="center"/>
                </w:tcPr>
                <w:p w14:paraId="19F06B83">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0.0002 </w:t>
                  </w:r>
                </w:p>
              </w:tc>
              <w:tc>
                <w:tcPr>
                  <w:tcW w:w="294" w:type="pct"/>
                  <w:tcBorders>
                    <w:tl2br w:val="nil"/>
                    <w:tr2bl w:val="nil"/>
                  </w:tcBorders>
                  <w:shd w:val="clear" w:color="auto" w:fill="auto"/>
                  <w:noWrap w:val="0"/>
                  <w:vAlign w:val="center"/>
                </w:tcPr>
                <w:p w14:paraId="19E99E57">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 xml:space="preserve">0.0016 </w:t>
                  </w:r>
                </w:p>
              </w:tc>
              <w:tc>
                <w:tcPr>
                  <w:tcW w:w="209" w:type="pct"/>
                  <w:tcBorders>
                    <w:tl2br w:val="nil"/>
                    <w:tr2bl w:val="nil"/>
                  </w:tcBorders>
                  <w:shd w:val="clear" w:color="auto" w:fill="auto"/>
                  <w:noWrap w:val="0"/>
                  <w:vAlign w:val="center"/>
                </w:tcPr>
                <w:p w14:paraId="3D05906D">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cs="Times New Roman"/>
                      <w:color w:val="auto"/>
                      <w:sz w:val="18"/>
                      <w:szCs w:val="18"/>
                    </w:rPr>
                    <w:t>/</w:t>
                  </w:r>
                </w:p>
              </w:tc>
              <w:tc>
                <w:tcPr>
                  <w:tcW w:w="112" w:type="pct"/>
                  <w:tcBorders>
                    <w:tl2br w:val="nil"/>
                    <w:tr2bl w:val="nil"/>
                  </w:tcBorders>
                  <w:shd w:val="clear" w:color="auto" w:fill="auto"/>
                  <w:noWrap w:val="0"/>
                  <w:vAlign w:val="center"/>
                </w:tcPr>
                <w:p w14:paraId="5449F905">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cs="Times New Roman"/>
                      <w:color w:val="auto"/>
                      <w:sz w:val="18"/>
                      <w:szCs w:val="18"/>
                    </w:rPr>
                    <w:t>/</w:t>
                  </w:r>
                </w:p>
              </w:tc>
              <w:tc>
                <w:tcPr>
                  <w:tcW w:w="155" w:type="pct"/>
                  <w:tcBorders>
                    <w:tl2br w:val="nil"/>
                    <w:tr2bl w:val="nil"/>
                  </w:tcBorders>
                  <w:shd w:val="clear" w:color="auto" w:fill="auto"/>
                  <w:noWrap w:val="0"/>
                  <w:vAlign w:val="center"/>
                </w:tcPr>
                <w:p w14:paraId="7CA02DA3">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cs="Times New Roman"/>
                      <w:color w:val="auto"/>
                      <w:sz w:val="18"/>
                      <w:szCs w:val="18"/>
                    </w:rPr>
                    <w:t>/</w:t>
                  </w:r>
                </w:p>
              </w:tc>
              <w:tc>
                <w:tcPr>
                  <w:tcW w:w="164" w:type="pct"/>
                  <w:tcBorders>
                    <w:tl2br w:val="nil"/>
                    <w:tr2bl w:val="nil"/>
                  </w:tcBorders>
                  <w:shd w:val="clear" w:color="auto" w:fill="auto"/>
                  <w:noWrap w:val="0"/>
                  <w:vAlign w:val="center"/>
                </w:tcPr>
                <w:p w14:paraId="4722A881">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25</w:t>
                  </w:r>
                </w:p>
              </w:tc>
              <w:tc>
                <w:tcPr>
                  <w:tcW w:w="187" w:type="pct"/>
                  <w:tcBorders>
                    <w:tl2br w:val="nil"/>
                    <w:tr2bl w:val="nil"/>
                  </w:tcBorders>
                  <w:shd w:val="clear" w:color="auto" w:fill="auto"/>
                  <w:noWrap w:val="0"/>
                  <w:vAlign w:val="center"/>
                </w:tcPr>
                <w:p w14:paraId="55F026A4">
                  <w:pPr>
                    <w:pStyle w:val="56"/>
                    <w:keepNext w:val="0"/>
                    <w:keepLines w:val="0"/>
                    <w:suppressLineNumbers w:val="0"/>
                    <w:bidi w:val="0"/>
                    <w:spacing w:before="0" w:beforeAutospacing="0" w:after="0" w:afterAutospacing="0"/>
                    <w:ind w:left="0" w:leftChars="0" w:right="0" w:rightChars="0" w:firstLine="0" w:firstLineChars="0"/>
                    <w:rPr>
                      <w:rFonts w:hint="eastAsia" w:eastAsia="宋体" w:cs="Times New Roman"/>
                      <w:color w:val="auto"/>
                      <w:sz w:val="18"/>
                      <w:szCs w:val="18"/>
                      <w:lang w:val="en-US" w:eastAsia="zh-CN"/>
                    </w:rPr>
                  </w:pPr>
                  <w:r>
                    <w:rPr>
                      <w:rFonts w:hint="eastAsia" w:cs="Times New Roman"/>
                      <w:color w:val="auto"/>
                      <w:sz w:val="18"/>
                      <w:szCs w:val="18"/>
                      <w:lang w:val="en-US" w:eastAsia="zh-CN"/>
                    </w:rPr>
                    <w:t>/</w:t>
                  </w:r>
                </w:p>
              </w:tc>
              <w:tc>
                <w:tcPr>
                  <w:tcW w:w="490" w:type="pct"/>
                  <w:tcBorders>
                    <w:tl2br w:val="nil"/>
                    <w:tr2bl w:val="nil"/>
                  </w:tcBorders>
                  <w:shd w:val="clear" w:color="auto" w:fill="auto"/>
                  <w:noWrap w:val="0"/>
                  <w:vAlign w:val="center"/>
                </w:tcPr>
                <w:p w14:paraId="10547ED7">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w:t>
                  </w:r>
                </w:p>
              </w:tc>
              <w:tc>
                <w:tcPr>
                  <w:tcW w:w="238" w:type="pct"/>
                  <w:tcBorders>
                    <w:tl2br w:val="nil"/>
                    <w:tr2bl w:val="nil"/>
                  </w:tcBorders>
                  <w:shd w:val="clear" w:color="auto" w:fill="auto"/>
                  <w:noWrap w:val="0"/>
                  <w:vAlign w:val="center"/>
                </w:tcPr>
                <w:p w14:paraId="1ED332AE">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w:t>
                  </w:r>
                </w:p>
              </w:tc>
              <w:tc>
                <w:tcPr>
                  <w:tcW w:w="133" w:type="pct"/>
                  <w:tcBorders>
                    <w:tl2br w:val="nil"/>
                    <w:tr2bl w:val="nil"/>
                  </w:tcBorders>
                  <w:shd w:val="clear" w:color="auto" w:fill="auto"/>
                  <w:noWrap w:val="0"/>
                  <w:vAlign w:val="center"/>
                </w:tcPr>
                <w:p w14:paraId="42A68171">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w:t>
                  </w:r>
                </w:p>
              </w:tc>
            </w:tr>
            <w:tr w14:paraId="7BC9AA8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6" w:type="dxa"/>
                  <w:bottom w:w="0" w:type="dxa"/>
                  <w:right w:w="6" w:type="dxa"/>
                </w:tblCellMar>
              </w:tblPrEx>
              <w:trPr>
                <w:cantSplit/>
                <w:trHeight w:val="420" w:hRule="atLeast"/>
              </w:trPr>
              <w:tc>
                <w:tcPr>
                  <w:tcW w:w="94" w:type="pct"/>
                  <w:vMerge w:val="continue"/>
                  <w:tcBorders>
                    <w:tl2br w:val="nil"/>
                    <w:tr2bl w:val="nil"/>
                  </w:tcBorders>
                  <w:noWrap w:val="0"/>
                  <w:vAlign w:val="center"/>
                </w:tcPr>
                <w:p w14:paraId="0E15D40E">
                  <w:pPr>
                    <w:pStyle w:val="56"/>
                    <w:keepNext w:val="0"/>
                    <w:keepLines w:val="0"/>
                    <w:suppressLineNumbers w:val="0"/>
                    <w:bidi w:val="0"/>
                    <w:spacing w:before="0" w:beforeAutospacing="0" w:after="0" w:afterAutospacing="0"/>
                    <w:ind w:left="0" w:right="0"/>
                    <w:rPr>
                      <w:rFonts w:hint="default" w:cs="Times New Roman"/>
                      <w:color w:val="auto"/>
                      <w:sz w:val="18"/>
                      <w:szCs w:val="18"/>
                    </w:rPr>
                  </w:pPr>
                </w:p>
              </w:tc>
              <w:tc>
                <w:tcPr>
                  <w:tcW w:w="347" w:type="pct"/>
                  <w:tcBorders>
                    <w:tl2br w:val="nil"/>
                    <w:tr2bl w:val="nil"/>
                  </w:tcBorders>
                  <w:shd w:val="clear" w:color="auto" w:fill="auto"/>
                  <w:noWrap w:val="0"/>
                  <w:vAlign w:val="center"/>
                </w:tcPr>
                <w:p w14:paraId="3B072E85">
                  <w:pPr>
                    <w:pStyle w:val="56"/>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物料运输储存粉尘</w:t>
                  </w:r>
                </w:p>
              </w:tc>
              <w:tc>
                <w:tcPr>
                  <w:tcW w:w="245" w:type="pct"/>
                  <w:tcBorders>
                    <w:tl2br w:val="nil"/>
                    <w:tr2bl w:val="nil"/>
                  </w:tcBorders>
                  <w:shd w:val="clear" w:color="auto" w:fill="auto"/>
                  <w:noWrap w:val="0"/>
                  <w:vAlign w:val="center"/>
                </w:tcPr>
                <w:p w14:paraId="4D9F1A1B">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lang w:val="en-US" w:eastAsia="zh-CN"/>
                    </w:rPr>
                  </w:pPr>
                  <w:r>
                    <w:rPr>
                      <w:rFonts w:hint="eastAsia" w:cs="Times New Roman"/>
                      <w:color w:val="auto"/>
                      <w:sz w:val="18"/>
                      <w:szCs w:val="18"/>
                      <w:lang w:val="en-US" w:eastAsia="zh-CN"/>
                    </w:rPr>
                    <w:t>颗粒物</w:t>
                  </w:r>
                </w:p>
              </w:tc>
              <w:tc>
                <w:tcPr>
                  <w:tcW w:w="257" w:type="pct"/>
                  <w:tcBorders>
                    <w:tl2br w:val="nil"/>
                    <w:tr2bl w:val="nil"/>
                  </w:tcBorders>
                  <w:shd w:val="clear" w:color="auto" w:fill="auto"/>
                  <w:noWrap w:val="0"/>
                  <w:vAlign w:val="center"/>
                </w:tcPr>
                <w:p w14:paraId="353B6B0E">
                  <w:pPr>
                    <w:pStyle w:val="56"/>
                    <w:keepNext w:val="0"/>
                    <w:keepLines w:val="0"/>
                    <w:suppressLineNumbers w:val="0"/>
                    <w:bidi w:val="0"/>
                    <w:spacing w:before="0" w:beforeAutospacing="0" w:after="0" w:afterAutospacing="0"/>
                    <w:ind w:left="0" w:right="0"/>
                    <w:rPr>
                      <w:rFonts w:hint="default" w:cs="Times New Roman"/>
                      <w:color w:val="auto"/>
                      <w:sz w:val="18"/>
                      <w:szCs w:val="18"/>
                      <w:lang w:val="en-US" w:eastAsia="zh-CN"/>
                    </w:rPr>
                  </w:pPr>
                  <w:r>
                    <w:rPr>
                      <w:rFonts w:hint="eastAsia" w:cs="Times New Roman"/>
                      <w:color w:val="auto"/>
                      <w:sz w:val="18"/>
                      <w:szCs w:val="18"/>
                      <w:lang w:val="en-US" w:eastAsia="zh-CN"/>
                    </w:rPr>
                    <w:t>/</w:t>
                  </w:r>
                </w:p>
              </w:tc>
              <w:tc>
                <w:tcPr>
                  <w:tcW w:w="207" w:type="pct"/>
                  <w:tcBorders>
                    <w:tl2br w:val="nil"/>
                    <w:tr2bl w:val="nil"/>
                  </w:tcBorders>
                  <w:shd w:val="clear" w:color="auto" w:fill="auto"/>
                  <w:noWrap w:val="0"/>
                  <w:vAlign w:val="center"/>
                </w:tcPr>
                <w:p w14:paraId="1C713B2A">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0.251</w:t>
                  </w:r>
                </w:p>
              </w:tc>
              <w:tc>
                <w:tcPr>
                  <w:tcW w:w="194" w:type="pct"/>
                  <w:tcBorders>
                    <w:tl2br w:val="nil"/>
                    <w:tr2bl w:val="nil"/>
                  </w:tcBorders>
                  <w:shd w:val="clear" w:color="auto" w:fill="auto"/>
                  <w:noWrap w:val="0"/>
                  <w:vAlign w:val="center"/>
                </w:tcPr>
                <w:p w14:paraId="1F20ED8F">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11.62</w:t>
                  </w:r>
                </w:p>
              </w:tc>
              <w:tc>
                <w:tcPr>
                  <w:tcW w:w="171" w:type="pct"/>
                  <w:tcBorders>
                    <w:tl2br w:val="nil"/>
                    <w:tr2bl w:val="nil"/>
                  </w:tcBorders>
                  <w:shd w:val="clear" w:color="auto" w:fill="auto"/>
                  <w:noWrap w:val="0"/>
                  <w:vAlign w:val="center"/>
                </w:tcPr>
                <w:p w14:paraId="082EBD5B">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p>
              </w:tc>
              <w:tc>
                <w:tcPr>
                  <w:tcW w:w="185" w:type="pct"/>
                  <w:tcBorders>
                    <w:tl2br w:val="nil"/>
                    <w:tr2bl w:val="nil"/>
                  </w:tcBorders>
                  <w:shd w:val="clear" w:color="auto" w:fill="auto"/>
                  <w:noWrap w:val="0"/>
                  <w:vAlign w:val="center"/>
                </w:tcPr>
                <w:p w14:paraId="23CAAAB2">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p>
              </w:tc>
              <w:tc>
                <w:tcPr>
                  <w:tcW w:w="168" w:type="pct"/>
                  <w:tcBorders>
                    <w:tl2br w:val="nil"/>
                    <w:tr2bl w:val="nil"/>
                  </w:tcBorders>
                  <w:shd w:val="clear" w:color="auto" w:fill="auto"/>
                  <w:noWrap w:val="0"/>
                  <w:vAlign w:val="center"/>
                </w:tcPr>
                <w:p w14:paraId="618F865C">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89.6</w:t>
                  </w:r>
                </w:p>
              </w:tc>
              <w:tc>
                <w:tcPr>
                  <w:tcW w:w="235" w:type="pct"/>
                  <w:tcBorders>
                    <w:tl2br w:val="nil"/>
                    <w:tr2bl w:val="nil"/>
                  </w:tcBorders>
                  <w:shd w:val="clear" w:color="auto" w:fill="auto"/>
                  <w:noWrap w:val="0"/>
                  <w:vAlign w:val="center"/>
                </w:tcPr>
                <w:p w14:paraId="2B28DAD3">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是</w:t>
                  </w:r>
                </w:p>
              </w:tc>
              <w:tc>
                <w:tcPr>
                  <w:tcW w:w="435" w:type="pct"/>
                  <w:tcBorders>
                    <w:tl2br w:val="nil"/>
                    <w:tr2bl w:val="nil"/>
                  </w:tcBorders>
                  <w:shd w:val="clear" w:color="auto" w:fill="auto"/>
                  <w:noWrap w:val="0"/>
                  <w:vAlign w:val="center"/>
                </w:tcPr>
                <w:p w14:paraId="43123D00">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半敞开式厂房，雾炮机洒水降尘</w:t>
                  </w:r>
                </w:p>
              </w:tc>
              <w:tc>
                <w:tcPr>
                  <w:tcW w:w="263" w:type="pct"/>
                  <w:tcBorders>
                    <w:tl2br w:val="nil"/>
                    <w:tr2bl w:val="nil"/>
                  </w:tcBorders>
                  <w:shd w:val="clear" w:color="auto" w:fill="auto"/>
                  <w:noWrap w:val="0"/>
                  <w:vAlign w:val="center"/>
                </w:tcPr>
                <w:p w14:paraId="58C022F0">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18"/>
                      <w:szCs w:val="18"/>
                      <w:lang w:val="en-US" w:eastAsia="zh-CN"/>
                    </w:rPr>
                  </w:pPr>
                </w:p>
              </w:tc>
              <w:tc>
                <w:tcPr>
                  <w:tcW w:w="209" w:type="pct"/>
                  <w:tcBorders>
                    <w:tl2br w:val="nil"/>
                    <w:tr2bl w:val="nil"/>
                  </w:tcBorders>
                  <w:shd w:val="clear" w:color="auto" w:fill="auto"/>
                  <w:noWrap w:val="0"/>
                  <w:vAlign w:val="center"/>
                </w:tcPr>
                <w:p w14:paraId="0E280CB9">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0.251</w:t>
                  </w:r>
                </w:p>
              </w:tc>
              <w:tc>
                <w:tcPr>
                  <w:tcW w:w="294" w:type="pct"/>
                  <w:tcBorders>
                    <w:tl2br w:val="nil"/>
                    <w:tr2bl w:val="nil"/>
                  </w:tcBorders>
                  <w:shd w:val="clear" w:color="auto" w:fill="auto"/>
                  <w:noWrap w:val="0"/>
                  <w:vAlign w:val="center"/>
                </w:tcPr>
                <w:p w14:paraId="4F11391E">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1.2085</w:t>
                  </w:r>
                </w:p>
              </w:tc>
              <w:tc>
                <w:tcPr>
                  <w:tcW w:w="209" w:type="pct"/>
                  <w:tcBorders>
                    <w:tl2br w:val="nil"/>
                    <w:tr2bl w:val="nil"/>
                  </w:tcBorders>
                  <w:shd w:val="clear" w:color="auto" w:fill="auto"/>
                  <w:noWrap w:val="0"/>
                  <w:vAlign w:val="center"/>
                </w:tcPr>
                <w:p w14:paraId="23213EEA">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rPr>
                  </w:pPr>
                </w:p>
              </w:tc>
              <w:tc>
                <w:tcPr>
                  <w:tcW w:w="112" w:type="pct"/>
                  <w:tcBorders>
                    <w:tl2br w:val="nil"/>
                    <w:tr2bl w:val="nil"/>
                  </w:tcBorders>
                  <w:shd w:val="clear" w:color="auto" w:fill="auto"/>
                  <w:noWrap w:val="0"/>
                  <w:vAlign w:val="center"/>
                </w:tcPr>
                <w:p w14:paraId="72F7B12E">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rPr>
                  </w:pPr>
                </w:p>
              </w:tc>
              <w:tc>
                <w:tcPr>
                  <w:tcW w:w="155" w:type="pct"/>
                  <w:tcBorders>
                    <w:tl2br w:val="nil"/>
                    <w:tr2bl w:val="nil"/>
                  </w:tcBorders>
                  <w:shd w:val="clear" w:color="auto" w:fill="auto"/>
                  <w:noWrap w:val="0"/>
                  <w:vAlign w:val="center"/>
                </w:tcPr>
                <w:p w14:paraId="199629AB">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18"/>
                      <w:szCs w:val="18"/>
                    </w:rPr>
                  </w:pPr>
                </w:p>
              </w:tc>
              <w:tc>
                <w:tcPr>
                  <w:tcW w:w="164" w:type="pct"/>
                  <w:tcBorders>
                    <w:tl2br w:val="nil"/>
                    <w:tr2bl w:val="nil"/>
                  </w:tcBorders>
                  <w:shd w:val="clear" w:color="auto" w:fill="auto"/>
                  <w:noWrap w:val="0"/>
                  <w:vAlign w:val="center"/>
                </w:tcPr>
                <w:p w14:paraId="1676266F">
                  <w:pPr>
                    <w:pStyle w:val="56"/>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p>
              </w:tc>
              <w:tc>
                <w:tcPr>
                  <w:tcW w:w="187" w:type="pct"/>
                  <w:tcBorders>
                    <w:tl2br w:val="nil"/>
                    <w:tr2bl w:val="nil"/>
                  </w:tcBorders>
                  <w:shd w:val="clear" w:color="auto" w:fill="auto"/>
                  <w:noWrap w:val="0"/>
                  <w:vAlign w:val="center"/>
                </w:tcPr>
                <w:p w14:paraId="1257F2A5">
                  <w:pPr>
                    <w:pStyle w:val="56"/>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p>
              </w:tc>
              <w:tc>
                <w:tcPr>
                  <w:tcW w:w="490" w:type="pct"/>
                  <w:tcBorders>
                    <w:tl2br w:val="nil"/>
                    <w:tr2bl w:val="nil"/>
                  </w:tcBorders>
                  <w:shd w:val="clear" w:color="auto" w:fill="auto"/>
                  <w:noWrap w:val="0"/>
                  <w:vAlign w:val="center"/>
                </w:tcPr>
                <w:p w14:paraId="6C0D0AE4">
                  <w:pPr>
                    <w:pStyle w:val="56"/>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p>
              </w:tc>
              <w:tc>
                <w:tcPr>
                  <w:tcW w:w="238" w:type="pct"/>
                  <w:tcBorders>
                    <w:tl2br w:val="nil"/>
                    <w:tr2bl w:val="nil"/>
                  </w:tcBorders>
                  <w:shd w:val="clear" w:color="auto" w:fill="auto"/>
                  <w:noWrap w:val="0"/>
                  <w:vAlign w:val="center"/>
                </w:tcPr>
                <w:p w14:paraId="0F6BCE1D">
                  <w:pPr>
                    <w:pStyle w:val="56"/>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p>
              </w:tc>
              <w:tc>
                <w:tcPr>
                  <w:tcW w:w="133" w:type="pct"/>
                  <w:tcBorders>
                    <w:tl2br w:val="nil"/>
                    <w:tr2bl w:val="nil"/>
                  </w:tcBorders>
                  <w:shd w:val="clear" w:color="auto" w:fill="auto"/>
                  <w:noWrap w:val="0"/>
                  <w:vAlign w:val="center"/>
                </w:tcPr>
                <w:p w14:paraId="7DC77CFF">
                  <w:pPr>
                    <w:pStyle w:val="56"/>
                    <w:keepNext w:val="0"/>
                    <w:keepLines w:val="0"/>
                    <w:suppressLineNumbers w:val="0"/>
                    <w:bidi w:val="0"/>
                    <w:spacing w:before="0" w:beforeAutospacing="0" w:after="0" w:afterAutospacing="0"/>
                    <w:ind w:left="0" w:leftChars="0" w:right="0" w:rightChars="0" w:firstLine="0" w:firstLineChars="0"/>
                    <w:rPr>
                      <w:rFonts w:hint="eastAsia" w:cs="Times New Roman"/>
                      <w:color w:val="auto"/>
                      <w:sz w:val="18"/>
                      <w:szCs w:val="18"/>
                      <w:lang w:val="en-US" w:eastAsia="zh-CN"/>
                    </w:rPr>
                  </w:pPr>
                </w:p>
              </w:tc>
            </w:tr>
          </w:tbl>
          <w:p w14:paraId="6529C134">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本项目废物产排参数</w:t>
            </w:r>
          </w:p>
          <w:p w14:paraId="7CF7C706">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项目废气产排参数</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6"/>
              <w:gridCol w:w="3215"/>
              <w:gridCol w:w="2768"/>
              <w:gridCol w:w="3566"/>
              <w:gridCol w:w="2321"/>
            </w:tblGrid>
            <w:tr w14:paraId="2E233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36" w:type="pct"/>
                  <w:vAlign w:val="center"/>
                </w:tcPr>
                <w:p w14:paraId="375689AD">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序号</w:t>
                  </w:r>
                </w:p>
              </w:tc>
              <w:tc>
                <w:tcPr>
                  <w:tcW w:w="1208" w:type="pct"/>
                  <w:vAlign w:val="center"/>
                </w:tcPr>
                <w:p w14:paraId="13C3365F">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产污接点</w:t>
                  </w:r>
                </w:p>
              </w:tc>
              <w:tc>
                <w:tcPr>
                  <w:tcW w:w="1040" w:type="pct"/>
                  <w:vAlign w:val="center"/>
                </w:tcPr>
                <w:p w14:paraId="34D67B01">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污染物名称</w:t>
                  </w:r>
                </w:p>
              </w:tc>
              <w:tc>
                <w:tcPr>
                  <w:tcW w:w="1340" w:type="pct"/>
                  <w:vAlign w:val="center"/>
                </w:tcPr>
                <w:p w14:paraId="7B1CCCA0">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单位</w:t>
                  </w:r>
                </w:p>
              </w:tc>
              <w:tc>
                <w:tcPr>
                  <w:tcW w:w="872" w:type="pct"/>
                  <w:vAlign w:val="center"/>
                </w:tcPr>
                <w:p w14:paraId="74C98ACD">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产污系数</w:t>
                  </w:r>
                </w:p>
              </w:tc>
            </w:tr>
            <w:tr w14:paraId="12337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36" w:type="pct"/>
                  <w:vMerge w:val="restart"/>
                  <w:vAlign w:val="center"/>
                </w:tcPr>
                <w:p w14:paraId="3929F2B9">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1</w:t>
                  </w:r>
                </w:p>
              </w:tc>
              <w:tc>
                <w:tcPr>
                  <w:tcW w:w="1208" w:type="pct"/>
                  <w:vMerge w:val="restart"/>
                  <w:vAlign w:val="center"/>
                </w:tcPr>
                <w:p w14:paraId="293F86E6">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筛选破碎废气</w:t>
                  </w:r>
                </w:p>
              </w:tc>
              <w:tc>
                <w:tcPr>
                  <w:tcW w:w="1040" w:type="pct"/>
                  <w:vAlign w:val="center"/>
                </w:tcPr>
                <w:p w14:paraId="0EA7BAEB">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颗粒物</w:t>
                  </w:r>
                </w:p>
              </w:tc>
              <w:tc>
                <w:tcPr>
                  <w:tcW w:w="1340" w:type="pct"/>
                  <w:vAlign w:val="center"/>
                </w:tcPr>
                <w:p w14:paraId="65CDB7C2">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kg/t（原料）</w:t>
                  </w:r>
                </w:p>
              </w:tc>
              <w:tc>
                <w:tcPr>
                  <w:tcW w:w="872" w:type="pct"/>
                  <w:vAlign w:val="center"/>
                </w:tcPr>
                <w:p w14:paraId="09AE32B9">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0.125</w:t>
                  </w:r>
                </w:p>
              </w:tc>
            </w:tr>
            <w:tr w14:paraId="2A363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36" w:type="pct"/>
                  <w:vMerge w:val="continue"/>
                  <w:vAlign w:val="center"/>
                </w:tcPr>
                <w:p w14:paraId="1D3142FF">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p>
              </w:tc>
              <w:tc>
                <w:tcPr>
                  <w:tcW w:w="1208" w:type="pct"/>
                  <w:vMerge w:val="continue"/>
                  <w:vAlign w:val="center"/>
                </w:tcPr>
                <w:p w14:paraId="0DAAD60A">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p>
              </w:tc>
              <w:tc>
                <w:tcPr>
                  <w:tcW w:w="1040" w:type="pct"/>
                  <w:vAlign w:val="center"/>
                </w:tcPr>
                <w:p w14:paraId="28BECE10">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氟化物</w:t>
                  </w:r>
                </w:p>
              </w:tc>
              <w:tc>
                <w:tcPr>
                  <w:tcW w:w="1340" w:type="pct"/>
                  <w:vAlign w:val="center"/>
                </w:tcPr>
                <w:p w14:paraId="0B84E019">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g/kg（颗粒物）</w:t>
                  </w:r>
                </w:p>
              </w:tc>
              <w:tc>
                <w:tcPr>
                  <w:tcW w:w="872" w:type="pct"/>
                  <w:vAlign w:val="center"/>
                </w:tcPr>
                <w:p w14:paraId="28F41A63">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18</w:t>
                  </w:r>
                </w:p>
              </w:tc>
            </w:tr>
            <w:tr w14:paraId="6C95F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36" w:type="pct"/>
                  <w:vAlign w:val="center"/>
                </w:tcPr>
                <w:p w14:paraId="6362C76E">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2</w:t>
                  </w:r>
                </w:p>
              </w:tc>
              <w:tc>
                <w:tcPr>
                  <w:tcW w:w="1208" w:type="pct"/>
                  <w:vAlign w:val="center"/>
                </w:tcPr>
                <w:p w14:paraId="000158DA">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投料废气</w:t>
                  </w:r>
                </w:p>
              </w:tc>
              <w:tc>
                <w:tcPr>
                  <w:tcW w:w="1040" w:type="pct"/>
                  <w:vAlign w:val="center"/>
                </w:tcPr>
                <w:p w14:paraId="005A0015">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颗粒物</w:t>
                  </w:r>
                </w:p>
              </w:tc>
              <w:tc>
                <w:tcPr>
                  <w:tcW w:w="1340" w:type="pct"/>
                  <w:vAlign w:val="center"/>
                </w:tcPr>
                <w:p w14:paraId="5756C160">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kg/t（原料）</w:t>
                  </w:r>
                </w:p>
              </w:tc>
              <w:tc>
                <w:tcPr>
                  <w:tcW w:w="872" w:type="pct"/>
                  <w:vAlign w:val="center"/>
                </w:tcPr>
                <w:p w14:paraId="357857CC">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0.03</w:t>
                  </w:r>
                </w:p>
              </w:tc>
            </w:tr>
            <w:tr w14:paraId="7B012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36" w:type="pct"/>
                  <w:vAlign w:val="center"/>
                </w:tcPr>
                <w:p w14:paraId="5E7864B2">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3</w:t>
                  </w:r>
                </w:p>
              </w:tc>
              <w:tc>
                <w:tcPr>
                  <w:tcW w:w="1208" w:type="pct"/>
                  <w:vAlign w:val="center"/>
                </w:tcPr>
                <w:p w14:paraId="26CDEE56">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水泥筒库</w:t>
                  </w:r>
                </w:p>
              </w:tc>
              <w:tc>
                <w:tcPr>
                  <w:tcW w:w="1040" w:type="pct"/>
                  <w:vAlign w:val="center"/>
                </w:tcPr>
                <w:p w14:paraId="1424D905">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颗粒物</w:t>
                  </w:r>
                </w:p>
              </w:tc>
              <w:tc>
                <w:tcPr>
                  <w:tcW w:w="1340" w:type="pct"/>
                  <w:vAlign w:val="center"/>
                </w:tcPr>
                <w:p w14:paraId="20479B2D">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kg/t（卸料）</w:t>
                  </w:r>
                </w:p>
              </w:tc>
              <w:tc>
                <w:tcPr>
                  <w:tcW w:w="872" w:type="pct"/>
                  <w:vAlign w:val="center"/>
                </w:tcPr>
                <w:p w14:paraId="522859EF">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0.12</w:t>
                  </w:r>
                </w:p>
              </w:tc>
            </w:tr>
            <w:tr w14:paraId="51338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36" w:type="pct"/>
                  <w:vMerge w:val="restart"/>
                  <w:vAlign w:val="center"/>
                </w:tcPr>
                <w:p w14:paraId="47AA93B1">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4</w:t>
                  </w:r>
                </w:p>
              </w:tc>
              <w:tc>
                <w:tcPr>
                  <w:tcW w:w="1208" w:type="pct"/>
                  <w:vMerge w:val="restart"/>
                  <w:vAlign w:val="center"/>
                </w:tcPr>
                <w:p w14:paraId="2DF91DD2">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搅拌废</w:t>
                  </w:r>
                </w:p>
              </w:tc>
              <w:tc>
                <w:tcPr>
                  <w:tcW w:w="1040" w:type="pct"/>
                  <w:vAlign w:val="center"/>
                </w:tcPr>
                <w:p w14:paraId="5309579C">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颗粒物</w:t>
                  </w:r>
                </w:p>
              </w:tc>
              <w:tc>
                <w:tcPr>
                  <w:tcW w:w="1340" w:type="pct"/>
                  <w:vAlign w:val="center"/>
                </w:tcPr>
                <w:p w14:paraId="57426C1A">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kg/t（原料）</w:t>
                  </w:r>
                </w:p>
              </w:tc>
              <w:tc>
                <w:tcPr>
                  <w:tcW w:w="872" w:type="pct"/>
                  <w:vAlign w:val="center"/>
                </w:tcPr>
                <w:p w14:paraId="0A20997B">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0.03</w:t>
                  </w:r>
                </w:p>
              </w:tc>
            </w:tr>
            <w:tr w14:paraId="57086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36" w:type="pct"/>
                  <w:vMerge w:val="continue"/>
                  <w:vAlign w:val="center"/>
                </w:tcPr>
                <w:p w14:paraId="708E7306">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p>
              </w:tc>
              <w:tc>
                <w:tcPr>
                  <w:tcW w:w="1208" w:type="pct"/>
                  <w:vMerge w:val="continue"/>
                  <w:vAlign w:val="center"/>
                </w:tcPr>
                <w:p w14:paraId="6F003F86">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p>
              </w:tc>
              <w:tc>
                <w:tcPr>
                  <w:tcW w:w="1040" w:type="pct"/>
                  <w:vAlign w:val="center"/>
                </w:tcPr>
                <w:p w14:paraId="7B6B11D6">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氟化物</w:t>
                  </w:r>
                </w:p>
              </w:tc>
              <w:tc>
                <w:tcPr>
                  <w:tcW w:w="1340" w:type="pct"/>
                  <w:vAlign w:val="center"/>
                </w:tcPr>
                <w:p w14:paraId="370DF588">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g/kg（颗粒物）</w:t>
                  </w:r>
                </w:p>
              </w:tc>
              <w:tc>
                <w:tcPr>
                  <w:tcW w:w="872" w:type="pct"/>
                  <w:vAlign w:val="center"/>
                </w:tcPr>
                <w:p w14:paraId="77EA419A">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18</w:t>
                  </w:r>
                </w:p>
              </w:tc>
            </w:tr>
          </w:tbl>
          <w:p w14:paraId="5104602F">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default"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项目变更前后污染无变化情况</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9"/>
              <w:gridCol w:w="1517"/>
              <w:gridCol w:w="1517"/>
              <w:gridCol w:w="2647"/>
              <w:gridCol w:w="2647"/>
              <w:gridCol w:w="1892"/>
              <w:gridCol w:w="1937"/>
            </w:tblGrid>
            <w:tr w14:paraId="3A383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8" w:type="pct"/>
                  <w:vAlign w:val="center"/>
                </w:tcPr>
                <w:p w14:paraId="0AF43275">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类别</w:t>
                  </w:r>
                </w:p>
              </w:tc>
              <w:tc>
                <w:tcPr>
                  <w:tcW w:w="1140" w:type="pct"/>
                  <w:gridSpan w:val="2"/>
                  <w:vAlign w:val="center"/>
                </w:tcPr>
                <w:p w14:paraId="5CB452BB">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污染物名称</w:t>
                  </w:r>
                </w:p>
              </w:tc>
              <w:tc>
                <w:tcPr>
                  <w:tcW w:w="995" w:type="pct"/>
                  <w:vAlign w:val="center"/>
                </w:tcPr>
                <w:p w14:paraId="3DE9C537">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变更前排放量</w:t>
                  </w:r>
                </w:p>
              </w:tc>
              <w:tc>
                <w:tcPr>
                  <w:tcW w:w="995" w:type="pct"/>
                  <w:vAlign w:val="center"/>
                </w:tcPr>
                <w:p w14:paraId="097EE1B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变更后排放量</w:t>
                  </w:r>
                </w:p>
              </w:tc>
              <w:tc>
                <w:tcPr>
                  <w:tcW w:w="711" w:type="pct"/>
                  <w:vAlign w:val="center"/>
                </w:tcPr>
                <w:p w14:paraId="6E5CDE6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变动情况</w:t>
                  </w:r>
                </w:p>
              </w:tc>
              <w:tc>
                <w:tcPr>
                  <w:tcW w:w="728" w:type="pct"/>
                  <w:vAlign w:val="center"/>
                </w:tcPr>
                <w:p w14:paraId="6DFF62CB">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百分比/%</w:t>
                  </w:r>
                </w:p>
              </w:tc>
            </w:tr>
            <w:tr w14:paraId="3C748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8" w:type="pct"/>
                  <w:vMerge w:val="restart"/>
                  <w:vAlign w:val="center"/>
                </w:tcPr>
                <w:p w14:paraId="12573675">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废气</w:t>
                  </w:r>
                </w:p>
              </w:tc>
              <w:tc>
                <w:tcPr>
                  <w:tcW w:w="570" w:type="pct"/>
                  <w:vMerge w:val="restart"/>
                  <w:vAlign w:val="center"/>
                </w:tcPr>
                <w:p w14:paraId="55DF6A3E">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颗粒物</w:t>
                  </w:r>
                </w:p>
              </w:tc>
              <w:tc>
                <w:tcPr>
                  <w:tcW w:w="570" w:type="pct"/>
                  <w:vAlign w:val="center"/>
                </w:tcPr>
                <w:p w14:paraId="496A3C22">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有组织</w:t>
                  </w:r>
                </w:p>
              </w:tc>
              <w:tc>
                <w:tcPr>
                  <w:tcW w:w="995" w:type="pct"/>
                  <w:vAlign w:val="center"/>
                </w:tcPr>
                <w:p w14:paraId="7B4E7A28">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0.523</w:t>
                  </w:r>
                </w:p>
              </w:tc>
              <w:tc>
                <w:tcPr>
                  <w:tcW w:w="995" w:type="pct"/>
                  <w:vAlign w:val="center"/>
                </w:tcPr>
                <w:p w14:paraId="175BF4D3">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0.277</w:t>
                  </w:r>
                </w:p>
              </w:tc>
              <w:tc>
                <w:tcPr>
                  <w:tcW w:w="711" w:type="pct"/>
                  <w:vAlign w:val="center"/>
                </w:tcPr>
                <w:p w14:paraId="7370C872">
                  <w:pPr>
                    <w:pStyle w:val="5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-0.246</w:t>
                  </w:r>
                </w:p>
              </w:tc>
              <w:tc>
                <w:tcPr>
                  <w:tcW w:w="728" w:type="pct"/>
                  <w:vAlign w:val="center"/>
                </w:tcPr>
                <w:p w14:paraId="3866A0A5">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-47.04</w:t>
                  </w:r>
                </w:p>
              </w:tc>
            </w:tr>
            <w:tr w14:paraId="380BF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8" w:type="pct"/>
                  <w:vMerge w:val="continue"/>
                  <w:vAlign w:val="center"/>
                </w:tcPr>
                <w:p w14:paraId="012A292E">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p>
              </w:tc>
              <w:tc>
                <w:tcPr>
                  <w:tcW w:w="570" w:type="pct"/>
                  <w:vMerge w:val="continue"/>
                  <w:vAlign w:val="center"/>
                </w:tcPr>
                <w:p w14:paraId="50FD44EC">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p>
              </w:tc>
              <w:tc>
                <w:tcPr>
                  <w:tcW w:w="570" w:type="pct"/>
                  <w:vAlign w:val="center"/>
                </w:tcPr>
                <w:p w14:paraId="26A75162">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无组织</w:t>
                  </w:r>
                </w:p>
              </w:tc>
              <w:tc>
                <w:tcPr>
                  <w:tcW w:w="995" w:type="pct"/>
                  <w:vAlign w:val="center"/>
                </w:tcPr>
                <w:p w14:paraId="3BBBD3E4">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21"/>
                      <w:szCs w:val="21"/>
                      <w:lang w:val="en-US" w:eastAsia="zh-CN" w:bidi="ar"/>
                    </w:rPr>
                  </w:pPr>
                  <w:r>
                    <w:rPr>
                      <w:rFonts w:hint="eastAsia" w:cs="Times New Roman"/>
                      <w:color w:val="auto"/>
                      <w:sz w:val="21"/>
                      <w:szCs w:val="21"/>
                      <w:lang w:val="en-US" w:eastAsia="zh-CN" w:bidi="ar"/>
                    </w:rPr>
                    <w:t>1.99</w:t>
                  </w:r>
                </w:p>
              </w:tc>
              <w:tc>
                <w:tcPr>
                  <w:tcW w:w="995" w:type="pct"/>
                  <w:vAlign w:val="center"/>
                </w:tcPr>
                <w:p w14:paraId="1A649865">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2.846</w:t>
                  </w:r>
                </w:p>
              </w:tc>
              <w:tc>
                <w:tcPr>
                  <w:tcW w:w="711" w:type="pct"/>
                  <w:vAlign w:val="center"/>
                </w:tcPr>
                <w:p w14:paraId="33A9A302">
                  <w:pPr>
                    <w:pStyle w:val="56"/>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+0.856</w:t>
                  </w:r>
                </w:p>
              </w:tc>
              <w:tc>
                <w:tcPr>
                  <w:tcW w:w="728" w:type="pct"/>
                  <w:vAlign w:val="center"/>
                </w:tcPr>
                <w:p w14:paraId="4E6ABD6E">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+43.05</w:t>
                  </w:r>
                </w:p>
              </w:tc>
            </w:tr>
            <w:tr w14:paraId="0668A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8" w:type="pct"/>
                  <w:vMerge w:val="continue"/>
                  <w:vAlign w:val="center"/>
                </w:tcPr>
                <w:p w14:paraId="3175E38E">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p>
              </w:tc>
              <w:tc>
                <w:tcPr>
                  <w:tcW w:w="570" w:type="pct"/>
                  <w:vMerge w:val="restart"/>
                  <w:vAlign w:val="center"/>
                </w:tcPr>
                <w:p w14:paraId="196FFF1B">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氟化物</w:t>
                  </w:r>
                </w:p>
              </w:tc>
              <w:tc>
                <w:tcPr>
                  <w:tcW w:w="570" w:type="pct"/>
                  <w:vAlign w:val="center"/>
                </w:tcPr>
                <w:p w14:paraId="5CB1E453">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有组织</w:t>
                  </w:r>
                </w:p>
              </w:tc>
              <w:tc>
                <w:tcPr>
                  <w:tcW w:w="995" w:type="pct"/>
                  <w:vAlign w:val="center"/>
                </w:tcPr>
                <w:p w14:paraId="51A379FE">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cs="Times New Roman"/>
                      <w:color w:val="auto"/>
                      <w:lang w:val="en-US" w:eastAsia="zh-CN"/>
                    </w:rPr>
                    <w:t>/</w:t>
                  </w:r>
                </w:p>
              </w:tc>
              <w:tc>
                <w:tcPr>
                  <w:tcW w:w="995" w:type="pct"/>
                  <w:vAlign w:val="center"/>
                </w:tcPr>
                <w:p w14:paraId="7BB36D8C">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0.0024</w:t>
                  </w:r>
                </w:p>
              </w:tc>
              <w:tc>
                <w:tcPr>
                  <w:tcW w:w="711" w:type="pct"/>
                  <w:vAlign w:val="center"/>
                </w:tcPr>
                <w:p w14:paraId="4629763E">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+0.0024</w:t>
                  </w:r>
                </w:p>
              </w:tc>
              <w:tc>
                <w:tcPr>
                  <w:tcW w:w="728" w:type="pct"/>
                  <w:vAlign w:val="center"/>
                </w:tcPr>
                <w:p w14:paraId="66F5161C">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+100</w:t>
                  </w:r>
                </w:p>
              </w:tc>
            </w:tr>
            <w:tr w14:paraId="005AA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8" w:type="pct"/>
                  <w:vMerge w:val="continue"/>
                  <w:vAlign w:val="center"/>
                </w:tcPr>
                <w:p w14:paraId="0206082A">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ascii="Times New Roman" w:hAnsi="Times New Roman" w:eastAsia="宋体" w:cs="Times New Roman"/>
                      <w:color w:val="auto"/>
                      <w:sz w:val="21"/>
                      <w:szCs w:val="21"/>
                      <w:lang w:val="en-US" w:eastAsia="zh-CN" w:bidi="ar"/>
                    </w:rPr>
                  </w:pPr>
                </w:p>
              </w:tc>
              <w:tc>
                <w:tcPr>
                  <w:tcW w:w="570" w:type="pct"/>
                  <w:vMerge w:val="continue"/>
                  <w:vAlign w:val="center"/>
                </w:tcPr>
                <w:p w14:paraId="0D267499">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eastAsia" w:cs="Times New Roman"/>
                      <w:color w:val="auto"/>
                      <w:sz w:val="21"/>
                      <w:szCs w:val="21"/>
                      <w:lang w:val="en-US" w:eastAsia="zh-CN" w:bidi="ar"/>
                    </w:rPr>
                  </w:pPr>
                </w:p>
              </w:tc>
              <w:tc>
                <w:tcPr>
                  <w:tcW w:w="570" w:type="pct"/>
                  <w:vAlign w:val="center"/>
                </w:tcPr>
                <w:p w14:paraId="4D81B310">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无组织</w:t>
                  </w:r>
                </w:p>
              </w:tc>
              <w:tc>
                <w:tcPr>
                  <w:tcW w:w="995" w:type="pct"/>
                  <w:vAlign w:val="center"/>
                </w:tcPr>
                <w:p w14:paraId="43FEF21E">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cs="Times New Roman"/>
                      <w:color w:val="auto"/>
                      <w:lang w:val="en-US" w:eastAsia="zh-CN"/>
                    </w:rPr>
                    <w:t>/</w:t>
                  </w:r>
                </w:p>
              </w:tc>
              <w:tc>
                <w:tcPr>
                  <w:tcW w:w="995" w:type="pct"/>
                  <w:vAlign w:val="center"/>
                </w:tcPr>
                <w:p w14:paraId="5EDDBA58">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bidi="ar"/>
                    </w:rPr>
                  </w:pPr>
                  <w:r>
                    <w:rPr>
                      <w:rFonts w:hint="eastAsia" w:cs="Times New Roman"/>
                      <w:color w:val="auto"/>
                      <w:sz w:val="21"/>
                      <w:szCs w:val="21"/>
                      <w:lang w:val="en-US" w:eastAsia="zh-CN" w:bidi="ar"/>
                    </w:rPr>
                    <w:t>0.0076</w:t>
                  </w:r>
                </w:p>
              </w:tc>
              <w:tc>
                <w:tcPr>
                  <w:tcW w:w="711" w:type="pct"/>
                  <w:vAlign w:val="center"/>
                </w:tcPr>
                <w:p w14:paraId="19E118C0">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cs="Times New Roman"/>
                      <w:color w:val="auto"/>
                      <w:sz w:val="21"/>
                      <w:szCs w:val="21"/>
                      <w:lang w:val="en-US" w:eastAsia="zh-CN" w:bidi="ar"/>
                    </w:rPr>
                  </w:pPr>
                  <w:r>
                    <w:rPr>
                      <w:rFonts w:hint="eastAsia" w:cs="Times New Roman"/>
                      <w:color w:val="auto"/>
                      <w:sz w:val="21"/>
                      <w:szCs w:val="21"/>
                      <w:lang w:val="en-US" w:eastAsia="zh-CN" w:bidi="ar"/>
                    </w:rPr>
                    <w:t>+0.0076</w:t>
                  </w:r>
                </w:p>
              </w:tc>
              <w:tc>
                <w:tcPr>
                  <w:tcW w:w="728" w:type="pct"/>
                  <w:vAlign w:val="center"/>
                </w:tcPr>
                <w:p w14:paraId="075017A9">
                  <w:pPr>
                    <w:keepNext w:val="0"/>
                    <w:keepLines w:val="0"/>
                    <w:pageBreakBefore/>
                    <w:widowControl/>
                    <w:suppressLineNumbers w:val="0"/>
                    <w:spacing w:before="0" w:beforeLines="0" w:beforeAutospacing="0" w:after="0" w:afterLines="0" w:afterAutospacing="0" w:line="240" w:lineRule="auto"/>
                    <w:ind w:left="0" w:right="0" w:firstLine="0" w:firstLineChars="0"/>
                    <w:jc w:val="center"/>
                    <w:rPr>
                      <w:rFonts w:hint="default" w:cs="Times New Roman"/>
                      <w:color w:val="auto"/>
                      <w:sz w:val="21"/>
                      <w:szCs w:val="21"/>
                      <w:lang w:val="en-US" w:eastAsia="zh-CN" w:bidi="ar"/>
                    </w:rPr>
                  </w:pPr>
                  <w:r>
                    <w:rPr>
                      <w:rFonts w:hint="eastAsia" w:cs="Times New Roman"/>
                      <w:color w:val="auto"/>
                      <w:sz w:val="21"/>
                      <w:szCs w:val="21"/>
                      <w:lang w:val="en-US" w:eastAsia="zh-CN" w:bidi="ar"/>
                    </w:rPr>
                    <w:t>+100</w:t>
                  </w:r>
                </w:p>
              </w:tc>
            </w:tr>
          </w:tbl>
          <w:p w14:paraId="1C060841">
            <w:pPr>
              <w:keepNext w:val="0"/>
              <w:keepLines w:val="0"/>
              <w:suppressLineNumbers w:val="0"/>
              <w:spacing w:before="0" w:beforeAutospacing="0" w:after="0" w:afterAutospacing="0"/>
              <w:ind w:left="0" w:right="0"/>
              <w:rPr>
                <w:rFonts w:hint="default"/>
                <w:color w:val="auto"/>
                <w:lang w:val="en-US" w:eastAsia="zh-CN"/>
              </w:rPr>
            </w:pPr>
          </w:p>
        </w:tc>
      </w:tr>
    </w:tbl>
    <w:p w14:paraId="61FB1DB5">
      <w:pPr>
        <w:pStyle w:val="24"/>
        <w:adjustRightInd w:val="0"/>
        <w:snapToGrid w:val="0"/>
        <w:spacing w:before="0" w:beforeAutospacing="0" w:after="0" w:afterAutospacing="0"/>
        <w:jc w:val="center"/>
        <w:outlineLvl w:val="0"/>
        <w:rPr>
          <w:rFonts w:cs="宋体"/>
          <w:color w:val="auto"/>
          <w:kern w:val="2"/>
          <w:szCs w:val="24"/>
        </w:rPr>
        <w:sectPr>
          <w:pgSz w:w="16840" w:h="11907" w:orient="landscape"/>
          <w:pgMar w:top="1800" w:right="1440" w:bottom="1800" w:left="1440" w:header="851" w:footer="851" w:gutter="0"/>
          <w:pgBorders w:offsetFrom="page">
            <w:top w:val="none" w:sz="0" w:space="0"/>
            <w:left w:val="none" w:sz="0" w:space="0"/>
            <w:bottom w:val="none" w:sz="0" w:space="0"/>
            <w:right w:val="none" w:sz="0" w:space="0"/>
          </w:pgBorders>
          <w:cols w:space="720" w:num="1"/>
          <w:docGrid w:linePitch="312" w:charSpace="0"/>
        </w:sectPr>
      </w:pPr>
    </w:p>
    <w:tbl>
      <w:tblPr>
        <w:tblStyle w:val="28"/>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53"/>
        <w:gridCol w:w="8070"/>
      </w:tblGrid>
      <w:tr w14:paraId="5A46B9E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306" w:hRule="atLeast"/>
        </w:trPr>
        <w:tc>
          <w:tcPr>
            <w:tcW w:w="229" w:type="pct"/>
            <w:noWrap w:val="0"/>
            <w:vAlign w:val="center"/>
          </w:tcPr>
          <w:p w14:paraId="16F20264">
            <w:pPr>
              <w:pStyle w:val="24"/>
              <w:keepNext w:val="0"/>
              <w:keepLines w:val="0"/>
              <w:suppressLineNumbers w:val="0"/>
              <w:adjustRightInd w:val="0"/>
              <w:snapToGrid w:val="0"/>
              <w:spacing w:before="0" w:beforeAutospacing="0" w:after="0" w:afterAutospacing="0"/>
              <w:ind w:left="0" w:leftChars="0" w:right="0" w:firstLine="0" w:firstLineChars="0"/>
              <w:jc w:val="both"/>
              <w:outlineLvl w:val="9"/>
              <w:rPr>
                <w:rFonts w:hint="default" w:ascii="宋体" w:hAnsi="宋体" w:cs="Times New Roman"/>
                <w:color w:val="auto"/>
                <w:sz w:val="24"/>
              </w:rPr>
            </w:pPr>
            <w:r>
              <w:rPr>
                <w:rFonts w:hint="eastAsia" w:cs="宋体"/>
                <w:color w:val="auto"/>
                <w:kern w:val="2"/>
                <w:szCs w:val="24"/>
              </w:rPr>
              <w:t>运营期环境影响</w:t>
            </w:r>
            <w:r>
              <w:rPr>
                <w:rFonts w:hint="default" w:cs="宋体"/>
                <w:color w:val="auto"/>
                <w:kern w:val="2"/>
                <w:szCs w:val="24"/>
              </w:rPr>
              <w:t>和</w:t>
            </w:r>
            <w:r>
              <w:rPr>
                <w:rFonts w:hint="eastAsia" w:cs="宋体"/>
                <w:color w:val="auto"/>
                <w:kern w:val="2"/>
                <w:szCs w:val="24"/>
              </w:rPr>
              <w:t>保护措施</w:t>
            </w:r>
          </w:p>
        </w:tc>
        <w:tc>
          <w:tcPr>
            <w:tcW w:w="4770" w:type="pct"/>
            <w:noWrap w:val="0"/>
            <w:vAlign w:val="top"/>
          </w:tcPr>
          <w:p w14:paraId="3F378327">
            <w:pPr>
              <w:pStyle w:val="74"/>
              <w:keepNext w:val="0"/>
              <w:keepLines w:val="0"/>
              <w:suppressLineNumbers w:val="0"/>
              <w:bidi w:val="0"/>
              <w:spacing w:before="0" w:beforeAutospacing="0" w:after="0" w:afterAutospacing="0"/>
              <w:ind w:left="0" w:right="0"/>
              <w:rPr>
                <w:rFonts w:hint="eastAsia" w:cs="Times New Roman"/>
                <w:b/>
                <w:bCs/>
                <w:color w:val="auto"/>
                <w:lang w:val="en-US" w:eastAsia="zh-CN"/>
              </w:rPr>
            </w:pPr>
            <w:r>
              <w:rPr>
                <w:rFonts w:hint="eastAsia" w:cs="Times New Roman"/>
                <w:b/>
                <w:bCs/>
                <w:color w:val="auto"/>
                <w:lang w:val="en-US" w:eastAsia="zh-CN"/>
              </w:rPr>
              <w:t>（2）废气污染物源强核算</w:t>
            </w:r>
          </w:p>
          <w:p w14:paraId="11DBEBE6">
            <w:pPr>
              <w:pStyle w:val="74"/>
              <w:keepNext w:val="0"/>
              <w:keepLines w:val="0"/>
              <w:suppressLineNumbers w:val="0"/>
              <w:bidi w:val="0"/>
              <w:spacing w:before="0" w:beforeAutospacing="0" w:after="0" w:afterAutospacing="0"/>
              <w:ind w:left="0" w:right="0"/>
              <w:rPr>
                <w:rFonts w:hint="eastAsia" w:cs="Times New Roman"/>
                <w:b/>
                <w:bCs/>
                <w:color w:val="auto"/>
                <w:lang w:val="en-US" w:eastAsia="zh-CN"/>
              </w:rPr>
            </w:pPr>
            <w:r>
              <w:rPr>
                <w:rFonts w:hint="eastAsia" w:cs="Times New Roman"/>
                <w:b/>
                <w:bCs/>
                <w:color w:val="auto"/>
                <w:lang w:val="en-US" w:eastAsia="zh-CN"/>
              </w:rPr>
              <w:t>1）运输车辆动力起尘</w:t>
            </w:r>
          </w:p>
          <w:p w14:paraId="73E708EB">
            <w:pPr>
              <w:pStyle w:val="74"/>
              <w:keepNext w:val="0"/>
              <w:keepLines w:val="0"/>
              <w:suppressLineNumbers w:val="0"/>
              <w:bidi w:val="0"/>
              <w:spacing w:before="0" w:beforeAutospacing="0" w:after="0" w:afterAutospacing="0"/>
              <w:ind w:left="0" w:right="0"/>
              <w:rPr>
                <w:rFonts w:hint="eastAsia" w:cs="Times New Roman"/>
                <w:b/>
                <w:bCs/>
                <w:color w:val="auto"/>
                <w:lang w:val="en-US" w:eastAsia="zh-CN"/>
              </w:rPr>
            </w:pPr>
            <w:r>
              <w:rPr>
                <w:rFonts w:hint="eastAsia" w:cs="Times New Roman"/>
                <w:b/>
                <w:bCs/>
                <w:color w:val="auto"/>
                <w:lang w:val="en-US" w:eastAsia="zh-CN"/>
              </w:rPr>
              <w:t>厂区外：</w:t>
            </w:r>
            <w:r>
              <w:rPr>
                <w:rFonts w:hint="eastAsia" w:cs="Times New Roman"/>
                <w:b w:val="0"/>
                <w:bCs w:val="0"/>
                <w:color w:val="auto"/>
                <w:lang w:val="en-US" w:eastAsia="zh-CN"/>
              </w:rPr>
              <w:t>本项目锂渣从原料供应商运输至项目所在地，原料供应商位于工业园区，运输路线主要为省道和国道，省道和国道运输车辆粉尘已在道路环评中进行评价，本项目不作重复评价。</w:t>
            </w:r>
          </w:p>
          <w:p w14:paraId="36B936F4">
            <w:pPr>
              <w:pStyle w:val="74"/>
              <w:keepNext w:val="0"/>
              <w:keepLines w:val="0"/>
              <w:suppressLineNumbers w:val="0"/>
              <w:bidi w:val="0"/>
              <w:spacing w:before="0" w:beforeAutospacing="0" w:after="0" w:afterAutospacing="0"/>
              <w:ind w:left="0" w:right="0"/>
              <w:rPr>
                <w:rFonts w:hint="eastAsia" w:cs="Times New Roman"/>
                <w:b/>
                <w:bCs/>
                <w:color w:val="auto"/>
                <w:lang w:val="en-US" w:eastAsia="zh-CN"/>
              </w:rPr>
            </w:pPr>
            <w:r>
              <w:rPr>
                <w:rFonts w:hint="eastAsia" w:cs="Times New Roman"/>
                <w:b/>
                <w:bCs/>
                <w:color w:val="auto"/>
                <w:lang w:val="en-US" w:eastAsia="zh-CN"/>
              </w:rPr>
              <w:t>厂区内：</w:t>
            </w:r>
            <w:r>
              <w:rPr>
                <w:rFonts w:hint="eastAsia" w:cs="Times New Roman"/>
                <w:b w:val="0"/>
                <w:bCs w:val="0"/>
                <w:color w:val="auto"/>
                <w:lang w:val="en-US" w:eastAsia="zh-CN"/>
              </w:rPr>
              <w:t>项目原料及产品输送次数较多，针对此情况，项目需在厂区出入口设置冲洗车台和冲洗设施，未冲洗干净的车辆不得出厂；所有运输车辆必须安装有效防滴洒装置并确保正常使用，并设置篷布遮盖，本项目运输道路考虑路面洁净、平整因素，对沿途环境空气有一定影响。</w:t>
            </w:r>
          </w:p>
          <w:p w14:paraId="6A4CC224">
            <w:pPr>
              <w:pStyle w:val="74"/>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工程交通运输起尘采用下述公式进行计算：</w:t>
            </w:r>
          </w:p>
          <w:p w14:paraId="5BC1A09D">
            <w:pPr>
              <w:pStyle w:val="74"/>
              <w:keepNext w:val="0"/>
              <w:keepLines w:val="0"/>
              <w:suppressLineNumbers w:val="0"/>
              <w:bidi w:val="0"/>
              <w:spacing w:before="0" w:beforeAutospacing="0" w:after="0" w:afterAutospacing="0"/>
              <w:ind w:left="0" w:right="0"/>
              <w:jc w:val="both"/>
              <w:rPr>
                <w:rFonts w:hint="eastAsia" w:cs="Times New Roman"/>
                <w:color w:val="auto"/>
                <w:lang w:val="en-US" w:eastAsia="zh-CN"/>
              </w:rPr>
            </w:pPr>
            <w:r>
              <w:rPr>
                <w:rFonts w:hint="eastAsia" w:cs="Times New Roman"/>
                <w:color w:val="auto"/>
                <w:lang w:val="en-US" w:eastAsia="zh-CN"/>
              </w:rPr>
              <w:drawing>
                <wp:anchor distT="0" distB="0" distL="114300" distR="114300" simplePos="0" relativeHeight="251659264" behindDoc="0" locked="0" layoutInCell="1" allowOverlap="1">
                  <wp:simplePos x="0" y="0"/>
                  <wp:positionH relativeFrom="column">
                    <wp:posOffset>524510</wp:posOffset>
                  </wp:positionH>
                  <wp:positionV relativeFrom="paragraph">
                    <wp:posOffset>167005</wp:posOffset>
                  </wp:positionV>
                  <wp:extent cx="3238500" cy="857250"/>
                  <wp:effectExtent l="0" t="0" r="7620" b="11430"/>
                  <wp:wrapTopAndBottom/>
                  <wp:docPr id="6"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5"/>
                          <pic:cNvPicPr>
                            <a:picLocks noChangeAspect="1"/>
                          </pic:cNvPicPr>
                        </pic:nvPicPr>
                        <pic:blipFill>
                          <a:blip r:embed="rId18"/>
                          <a:stretch>
                            <a:fillRect/>
                          </a:stretch>
                        </pic:blipFill>
                        <pic:spPr>
                          <a:xfrm>
                            <a:off x="0" y="0"/>
                            <a:ext cx="3238500" cy="857250"/>
                          </a:xfrm>
                          <a:prstGeom prst="rect">
                            <a:avLst/>
                          </a:prstGeom>
                          <a:noFill/>
                          <a:ln>
                            <a:noFill/>
                          </a:ln>
                        </pic:spPr>
                      </pic:pic>
                    </a:graphicData>
                  </a:graphic>
                </wp:anchor>
              </w:drawing>
            </w:r>
            <w:r>
              <w:rPr>
                <w:rFonts w:hint="eastAsia" w:cs="Times New Roman"/>
                <w:color w:val="auto"/>
                <w:lang w:val="en-US" w:eastAsia="zh-CN"/>
              </w:rPr>
              <w:t>式中：Qy——交通运输起尘量，kg/km•辆；</w:t>
            </w:r>
          </w:p>
          <w:p w14:paraId="31C31D9D">
            <w:pPr>
              <w:pStyle w:val="74"/>
              <w:keepNext w:val="0"/>
              <w:keepLines w:val="0"/>
              <w:suppressLineNumbers w:val="0"/>
              <w:bidi w:val="0"/>
              <w:spacing w:before="0" w:beforeAutospacing="0" w:after="0" w:afterAutospacing="0"/>
              <w:ind w:left="0" w:leftChars="0" w:right="0" w:firstLine="1200" w:firstLineChars="500"/>
              <w:rPr>
                <w:rFonts w:hint="eastAsia" w:cs="Times New Roman"/>
                <w:color w:val="auto"/>
                <w:lang w:val="en-US" w:eastAsia="zh-CN"/>
              </w:rPr>
            </w:pPr>
            <w:r>
              <w:rPr>
                <w:rFonts w:hint="eastAsia" w:cs="Times New Roman"/>
                <w:color w:val="auto"/>
                <w:lang w:val="en-US" w:eastAsia="zh-CN"/>
              </w:rPr>
              <w:t>Qr——运输途中起尘量，kg/a；</w:t>
            </w:r>
          </w:p>
          <w:p w14:paraId="785907C2">
            <w:pPr>
              <w:pStyle w:val="74"/>
              <w:keepNext w:val="0"/>
              <w:keepLines w:val="0"/>
              <w:suppressLineNumbers w:val="0"/>
              <w:bidi w:val="0"/>
              <w:spacing w:before="0" w:beforeAutospacing="0" w:after="0" w:afterAutospacing="0"/>
              <w:ind w:left="0" w:right="0" w:firstLine="1200" w:firstLineChars="500"/>
              <w:rPr>
                <w:rFonts w:hint="eastAsia" w:cs="Times New Roman"/>
                <w:color w:val="auto"/>
                <w:lang w:val="en-US" w:eastAsia="zh-CN"/>
              </w:rPr>
            </w:pPr>
            <w:r>
              <w:rPr>
                <w:rFonts w:hint="eastAsia" w:cs="Times New Roman"/>
                <w:color w:val="auto"/>
                <w:lang w:val="en-US" w:eastAsia="zh-CN"/>
              </w:rPr>
              <w:t>V——车辆行驶速度，km/h；</w:t>
            </w:r>
          </w:p>
          <w:p w14:paraId="383C38C9">
            <w:pPr>
              <w:pStyle w:val="74"/>
              <w:keepNext w:val="0"/>
              <w:keepLines w:val="0"/>
              <w:suppressLineNumbers w:val="0"/>
              <w:bidi w:val="0"/>
              <w:spacing w:before="0" w:beforeAutospacing="0" w:after="0" w:afterAutospacing="0"/>
              <w:ind w:left="0" w:right="0" w:firstLine="1200" w:firstLineChars="500"/>
              <w:rPr>
                <w:rFonts w:hint="eastAsia" w:cs="Times New Roman"/>
                <w:color w:val="auto"/>
                <w:lang w:val="en-US" w:eastAsia="zh-CN"/>
              </w:rPr>
            </w:pPr>
            <w:r>
              <w:rPr>
                <w:rFonts w:hint="eastAsia" w:cs="Times New Roman"/>
                <w:color w:val="auto"/>
                <w:lang w:val="en-US" w:eastAsia="zh-CN"/>
              </w:rPr>
              <w:t>P——路面状况，以每平方米路面灰尘覆盖率表示，kg/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eastAsia" w:cs="Times New Roman"/>
                <w:color w:val="auto"/>
                <w:lang w:val="en-US" w:eastAsia="zh-CN"/>
              </w:rPr>
              <w:t>；</w:t>
            </w:r>
          </w:p>
          <w:p w14:paraId="1CD50EB2">
            <w:pPr>
              <w:pStyle w:val="74"/>
              <w:keepNext w:val="0"/>
              <w:keepLines w:val="0"/>
              <w:suppressLineNumbers w:val="0"/>
              <w:bidi w:val="0"/>
              <w:spacing w:before="0" w:beforeAutospacing="0" w:after="0" w:afterAutospacing="0"/>
              <w:ind w:left="0" w:right="0" w:firstLine="1200" w:firstLineChars="500"/>
              <w:rPr>
                <w:rFonts w:hint="eastAsia" w:cs="Times New Roman"/>
                <w:color w:val="auto"/>
                <w:lang w:val="en-US" w:eastAsia="zh-CN"/>
              </w:rPr>
            </w:pPr>
            <w:r>
              <w:rPr>
                <w:rFonts w:hint="eastAsia" w:cs="Times New Roman"/>
                <w:color w:val="auto"/>
                <w:lang w:val="en-US" w:eastAsia="zh-CN"/>
              </w:rPr>
              <w:t>M——车辆载重，t/辆；</w:t>
            </w:r>
          </w:p>
          <w:p w14:paraId="35F2C48F">
            <w:pPr>
              <w:pStyle w:val="74"/>
              <w:keepNext w:val="0"/>
              <w:keepLines w:val="0"/>
              <w:suppressLineNumbers w:val="0"/>
              <w:bidi w:val="0"/>
              <w:spacing w:before="0" w:beforeAutospacing="0" w:after="0" w:afterAutospacing="0"/>
              <w:ind w:left="0" w:right="0" w:firstLine="1200" w:firstLineChars="500"/>
              <w:rPr>
                <w:rFonts w:hint="eastAsia" w:cs="Times New Roman"/>
                <w:color w:val="auto"/>
                <w:lang w:val="en-US" w:eastAsia="zh-CN"/>
              </w:rPr>
            </w:pPr>
            <w:r>
              <w:rPr>
                <w:rFonts w:hint="eastAsia" w:cs="Times New Roman"/>
                <w:color w:val="auto"/>
                <w:lang w:val="en-US" w:eastAsia="zh-CN"/>
              </w:rPr>
              <w:t>L——运输距离，km；</w:t>
            </w:r>
          </w:p>
          <w:p w14:paraId="4BF6408B">
            <w:pPr>
              <w:pStyle w:val="74"/>
              <w:keepNext w:val="0"/>
              <w:keepLines w:val="0"/>
              <w:suppressLineNumbers w:val="0"/>
              <w:bidi w:val="0"/>
              <w:spacing w:before="0" w:beforeAutospacing="0" w:after="0" w:afterAutospacing="0"/>
              <w:ind w:left="0" w:right="0" w:firstLine="1200" w:firstLineChars="500"/>
              <w:rPr>
                <w:rFonts w:hint="eastAsia" w:cs="Times New Roman"/>
                <w:color w:val="auto"/>
                <w:lang w:val="en-US" w:eastAsia="zh-CN"/>
              </w:rPr>
            </w:pPr>
            <w:r>
              <w:rPr>
                <w:rFonts w:hint="eastAsia" w:cs="Times New Roman"/>
                <w:color w:val="auto"/>
                <w:lang w:val="en-US" w:eastAsia="zh-CN"/>
              </w:rPr>
              <w:t>Q——运输量，t/a。</w:t>
            </w:r>
          </w:p>
          <w:p w14:paraId="7A257EBF">
            <w:pPr>
              <w:pStyle w:val="74"/>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运输车辆在厂区行驶距离按300m 计算（进出合计），空车重约20.0t，重车重约60t，项目原料与产品约180万吨，平均每天发车空、重载各按71辆-次计。以速度10km/h行驶，每辆车在厂区通行时间为108s（进出合计）。在不同路面清洁度情况下的扬尘量如下表。</w:t>
            </w:r>
          </w:p>
          <w:p w14:paraId="690E9BC2">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eastAsia"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zh-CN" w:eastAsia="zh-CN" w:bidi="ar"/>
              </w:rPr>
              <mc:AlternateContent>
                <mc:Choice Requires="wps">
                  <w:drawing>
                    <wp:anchor distT="0" distB="0" distL="114300" distR="114300" simplePos="0" relativeHeight="251660288" behindDoc="0" locked="0" layoutInCell="1" allowOverlap="1">
                      <wp:simplePos x="0" y="0"/>
                      <wp:positionH relativeFrom="column">
                        <wp:posOffset>4445</wp:posOffset>
                      </wp:positionH>
                      <wp:positionV relativeFrom="paragraph">
                        <wp:posOffset>296545</wp:posOffset>
                      </wp:positionV>
                      <wp:extent cx="668655" cy="292735"/>
                      <wp:effectExtent l="1905" t="4445" r="15240" b="7620"/>
                      <wp:wrapNone/>
                      <wp:docPr id="7" name="直接连接符 7"/>
                      <wp:cNvGraphicFramePr/>
                      <a:graphic xmlns:a="http://schemas.openxmlformats.org/drawingml/2006/main">
                        <a:graphicData uri="http://schemas.microsoft.com/office/word/2010/wordprocessingShape">
                          <wps:wsp>
                            <wps:cNvCnPr/>
                            <wps:spPr>
                              <a:xfrm>
                                <a:off x="1395095" y="7819390"/>
                                <a:ext cx="668655" cy="292735"/>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0.35pt;margin-top:23.35pt;height:23.05pt;width:52.65pt;z-index:251660288;mso-width-relative:page;mso-height-relative:page;" filled="f" stroked="t" coordsize="21600,21600" o:gfxdata="UEsDBAoAAAAAAIdO4kAAAAAAAAAAAAAAAAAEAAAAZHJzL1BLAwQUAAAACACHTuJAgkvWKNQAAAAG&#10;AQAADwAAAGRycy9kb3ducmV2LnhtbE2PwU7DMBBE70j8g7VI3KidioSSxukBKYgLBwri7MYmiWqv&#10;I9uNC1/P9gSn0WpGM2+b3dlZtpgQJ48SipUAZrD3esJBwsd7d7cBFpNCraxHI+HbRNi111eNqrXP&#10;+GaWfRoYlWCslYQxpbnmPPajcSqu/GyQvC8fnEp0hoHroDKVO8vXQlTcqQlpYVSzeRpNf9yfnAQs&#10;0qfNOeUl/JTPZVF2L+K1k/L2phBbYMmc018YLviEDi0xHfwJdWRWwgPlJNxXpBdXVPTZQcLjegO8&#10;bfh//PYXUEsDBBQAAAAIAIdO4kAkWB8I6AEAAKoDAAAOAAAAZHJzL2Uyb0RvYy54bWytU82O0zAQ&#10;viPxDpbvNGmrtE3UdA9bLRcElYAHcB0nseQ/ebxN+xK8ABI3OHHkztuwPAZjJ+zCctkDPbjj8edv&#10;5vs82V6dtSIn4UFaU9P5LKdEGG4babqavn9382JDCQRmGqasETW9CKBXu+fPtoOrxML2VjXCEyQx&#10;UA2upn0Irsoy4L3QDGbWCYOHrfWaBdz6Lms8G5Bdq2yR56tssL5x3nIBgNn9eEgnRv8UQtu2kou9&#10;5bdamDCyeqFYQEnQSwd0l7ptW8HDm7YFEYiqKSoNacUiGB/jmu22rOo8c73kUwvsKS080qSZNFj0&#10;nmrPAiO3Xv5DpSX3FmwbZtzqbBSSHEEV8/yRN2975kTSglaDuzcd/h8tf306eCKbmq4pMUzjg999&#10;/Pbjw+ef3z/hevf1C1lHkwYHFWKvzcFPO3AHHxWfW6/jP2ohZxyoZVnkZUHJBSk383JZTiaLcyAc&#10;AavVZlXgOUfAolysl0Xkzx6InIfwUlhNYlBTJU30gFXs9ArCCP0NiWljb6RSmGeVMmTAAssCX5cz&#10;nM0WZwJD7VAfmI4Spjoceh58YgSrZBNvx8vgu+O18uTE4qik39TYX7BYes+gH3HpaIIpgzKiT6Mz&#10;MTra5pIMS3l8wiR0Grc4I3/u0+2HT2z3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IJL1ijUAAAA&#10;BgEAAA8AAAAAAAAAAQAgAAAAIgAAAGRycy9kb3ducmV2LnhtbFBLAQIUABQAAAAIAIdO4kAkWB8I&#10;6AEAAKoDAAAOAAAAAAAAAAEAIAAAACMBAABkcnMvZTJvRG9jLnhtbFBLBQYAAAAABgAGAFkBAAB9&#10;BQAAAAA=&#10;">
                      <v:fill on="f" focussize="0,0"/>
                      <v:stroke weight="0.5pt" color="#000000 [3213]" joinstyle="round"/>
                      <v:imagedata o:title=""/>
                      <o:lock v:ext="edit" aspectratio="f"/>
                    </v:line>
                  </w:pict>
                </mc:Fallback>
              </mc:AlternateContent>
            </w:r>
            <w:r>
              <w:rPr>
                <w:rFonts w:hint="eastAsia" w:ascii="Times New Roman" w:hAnsi="Times New Roman" w:eastAsia="宋体" w:cs="Times New Roman"/>
                <w:b/>
                <w:bCs/>
                <w:color w:val="auto"/>
                <w:kern w:val="0"/>
                <w:sz w:val="21"/>
                <w:szCs w:val="21"/>
                <w:lang w:val="en-US" w:eastAsia="zh-CN" w:bidi="ar"/>
              </w:rPr>
              <w:t>运输车辆厂区扬尘量（单位：kg/d）</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0"/>
              <w:gridCol w:w="1120"/>
              <w:gridCol w:w="1120"/>
              <w:gridCol w:w="1121"/>
              <w:gridCol w:w="1121"/>
              <w:gridCol w:w="1121"/>
              <w:gridCol w:w="1121"/>
            </w:tblGrid>
            <w:tr w14:paraId="6CCC3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4" w:type="pct"/>
                </w:tcPr>
                <w:p w14:paraId="5588AF4D">
                  <w:pPr>
                    <w:pStyle w:val="56"/>
                    <w:keepNext w:val="0"/>
                    <w:keepLines w:val="0"/>
                    <w:suppressLineNumbers w:val="0"/>
                    <w:bidi w:val="0"/>
                    <w:spacing w:before="0" w:beforeAutospacing="0" w:after="0" w:afterAutospacing="0" w:line="240" w:lineRule="auto"/>
                    <w:ind w:left="0" w:right="0" w:firstLine="360" w:firstLineChars="200"/>
                    <w:jc w:val="both"/>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路况</w:t>
                  </w:r>
                </w:p>
                <w:p w14:paraId="569D9DF7">
                  <w:pPr>
                    <w:pStyle w:val="56"/>
                    <w:keepNext w:val="0"/>
                    <w:keepLines w:val="0"/>
                    <w:suppressLineNumbers w:val="0"/>
                    <w:bidi w:val="0"/>
                    <w:spacing w:before="0" w:beforeAutospacing="0" w:after="0" w:afterAutospacing="0" w:line="240" w:lineRule="auto"/>
                    <w:ind w:left="0" w:right="0"/>
                    <w:jc w:val="both"/>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车况</w:t>
                  </w:r>
                </w:p>
              </w:tc>
              <w:tc>
                <w:tcPr>
                  <w:tcW w:w="714" w:type="pct"/>
                </w:tcPr>
                <w:p w14:paraId="4F1A319A">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0.05</w:t>
                  </w:r>
                </w:p>
                <w:p w14:paraId="3C558088">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w:t>
                  </w:r>
                  <w:r>
                    <w:rPr>
                      <w:rFonts w:hint="default" w:ascii="Times New Roman" w:hAnsi="Times New Roman" w:eastAsia="宋体" w:cs="Times New Roman"/>
                      <w:color w:val="auto"/>
                      <w:sz w:val="18"/>
                      <w:szCs w:val="18"/>
                      <w:lang w:val="en-US" w:eastAsia="zh-CN"/>
                    </w:rPr>
                    <w:t>kg/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sz w:val="18"/>
                      <w:szCs w:val="18"/>
                      <w:lang w:val="en-US" w:eastAsia="zh-CN"/>
                    </w:rPr>
                    <w:t>)</w:t>
                  </w:r>
                </w:p>
              </w:tc>
              <w:tc>
                <w:tcPr>
                  <w:tcW w:w="714" w:type="pct"/>
                </w:tcPr>
                <w:p w14:paraId="32732865">
                  <w:pPr>
                    <w:keepNext w:val="0"/>
                    <w:keepLines w:val="0"/>
                    <w:suppressLineNumbers w:val="0"/>
                    <w:spacing w:before="0" w:beforeAutospacing="0" w:after="0" w:afterAutospacing="0" w:line="240" w:lineRule="auto"/>
                    <w:ind w:left="0" w:leftChars="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0.1</w:t>
                  </w:r>
                </w:p>
                <w:p w14:paraId="44B1E23B">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w:t>
                  </w:r>
                  <w:r>
                    <w:rPr>
                      <w:rFonts w:hint="default" w:ascii="Times New Roman" w:hAnsi="Times New Roman" w:eastAsia="宋体" w:cs="Times New Roman"/>
                      <w:color w:val="auto"/>
                      <w:sz w:val="18"/>
                      <w:szCs w:val="18"/>
                      <w:lang w:val="en-US" w:eastAsia="zh-CN"/>
                    </w:rPr>
                    <w:t>kg/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sz w:val="18"/>
                      <w:szCs w:val="18"/>
                      <w:lang w:val="en-US" w:eastAsia="zh-CN"/>
                    </w:rPr>
                    <w:t>)</w:t>
                  </w:r>
                </w:p>
              </w:tc>
              <w:tc>
                <w:tcPr>
                  <w:tcW w:w="714" w:type="pct"/>
                  <w:vAlign w:val="top"/>
                </w:tcPr>
                <w:p w14:paraId="536982B3">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0.</w:t>
                  </w:r>
                  <w:r>
                    <w:rPr>
                      <w:rFonts w:hint="eastAsia" w:cs="Times New Roman"/>
                      <w:color w:val="auto"/>
                      <w:sz w:val="18"/>
                      <w:szCs w:val="18"/>
                      <w:lang w:val="en-US" w:eastAsia="zh-CN"/>
                    </w:rPr>
                    <w:t>2</w:t>
                  </w:r>
                </w:p>
                <w:p w14:paraId="525C1A37">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w:t>
                  </w:r>
                  <w:r>
                    <w:rPr>
                      <w:rFonts w:hint="default" w:ascii="Times New Roman" w:hAnsi="Times New Roman" w:eastAsia="宋体" w:cs="Times New Roman"/>
                      <w:color w:val="auto"/>
                      <w:sz w:val="18"/>
                      <w:szCs w:val="18"/>
                      <w:lang w:val="en-US" w:eastAsia="zh-CN"/>
                    </w:rPr>
                    <w:t>kg/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sz w:val="18"/>
                      <w:szCs w:val="18"/>
                      <w:lang w:val="en-US" w:eastAsia="zh-CN"/>
                    </w:rPr>
                    <w:t>)</w:t>
                  </w:r>
                </w:p>
              </w:tc>
              <w:tc>
                <w:tcPr>
                  <w:tcW w:w="714" w:type="pct"/>
                  <w:vAlign w:val="top"/>
                </w:tcPr>
                <w:p w14:paraId="77EA61C6">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0.</w:t>
                  </w:r>
                  <w:r>
                    <w:rPr>
                      <w:rFonts w:hint="eastAsia" w:cs="Times New Roman"/>
                      <w:color w:val="auto"/>
                      <w:sz w:val="18"/>
                      <w:szCs w:val="18"/>
                      <w:lang w:val="en-US" w:eastAsia="zh-CN"/>
                    </w:rPr>
                    <w:t>3</w:t>
                  </w:r>
                </w:p>
                <w:p w14:paraId="0F677F7D">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w:t>
                  </w:r>
                  <w:r>
                    <w:rPr>
                      <w:rFonts w:hint="default" w:ascii="Times New Roman" w:hAnsi="Times New Roman" w:eastAsia="宋体" w:cs="Times New Roman"/>
                      <w:color w:val="auto"/>
                      <w:sz w:val="18"/>
                      <w:szCs w:val="18"/>
                      <w:lang w:val="en-US" w:eastAsia="zh-CN"/>
                    </w:rPr>
                    <w:t>kg/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sz w:val="18"/>
                      <w:szCs w:val="18"/>
                      <w:lang w:val="en-US" w:eastAsia="zh-CN"/>
                    </w:rPr>
                    <w:t>)</w:t>
                  </w:r>
                </w:p>
              </w:tc>
              <w:tc>
                <w:tcPr>
                  <w:tcW w:w="714" w:type="pct"/>
                  <w:vAlign w:val="top"/>
                </w:tcPr>
                <w:p w14:paraId="645D1DB3">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0.</w:t>
                  </w:r>
                  <w:r>
                    <w:rPr>
                      <w:rFonts w:hint="eastAsia" w:cs="Times New Roman"/>
                      <w:color w:val="auto"/>
                      <w:sz w:val="18"/>
                      <w:szCs w:val="18"/>
                      <w:lang w:val="en-US" w:eastAsia="zh-CN"/>
                    </w:rPr>
                    <w:t>4</w:t>
                  </w:r>
                </w:p>
                <w:p w14:paraId="2092F483">
                  <w:pPr>
                    <w:pStyle w:val="56"/>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w:t>
                  </w:r>
                  <w:r>
                    <w:rPr>
                      <w:rFonts w:hint="default" w:ascii="Times New Roman" w:hAnsi="Times New Roman" w:eastAsia="宋体" w:cs="Times New Roman"/>
                      <w:color w:val="auto"/>
                      <w:sz w:val="18"/>
                      <w:szCs w:val="18"/>
                      <w:lang w:val="en-US" w:eastAsia="zh-CN"/>
                    </w:rPr>
                    <w:t>kg/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sz w:val="18"/>
                      <w:szCs w:val="18"/>
                      <w:lang w:val="en-US" w:eastAsia="zh-CN"/>
                    </w:rPr>
                    <w:t>)</w:t>
                  </w:r>
                </w:p>
              </w:tc>
              <w:tc>
                <w:tcPr>
                  <w:tcW w:w="714" w:type="pct"/>
                  <w:vAlign w:val="top"/>
                </w:tcPr>
                <w:p w14:paraId="1D984B62">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0.</w:t>
                  </w:r>
                  <w:r>
                    <w:rPr>
                      <w:rFonts w:hint="eastAsia" w:cs="Times New Roman"/>
                      <w:color w:val="auto"/>
                      <w:sz w:val="18"/>
                      <w:szCs w:val="18"/>
                      <w:lang w:val="en-US" w:eastAsia="zh-CN"/>
                    </w:rPr>
                    <w:t>5</w:t>
                  </w:r>
                </w:p>
                <w:p w14:paraId="65C02D5D">
                  <w:pPr>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w:t>
                  </w:r>
                  <w:r>
                    <w:rPr>
                      <w:rFonts w:hint="default" w:ascii="Times New Roman" w:hAnsi="Times New Roman" w:eastAsia="宋体" w:cs="Times New Roman"/>
                      <w:color w:val="auto"/>
                      <w:sz w:val="18"/>
                      <w:szCs w:val="18"/>
                      <w:lang w:val="en-US" w:eastAsia="zh-CN"/>
                    </w:rPr>
                    <w:t>kg/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sz w:val="18"/>
                      <w:szCs w:val="18"/>
                      <w:lang w:val="en-US" w:eastAsia="zh-CN"/>
                    </w:rPr>
                    <w:t>)</w:t>
                  </w:r>
                </w:p>
              </w:tc>
            </w:tr>
            <w:tr w14:paraId="54315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714" w:type="pct"/>
                  <w:vAlign w:val="center"/>
                </w:tcPr>
                <w:p w14:paraId="3ACBED5A">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空车</w:t>
                  </w:r>
                </w:p>
              </w:tc>
              <w:tc>
                <w:tcPr>
                  <w:tcW w:w="714" w:type="pct"/>
                  <w:vAlign w:val="center"/>
                </w:tcPr>
                <w:p w14:paraId="7D388543">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1.24</w:t>
                  </w:r>
                </w:p>
              </w:tc>
              <w:tc>
                <w:tcPr>
                  <w:tcW w:w="714" w:type="pct"/>
                  <w:vAlign w:val="center"/>
                </w:tcPr>
                <w:p w14:paraId="2C1BE4BD">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2.04</w:t>
                  </w:r>
                </w:p>
              </w:tc>
              <w:tc>
                <w:tcPr>
                  <w:tcW w:w="714" w:type="pct"/>
                  <w:vAlign w:val="center"/>
                </w:tcPr>
                <w:p w14:paraId="27C3F69E">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3.36</w:t>
                  </w:r>
                </w:p>
              </w:tc>
              <w:tc>
                <w:tcPr>
                  <w:tcW w:w="714" w:type="pct"/>
                  <w:vAlign w:val="center"/>
                </w:tcPr>
                <w:p w14:paraId="1516435B">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4.49</w:t>
                  </w:r>
                </w:p>
              </w:tc>
              <w:tc>
                <w:tcPr>
                  <w:tcW w:w="714" w:type="pct"/>
                  <w:vAlign w:val="center"/>
                </w:tcPr>
                <w:p w14:paraId="4044BDDA">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5.53</w:t>
                  </w:r>
                </w:p>
              </w:tc>
              <w:tc>
                <w:tcPr>
                  <w:tcW w:w="714" w:type="pct"/>
                  <w:vAlign w:val="center"/>
                </w:tcPr>
                <w:p w14:paraId="0B8C6185">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6.49</w:t>
                  </w:r>
                </w:p>
              </w:tc>
            </w:tr>
            <w:tr w14:paraId="1BE4C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714" w:type="pct"/>
                  <w:vAlign w:val="center"/>
                </w:tcPr>
                <w:p w14:paraId="3143711B">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重车</w:t>
                  </w:r>
                </w:p>
              </w:tc>
              <w:tc>
                <w:tcPr>
                  <w:tcW w:w="714" w:type="pct"/>
                  <w:vAlign w:val="center"/>
                </w:tcPr>
                <w:p w14:paraId="2748A37C">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4.03</w:t>
                  </w:r>
                </w:p>
              </w:tc>
              <w:tc>
                <w:tcPr>
                  <w:tcW w:w="714" w:type="pct"/>
                  <w:vAlign w:val="center"/>
                </w:tcPr>
                <w:p w14:paraId="67C3AEF0">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6.63</w:t>
                  </w:r>
                </w:p>
              </w:tc>
              <w:tc>
                <w:tcPr>
                  <w:tcW w:w="714" w:type="pct"/>
                  <w:vAlign w:val="center"/>
                </w:tcPr>
                <w:p w14:paraId="6DDF0464">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10.92</w:t>
                  </w:r>
                </w:p>
              </w:tc>
              <w:tc>
                <w:tcPr>
                  <w:tcW w:w="714" w:type="pct"/>
                  <w:vAlign w:val="center"/>
                </w:tcPr>
                <w:p w14:paraId="75303F74">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14.61</w:t>
                  </w:r>
                </w:p>
              </w:tc>
              <w:tc>
                <w:tcPr>
                  <w:tcW w:w="714" w:type="pct"/>
                  <w:vAlign w:val="center"/>
                </w:tcPr>
                <w:p w14:paraId="422408F2">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17.99</w:t>
                  </w:r>
                </w:p>
              </w:tc>
              <w:tc>
                <w:tcPr>
                  <w:tcW w:w="714" w:type="pct"/>
                  <w:vAlign w:val="center"/>
                </w:tcPr>
                <w:p w14:paraId="48E9DED8">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21.12</w:t>
                  </w:r>
                </w:p>
              </w:tc>
            </w:tr>
            <w:tr w14:paraId="0FF86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714" w:type="pct"/>
                  <w:vAlign w:val="center"/>
                </w:tcPr>
                <w:p w14:paraId="1293327E">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合计</w:t>
                  </w:r>
                </w:p>
              </w:tc>
              <w:tc>
                <w:tcPr>
                  <w:tcW w:w="714" w:type="pct"/>
                  <w:vAlign w:val="center"/>
                </w:tcPr>
                <w:p w14:paraId="15BC5A64">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5.27</w:t>
                  </w:r>
                </w:p>
              </w:tc>
              <w:tc>
                <w:tcPr>
                  <w:tcW w:w="714" w:type="pct"/>
                  <w:vAlign w:val="center"/>
                </w:tcPr>
                <w:p w14:paraId="5911E52C">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8.67</w:t>
                  </w:r>
                </w:p>
              </w:tc>
              <w:tc>
                <w:tcPr>
                  <w:tcW w:w="714" w:type="pct"/>
                  <w:vAlign w:val="center"/>
                </w:tcPr>
                <w:p w14:paraId="6C7B9B6A">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14.28</w:t>
                  </w:r>
                </w:p>
              </w:tc>
              <w:tc>
                <w:tcPr>
                  <w:tcW w:w="714" w:type="pct"/>
                  <w:vAlign w:val="center"/>
                </w:tcPr>
                <w:p w14:paraId="3DCCB1C9">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19.11</w:t>
                  </w:r>
                </w:p>
              </w:tc>
              <w:tc>
                <w:tcPr>
                  <w:tcW w:w="714" w:type="pct"/>
                  <w:vAlign w:val="center"/>
                </w:tcPr>
                <w:p w14:paraId="7268E73C">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23.53</w:t>
                  </w:r>
                </w:p>
              </w:tc>
              <w:tc>
                <w:tcPr>
                  <w:tcW w:w="714" w:type="pct"/>
                  <w:vAlign w:val="center"/>
                </w:tcPr>
                <w:p w14:paraId="68B4BB12">
                  <w:pPr>
                    <w:pStyle w:val="56"/>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27.61</w:t>
                  </w:r>
                </w:p>
              </w:tc>
            </w:tr>
          </w:tbl>
          <w:p w14:paraId="50737F71">
            <w:pPr>
              <w:pStyle w:val="74"/>
              <w:keepNext w:val="0"/>
              <w:keepLines w:val="0"/>
              <w:suppressLineNumbers w:val="0"/>
              <w:bidi w:val="0"/>
              <w:spacing w:before="0" w:beforeAutospacing="0" w:after="0" w:afterAutospacing="0"/>
              <w:ind w:left="0" w:right="0"/>
              <w:rPr>
                <w:rFonts w:hint="default" w:cs="Times New Roman"/>
                <w:color w:val="auto"/>
                <w:lang w:val="en-US" w:eastAsia="zh-CN"/>
              </w:rPr>
            </w:pPr>
            <w:r>
              <w:rPr>
                <w:rFonts w:hint="default" w:cs="Times New Roman"/>
                <w:color w:val="auto"/>
                <w:lang w:val="en-US" w:eastAsia="zh-CN"/>
              </w:rPr>
              <w:t>根据实际情况，厂区道路为水泥路面，当企业在厂区道路喷淋洒水，并每天清扫2次，路面粉尘量控制在0.05kg/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cs="Times New Roman"/>
                <w:color w:val="auto"/>
                <w:lang w:val="en-US" w:eastAsia="zh-CN"/>
              </w:rPr>
              <w:t>以下时，经计算，空车交通运输起尘量为0.117kg/km-辆，重车交通运输起尘量为0.381kg/km辆。运输途中起尘量4.98t/a（4.98kg/h）。本环评要求企业在车辆通行前对道路进行洒水，并且每天及时清扫路面，采取上述措施后粉尘可减少90%，则粉尘排放量为0.498t/a，排放速率为0.498kg/h（运输时</w:t>
            </w:r>
            <w:r>
              <w:rPr>
                <w:rFonts w:hint="eastAsia" w:cs="Times New Roman"/>
                <w:color w:val="auto"/>
                <w:lang w:val="en-US" w:eastAsia="zh-CN"/>
              </w:rPr>
              <w:t>间为1000h）。‌</w:t>
            </w:r>
          </w:p>
          <w:p w14:paraId="1ECBB133">
            <w:pPr>
              <w:pStyle w:val="74"/>
              <w:keepNext w:val="0"/>
              <w:keepLines w:val="0"/>
              <w:numPr>
                <w:ilvl w:val="0"/>
                <w:numId w:val="0"/>
              </w:numPr>
              <w:suppressLineNumbers w:val="0"/>
              <w:bidi w:val="0"/>
              <w:spacing w:before="0" w:beforeAutospacing="0" w:after="0" w:afterAutospacing="0"/>
              <w:ind w:left="0" w:leftChars="0" w:right="0" w:rightChars="0" w:firstLine="482" w:firstLineChars="200"/>
              <w:rPr>
                <w:rFonts w:hint="default" w:cs="Times New Roman"/>
                <w:color w:val="auto"/>
                <w:lang w:val="en-US" w:eastAsia="zh-CN"/>
              </w:rPr>
            </w:pPr>
            <w:r>
              <w:rPr>
                <w:rFonts w:hint="eastAsia" w:cs="Times New Roman"/>
                <w:b/>
                <w:bCs/>
                <w:color w:val="auto"/>
                <w:kern w:val="2"/>
                <w:sz w:val="24"/>
                <w:szCs w:val="24"/>
                <w:lang w:val="en-US" w:eastAsia="zh-CN" w:bidi="ar-SA"/>
              </w:rPr>
              <w:t>2</w:t>
            </w:r>
            <w:r>
              <w:rPr>
                <w:rFonts w:hint="eastAsia" w:ascii="Times New Roman" w:hAnsi="Times New Roman" w:eastAsia="宋体" w:cs="Times New Roman"/>
                <w:b/>
                <w:bCs/>
                <w:color w:val="auto"/>
                <w:kern w:val="2"/>
                <w:sz w:val="24"/>
                <w:szCs w:val="24"/>
                <w:lang w:val="en-US" w:eastAsia="zh-CN" w:bidi="ar-SA"/>
              </w:rPr>
              <w:t>）</w:t>
            </w:r>
            <w:r>
              <w:rPr>
                <w:rFonts w:hint="eastAsia" w:cs="Times New Roman"/>
                <w:b/>
                <w:bCs/>
                <w:color w:val="auto"/>
                <w:lang w:val="en-US" w:eastAsia="zh-CN"/>
              </w:rPr>
              <w:t>筛选破碎</w:t>
            </w:r>
          </w:p>
          <w:p w14:paraId="4EEB469A">
            <w:pPr>
              <w:pStyle w:val="74"/>
              <w:keepNext w:val="0"/>
              <w:keepLines w:val="0"/>
              <w:numPr>
                <w:ilvl w:val="0"/>
                <w:numId w:val="0"/>
              </w:numPr>
              <w:suppressLineNumbers w:val="0"/>
              <w:bidi w:val="0"/>
              <w:spacing w:before="0" w:beforeAutospacing="0" w:after="0" w:afterAutospacing="0"/>
              <w:ind w:left="0" w:leftChars="0" w:right="0" w:rightChars="0" w:firstLine="480" w:firstLineChars="200"/>
              <w:rPr>
                <w:rFonts w:hint="eastAsia" w:cs="Times New Roman"/>
                <w:color w:val="auto"/>
                <w:lang w:val="en-US" w:eastAsia="zh-CN"/>
              </w:rPr>
            </w:pPr>
            <w:r>
              <w:rPr>
                <w:rFonts w:hint="eastAsia" w:cs="Times New Roman"/>
                <w:color w:val="auto"/>
                <w:lang w:val="en-US" w:eastAsia="zh-CN"/>
              </w:rPr>
              <w:t>项目原材料经装载机进入碎机进行破碎，此过程产生投料、破碎粉尘。根据《逸散性工业粉尘控制技术》（中国环境科学出版社），本项目破碎过程粉尘排放因子为0.125kg/t（原料）。本项目建筑废料与锂渣需要预处理后再投入生产，其他一般固废在入厂前已经过预处理无需再次加工，建筑废料年与锂渣用量为58万吨，则破碎时粉尘的产生总量为72.5t/a（包含28吨锂渣产生的35t/a的粉尘）。筛选破碎后通过集气管道收集后采用1台布袋除尘器处理后经15m排气筒（DA001）排放，废气收集率可参考《袋式除尘工程通用技术规范》（HJ2020-2012），其中密闭罩100%、半密闭罩95%、吹吸罩90%，本项目采用吹吸罩，收集效率取90%，工作时间7200h，风量为8000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s="Times New Roman"/>
                <w:color w:val="auto"/>
                <w:lang w:val="en-US" w:eastAsia="zh-CN"/>
              </w:rPr>
              <w:t>/h，破碎筛选粉尘通过布袋除尘器（参照《排放源统计调查产排污核算方法和系数手册》3021水泥制品制造行业系数表（续1）中袋式除尘治理效率为99.7%，则破碎及筛分粉尘的有组织排放量为0.196t/a，排放速率为0.027kg/h，未收集粉尘1.007t/a，由于破碎过程位于半封闭厂房，且定期进行洒水除尘，根据《排放源统计调查产排污核算方法和系数手册》“工业源固体物料堆场颗粒物核算系数手册”中的相关系数，半封闭的沉降效率为60%，洒水抑尘的控制效率为74%，则总控制效率为89.6%，则破碎及筛分粉尘无组织排放量为0.754t/a，排放速0.105kg/h。</w:t>
            </w:r>
          </w:p>
          <w:p w14:paraId="6FC9FB90">
            <w:pPr>
              <w:pStyle w:val="74"/>
              <w:keepNext w:val="0"/>
              <w:keepLines w:val="0"/>
              <w:numPr>
                <w:ilvl w:val="0"/>
                <w:numId w:val="0"/>
              </w:numPr>
              <w:suppressLineNumbers w:val="0"/>
              <w:bidi w:val="0"/>
              <w:spacing w:before="0" w:beforeAutospacing="0" w:after="0" w:afterAutospacing="0"/>
              <w:ind w:left="0" w:leftChars="0" w:right="0" w:rightChars="0" w:firstLine="480" w:firstLineChars="200"/>
              <w:rPr>
                <w:rFonts w:hint="eastAsia" w:cs="Times New Roman"/>
                <w:color w:val="auto"/>
                <w:lang w:val="en-US" w:eastAsia="zh-CN"/>
              </w:rPr>
            </w:pPr>
            <w:r>
              <w:rPr>
                <w:rFonts w:hint="eastAsia" w:cs="Times New Roman"/>
                <w:color w:val="auto"/>
                <w:lang w:val="en-US" w:eastAsia="zh-CN"/>
              </w:rPr>
              <w:t>本项目筛选破碎主要以颗粒物的形式排放，根据前文的元素平衡可知，锂渣中的氟化物的含量分别为18g/kg，根据该含量核算运输扬尘氟化物的量，详情见4-1。</w:t>
            </w:r>
          </w:p>
          <w:p w14:paraId="17268F5A">
            <w:pPr>
              <w:pStyle w:val="74"/>
              <w:keepNext w:val="0"/>
              <w:keepLines w:val="0"/>
              <w:numPr>
                <w:ilvl w:val="0"/>
                <w:numId w:val="0"/>
              </w:numPr>
              <w:suppressLineNumbers w:val="0"/>
              <w:bidi w:val="0"/>
              <w:spacing w:before="0" w:beforeAutospacing="0" w:after="0" w:afterAutospacing="0"/>
              <w:ind w:left="0" w:leftChars="0" w:right="0" w:rightChars="0" w:firstLine="482" w:firstLineChars="200"/>
              <w:rPr>
                <w:rFonts w:hint="eastAsia"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3</w:t>
            </w:r>
            <w:r>
              <w:rPr>
                <w:rFonts w:hint="eastAsia" w:ascii="Times New Roman" w:hAnsi="Times New Roman" w:eastAsia="宋体" w:cs="Times New Roman"/>
                <w:b/>
                <w:bCs/>
                <w:color w:val="auto"/>
                <w:kern w:val="2"/>
                <w:sz w:val="24"/>
                <w:szCs w:val="24"/>
                <w:lang w:val="en-US" w:eastAsia="zh-CN" w:bidi="ar-SA"/>
              </w:rPr>
              <w:t>）</w:t>
            </w:r>
            <w:r>
              <w:rPr>
                <w:rFonts w:hint="eastAsia" w:cs="Times New Roman"/>
                <w:b/>
                <w:bCs/>
                <w:color w:val="auto"/>
                <w:kern w:val="2"/>
                <w:sz w:val="24"/>
                <w:szCs w:val="24"/>
                <w:lang w:val="en-US" w:eastAsia="zh-CN" w:bidi="ar-SA"/>
              </w:rPr>
              <w:t>水泥筒库顶呼吸孔粉尘</w:t>
            </w:r>
          </w:p>
          <w:p w14:paraId="5E2E16A2">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在正常情况下，呼吸孔均处于密闭状态，以便于使筒库内部对库外存在一定的压力差。在筒库进料的过程中，呼吸孔也是处于密闭状态，在进料的末期，呼吸孔压力阀随着库内压力的增加，发出警示音，表明筒库已满，停止进料。在进料作业停止，底部阀门关闭后，呼吸孔开始对外排气，释放库内部分压缩空气，使筒库内压力降至一定的水平。在呼吸孔排气过程中，筒库内部分粉末随着压缩空气被排除仓外。该部分产生系数参考《逸散性工业粉尘控制技术》中混凝土分批搅拌厂的逸散尘排放</w:t>
            </w:r>
            <w:r>
              <w:rPr>
                <w:rFonts w:hint="eastAsia" w:cs="Times New Roman"/>
                <w:color w:val="auto"/>
                <w:lang w:val="en-US" w:eastAsia="zh-CN"/>
              </w:rPr>
              <w:t>因子</w:t>
            </w:r>
            <w:r>
              <w:rPr>
                <w:rFonts w:hint="eastAsia" w:ascii="Times New Roman" w:hAnsi="Times New Roman" w:eastAsia="宋体" w:cs="Times New Roman"/>
                <w:color w:val="auto"/>
                <w:lang w:val="en-US" w:eastAsia="zh-CN"/>
              </w:rPr>
              <w:t>进行粉尘核算，其产生系数为“卸水泥至高架贮仓-0.12 kg/t（卸料）”，项目水泥用量为60000吨，则粉尘产生量为7.2t/a，粉尘经</w:t>
            </w:r>
            <w:r>
              <w:rPr>
                <w:rFonts w:hint="eastAsia" w:cs="Times New Roman"/>
                <w:color w:val="auto"/>
                <w:lang w:val="en-US" w:eastAsia="zh-CN"/>
              </w:rPr>
              <w:t>自带高效袋式除尘设备处理后无组织排放（排口高度5米）</w:t>
            </w:r>
            <w:r>
              <w:rPr>
                <w:rFonts w:hint="eastAsia" w:ascii="Times New Roman" w:hAnsi="Times New Roman" w:eastAsia="宋体" w:cs="Times New Roman"/>
                <w:color w:val="auto"/>
                <w:lang w:val="en-US" w:eastAsia="zh-CN"/>
              </w:rPr>
              <w:t>，自带高效袋式除尘设备处理效率为99%，</w:t>
            </w:r>
            <w:r>
              <w:rPr>
                <w:rFonts w:hint="eastAsia" w:cs="Times New Roman"/>
                <w:color w:val="auto"/>
                <w:lang w:val="en-US" w:eastAsia="zh-CN"/>
              </w:rPr>
              <w:t>无组织排放量为0.072t/a。</w:t>
            </w:r>
          </w:p>
          <w:p w14:paraId="78F35E48">
            <w:pPr>
              <w:pStyle w:val="74"/>
              <w:keepNext w:val="0"/>
              <w:keepLines w:val="0"/>
              <w:numPr>
                <w:ilvl w:val="0"/>
                <w:numId w:val="0"/>
              </w:numPr>
              <w:suppressLineNumbers w:val="0"/>
              <w:bidi w:val="0"/>
              <w:spacing w:before="0" w:beforeAutospacing="0" w:after="0" w:afterAutospacing="0"/>
              <w:ind w:left="0" w:leftChars="0" w:right="0" w:rightChars="0" w:firstLine="482" w:firstLineChars="200"/>
              <w:rPr>
                <w:rFonts w:hint="default" w:cs="Times New Roman"/>
                <w:b/>
                <w:bCs/>
                <w:color w:val="auto"/>
                <w:lang w:val="en-US" w:eastAsia="zh-CN"/>
              </w:rPr>
            </w:pPr>
            <w:r>
              <w:rPr>
                <w:rFonts w:hint="eastAsia" w:cs="Times New Roman"/>
                <w:b/>
                <w:bCs/>
                <w:color w:val="auto"/>
                <w:kern w:val="2"/>
                <w:sz w:val="24"/>
                <w:szCs w:val="24"/>
                <w:lang w:val="en-US" w:eastAsia="zh-CN" w:bidi="ar-SA"/>
              </w:rPr>
              <w:t>4</w:t>
            </w:r>
            <w:r>
              <w:rPr>
                <w:rFonts w:hint="eastAsia" w:ascii="Times New Roman" w:hAnsi="Times New Roman" w:eastAsia="宋体" w:cs="Times New Roman"/>
                <w:b/>
                <w:bCs/>
                <w:color w:val="auto"/>
                <w:kern w:val="2"/>
                <w:sz w:val="24"/>
                <w:szCs w:val="24"/>
                <w:lang w:val="en-US" w:eastAsia="zh-CN" w:bidi="ar-SA"/>
              </w:rPr>
              <w:t>）</w:t>
            </w:r>
            <w:r>
              <w:rPr>
                <w:rFonts w:hint="eastAsia" w:cs="Times New Roman"/>
                <w:b/>
                <w:bCs/>
                <w:color w:val="auto"/>
                <w:lang w:val="en-US" w:eastAsia="zh-CN"/>
              </w:rPr>
              <w:t>投料废气</w:t>
            </w:r>
          </w:p>
          <w:p w14:paraId="77C2E4CC">
            <w:pPr>
              <w:pStyle w:val="74"/>
              <w:keepNext w:val="0"/>
              <w:keepLines w:val="0"/>
              <w:numPr>
                <w:ilvl w:val="0"/>
                <w:numId w:val="0"/>
              </w:numPr>
              <w:suppressLineNumbers w:val="0"/>
              <w:bidi w:val="0"/>
              <w:spacing w:before="0" w:beforeAutospacing="0" w:after="0" w:afterAutospacing="0"/>
              <w:ind w:left="0" w:leftChars="0" w:right="0" w:rightChars="0" w:firstLine="480" w:firstLineChars="200"/>
              <w:rPr>
                <w:rFonts w:hint="eastAsia" w:ascii="Times New Roman" w:hAnsi="Times New Roman" w:cs="Times New Roman"/>
                <w:color w:val="auto"/>
                <w:lang w:val="en-US" w:eastAsia="zh-CN"/>
              </w:rPr>
            </w:pPr>
            <w:r>
              <w:rPr>
                <w:rFonts w:hint="eastAsia" w:ascii="Times New Roman" w:hAnsi="Times New Roman" w:eastAsia="宋体" w:cs="Times New Roman"/>
                <w:color w:val="auto"/>
                <w:lang w:val="en-US" w:eastAsia="zh-CN"/>
              </w:rPr>
              <w:t>项目在投入粉料时会产生粉尘，项目粉料包括固化剂、脱硫石膏、钙质添加剂、破陶瓷砖拋光泥</w:t>
            </w:r>
            <w:r>
              <w:rPr>
                <w:rFonts w:hint="eastAsia" w:ascii="Times New Roman" w:hAnsi="Times New Roman" w:cs="Times New Roman"/>
                <w:color w:val="auto"/>
                <w:lang w:val="en-US" w:eastAsia="zh-CN"/>
              </w:rPr>
              <w:t>、水泥，参照《逸散性工业粉尘控制技术》中表22-1混凝土分批搅拌站场逸散尘排放因子中入称量斗和入搅拌机排放因子总和，产污系数0.03kg/t，项目粉料用量为</w:t>
            </w:r>
            <w:r>
              <w:rPr>
                <w:rFonts w:hint="eastAsia" w:cs="Times New Roman"/>
                <w:color w:val="auto"/>
                <w:lang w:val="en-US" w:eastAsia="zh-CN"/>
              </w:rPr>
              <w:t>364000</w:t>
            </w:r>
            <w:r>
              <w:rPr>
                <w:rFonts w:hint="eastAsia" w:ascii="Times New Roman" w:hAnsi="Times New Roman" w:cs="Times New Roman"/>
                <w:color w:val="auto"/>
                <w:lang w:val="en-US" w:eastAsia="zh-CN"/>
              </w:rPr>
              <w:t>t/a，则该部分投料产生的粉尘量约为</w:t>
            </w:r>
            <w:r>
              <w:rPr>
                <w:rFonts w:hint="eastAsia" w:cs="Times New Roman"/>
                <w:color w:val="auto"/>
                <w:lang w:val="en-US" w:eastAsia="zh-CN"/>
              </w:rPr>
              <w:t>10.92</w:t>
            </w:r>
            <w:r>
              <w:rPr>
                <w:rFonts w:hint="eastAsia" w:ascii="Times New Roman" w:hAnsi="Times New Roman" w:cs="Times New Roman"/>
                <w:color w:val="auto"/>
                <w:lang w:val="en-US" w:eastAsia="zh-CN"/>
              </w:rPr>
              <w:t>t/a。通过集气管道收集后采用1台布袋除尘器处理后经15m排气筒（DA001）排放，废气收集率可参考《袋式除尘工程通用技术规范》（HJ2020-2012），其中密闭罩100%、半密闭罩95%、吹吸罩90%，本项目采用吹吸罩，收集效率取90%，工作时间7200h</w:t>
            </w:r>
            <w:r>
              <w:rPr>
                <w:rFonts w:hint="eastAsia" w:cs="Times New Roman"/>
                <w:color w:val="auto"/>
                <w:lang w:val="en-US" w:eastAsia="zh-CN"/>
              </w:rPr>
              <w:t>，</w:t>
            </w:r>
            <w:r>
              <w:rPr>
                <w:rFonts w:hint="eastAsia" w:ascii="Times New Roman" w:hAnsi="Times New Roman" w:cs="Times New Roman"/>
                <w:color w:val="auto"/>
                <w:lang w:val="en-US" w:eastAsia="zh-CN"/>
              </w:rPr>
              <w:t>风量为8000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ascii="Times New Roman" w:hAnsi="Times New Roman" w:cs="Times New Roman"/>
                <w:color w:val="auto"/>
                <w:lang w:val="en-US" w:eastAsia="zh-CN"/>
              </w:rPr>
              <w:t>/h，粉尘通过布袋除尘器（参照《排放源统计调查产排污核算方法和系数手册》3021水泥制品制造行业系数表（续1）中袋式除尘治理效率为99.7%，则颗粒物有组织排放量为</w:t>
            </w:r>
            <w:r>
              <w:rPr>
                <w:rFonts w:hint="eastAsia" w:cs="Times New Roman"/>
                <w:color w:val="auto"/>
                <w:lang w:val="en-US" w:eastAsia="zh-CN"/>
              </w:rPr>
              <w:t>0.029</w:t>
            </w:r>
            <w:r>
              <w:rPr>
                <w:rFonts w:hint="eastAsia" w:ascii="Times New Roman" w:hAnsi="Times New Roman" w:cs="Times New Roman"/>
                <w:color w:val="auto"/>
                <w:lang w:val="en-US" w:eastAsia="zh-CN"/>
              </w:rPr>
              <w:t>t/a，排放速率为</w:t>
            </w:r>
            <w:r>
              <w:rPr>
                <w:rFonts w:hint="eastAsia" w:cs="Times New Roman"/>
                <w:color w:val="auto"/>
                <w:lang w:val="en-US" w:eastAsia="zh-CN"/>
              </w:rPr>
              <w:t>0.004</w:t>
            </w:r>
            <w:r>
              <w:rPr>
                <w:rFonts w:hint="eastAsia" w:ascii="Times New Roman" w:hAnsi="Times New Roman" w:cs="Times New Roman"/>
                <w:color w:val="auto"/>
                <w:lang w:val="en-US" w:eastAsia="zh-CN"/>
              </w:rPr>
              <w:t>kg/h。未收集粉尘</w:t>
            </w:r>
            <w:r>
              <w:rPr>
                <w:rFonts w:hint="eastAsia" w:cs="Times New Roman"/>
                <w:color w:val="auto"/>
                <w:lang w:val="en-US" w:eastAsia="zh-CN"/>
              </w:rPr>
              <w:t>0.152</w:t>
            </w:r>
            <w:r>
              <w:rPr>
                <w:rFonts w:hint="eastAsia" w:ascii="Times New Roman" w:hAnsi="Times New Roman" w:cs="Times New Roman"/>
                <w:color w:val="auto"/>
                <w:lang w:val="en-US" w:eastAsia="zh-CN"/>
              </w:rPr>
              <w:t>t/a，由于破碎过程位于半封闭厂房，且定期进行洒水除尘，根据《排放源统计调查产排污核算方法和系数手册》“工业源固体物料堆场颗粒物核算系数手册”中的相关系数，半封闭的沉降效率为60%，洒水抑尘的控制效率为74%，则总控制效率为89.6%，则破碎及筛分粉尘无组织排放量为</w:t>
            </w:r>
            <w:r>
              <w:rPr>
                <w:rFonts w:hint="eastAsia" w:cs="Times New Roman"/>
                <w:color w:val="auto"/>
                <w:lang w:val="en-US" w:eastAsia="zh-CN"/>
              </w:rPr>
              <w:t>0.016</w:t>
            </w:r>
            <w:r>
              <w:rPr>
                <w:rFonts w:hint="eastAsia" w:ascii="Times New Roman" w:hAnsi="Times New Roman" w:cs="Times New Roman"/>
                <w:color w:val="auto"/>
                <w:lang w:val="en-US" w:eastAsia="zh-CN"/>
              </w:rPr>
              <w:t>t/a，排放速</w:t>
            </w:r>
            <w:r>
              <w:rPr>
                <w:rFonts w:hint="eastAsia" w:cs="Times New Roman"/>
                <w:color w:val="auto"/>
                <w:lang w:val="en-US" w:eastAsia="zh-CN"/>
              </w:rPr>
              <w:t>0.144</w:t>
            </w:r>
            <w:r>
              <w:rPr>
                <w:rFonts w:hint="eastAsia" w:ascii="Times New Roman" w:hAnsi="Times New Roman" w:cs="Times New Roman"/>
                <w:color w:val="auto"/>
                <w:lang w:val="en-US" w:eastAsia="zh-CN"/>
              </w:rPr>
              <w:t>kg/h。</w:t>
            </w:r>
          </w:p>
          <w:p w14:paraId="7FACF835">
            <w:pPr>
              <w:pStyle w:val="74"/>
              <w:keepNext w:val="0"/>
              <w:keepLines w:val="0"/>
              <w:numPr>
                <w:ilvl w:val="0"/>
                <w:numId w:val="0"/>
              </w:numPr>
              <w:suppressLineNumbers w:val="0"/>
              <w:bidi w:val="0"/>
              <w:spacing w:before="0" w:beforeAutospacing="0" w:after="0" w:afterAutospacing="0"/>
              <w:ind w:left="0" w:leftChars="0" w:right="0" w:rightChars="0" w:firstLine="482" w:firstLineChars="200"/>
              <w:rPr>
                <w:rFonts w:hint="default" w:ascii="Times New Roman" w:hAnsi="Times New Roman" w:eastAsia="宋体"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5</w:t>
            </w:r>
            <w:r>
              <w:rPr>
                <w:rFonts w:hint="eastAsia" w:ascii="Times New Roman" w:hAnsi="Times New Roman" w:eastAsia="宋体" w:cs="Times New Roman"/>
                <w:b/>
                <w:bCs/>
                <w:color w:val="auto"/>
                <w:kern w:val="2"/>
                <w:sz w:val="24"/>
                <w:szCs w:val="24"/>
                <w:lang w:val="en-US" w:eastAsia="zh-CN" w:bidi="ar-SA"/>
              </w:rPr>
              <w:t>）搅拌</w:t>
            </w:r>
            <w:r>
              <w:rPr>
                <w:rFonts w:hint="eastAsia" w:cs="Times New Roman"/>
                <w:b/>
                <w:bCs/>
                <w:color w:val="auto"/>
                <w:kern w:val="2"/>
                <w:sz w:val="24"/>
                <w:szCs w:val="24"/>
                <w:lang w:val="en-US" w:eastAsia="zh-CN" w:bidi="ar-SA"/>
              </w:rPr>
              <w:t>废气</w:t>
            </w:r>
          </w:p>
          <w:p w14:paraId="082B1BDF">
            <w:pPr>
              <w:keepNext w:val="0"/>
              <w:keepLines w:val="0"/>
              <w:numPr>
                <w:ilvl w:val="0"/>
                <w:numId w:val="0"/>
              </w:numPr>
              <w:suppressLineNumbers w:val="0"/>
              <w:bidi w:val="0"/>
              <w:spacing w:before="0" w:beforeAutospacing="0" w:after="0" w:afterAutospacing="0"/>
              <w:ind w:left="0" w:leftChars="0" w:right="0" w:rightChars="0" w:firstLine="480" w:firstLineChars="20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项目原料、水泥等进入经计量比例进入搅拌系统拌合成混合料，然后进入轮碾机进行进一步轮碾、细碎，</w:t>
            </w:r>
            <w:r>
              <w:rPr>
                <w:rFonts w:hint="eastAsia" w:cs="Times New Roman"/>
                <w:color w:val="auto"/>
                <w:lang w:val="en-US" w:eastAsia="zh-CN"/>
              </w:rPr>
              <w:t>在搅拌的</w:t>
            </w:r>
            <w:r>
              <w:rPr>
                <w:rFonts w:hint="eastAsia" w:ascii="Times New Roman" w:hAnsi="Times New Roman" w:eastAsia="宋体" w:cs="Times New Roman"/>
                <w:color w:val="auto"/>
                <w:lang w:val="en-US" w:eastAsia="zh-CN"/>
              </w:rPr>
              <w:t>过程</w:t>
            </w:r>
            <w:r>
              <w:rPr>
                <w:rFonts w:hint="eastAsia" w:cs="Times New Roman"/>
                <w:color w:val="auto"/>
                <w:lang w:val="en-US" w:eastAsia="zh-CN"/>
              </w:rPr>
              <w:t>中脱硫石膏含水率较高不易扬尘，主要产生粉尘的为再生骨料与水泥</w:t>
            </w:r>
            <w:r>
              <w:rPr>
                <w:rFonts w:hint="eastAsia" w:ascii="Times New Roman" w:hAnsi="Times New Roman" w:eastAsia="宋体" w:cs="Times New Roman"/>
                <w:color w:val="auto"/>
                <w:lang w:val="en-US" w:eastAsia="zh-CN"/>
              </w:rPr>
              <w:t>，</w:t>
            </w:r>
            <w:r>
              <w:rPr>
                <w:rFonts w:hint="eastAsia" w:cs="Times New Roman"/>
                <w:color w:val="auto"/>
                <w:lang w:val="en-US" w:eastAsia="zh-CN"/>
              </w:rPr>
              <w:t>项目再生骨料用量约为58万吨，水泥用量约为6万吨，</w:t>
            </w:r>
            <w:r>
              <w:rPr>
                <w:rFonts w:hint="eastAsia" w:ascii="Times New Roman" w:hAnsi="Times New Roman" w:eastAsia="宋体" w:cs="Times New Roman"/>
                <w:color w:val="auto"/>
                <w:lang w:val="en-US" w:eastAsia="zh-CN"/>
              </w:rPr>
              <w:t>搅拌、轮碾产污系数参考依据《空气污染和控制手册》</w:t>
            </w:r>
            <w:r>
              <w:rPr>
                <w:rFonts w:hint="eastAsia" w:cs="Times New Roman"/>
                <w:color w:val="auto"/>
                <w:lang w:val="en-US" w:eastAsia="zh-CN"/>
              </w:rPr>
              <w:t>，</w:t>
            </w:r>
            <w:r>
              <w:rPr>
                <w:rFonts w:hint="eastAsia" w:ascii="Times New Roman" w:hAnsi="Times New Roman" w:eastAsia="宋体" w:cs="Times New Roman"/>
                <w:color w:val="auto"/>
                <w:lang w:val="en-US" w:eastAsia="zh-CN"/>
              </w:rPr>
              <w:t>物料混合搅拌工序产生粉尘为0.03kg/t</w:t>
            </w:r>
            <w:r>
              <w:rPr>
                <w:rFonts w:hint="eastAsia" w:cs="Times New Roman"/>
                <w:color w:val="auto"/>
                <w:lang w:val="en-US" w:eastAsia="zh-CN"/>
              </w:rPr>
              <w:t>，则粉尘产生量为19.2</w:t>
            </w:r>
            <w:r>
              <w:rPr>
                <w:rFonts w:hint="eastAsia" w:ascii="Times New Roman" w:hAnsi="Times New Roman" w:eastAsia="宋体" w:cs="Times New Roman"/>
                <w:color w:val="auto"/>
                <w:lang w:val="en-US" w:eastAsia="zh-CN"/>
              </w:rPr>
              <w:t>t/a</w:t>
            </w:r>
            <w:r>
              <w:rPr>
                <w:rFonts w:hint="eastAsia" w:cs="Times New Roman"/>
                <w:color w:val="auto"/>
                <w:lang w:val="en-US" w:eastAsia="zh-CN"/>
              </w:rPr>
              <w:t>（包含</w:t>
            </w:r>
            <w:r>
              <w:rPr>
                <w:rFonts w:hint="eastAsia" w:ascii="Times New Roman" w:hAnsi="Times New Roman" w:eastAsia="宋体" w:cs="Times New Roman"/>
                <w:color w:val="auto"/>
                <w:lang w:val="en-US" w:eastAsia="zh-CN"/>
              </w:rPr>
              <w:t>28万锂渣</w:t>
            </w:r>
            <w:r>
              <w:rPr>
                <w:rFonts w:hint="eastAsia" w:cs="Times New Roman"/>
                <w:color w:val="auto"/>
                <w:lang w:val="en-US" w:eastAsia="zh-CN"/>
              </w:rPr>
              <w:t>产生的8.4t/a</w:t>
            </w:r>
            <w:r>
              <w:rPr>
                <w:rFonts w:hint="eastAsia" w:ascii="Times New Roman" w:hAnsi="Times New Roman" w:eastAsia="宋体" w:cs="Times New Roman"/>
                <w:color w:val="auto"/>
                <w:lang w:val="en-US" w:eastAsia="zh-CN"/>
              </w:rPr>
              <w:t>粉尘</w:t>
            </w:r>
            <w:r>
              <w:rPr>
                <w:rFonts w:hint="eastAsia" w:cs="Times New Roman"/>
                <w:color w:val="auto"/>
                <w:lang w:val="en-US" w:eastAsia="zh-CN"/>
              </w:rPr>
              <w:t>）</w:t>
            </w:r>
            <w:r>
              <w:rPr>
                <w:rFonts w:hint="eastAsia" w:ascii="Times New Roman" w:hAnsi="Times New Roman" w:eastAsia="宋体" w:cs="Times New Roman"/>
                <w:color w:val="auto"/>
                <w:lang w:val="en-US" w:eastAsia="zh-CN"/>
              </w:rPr>
              <w:t>通过集气管道收集后采用1台布袋除尘器处理后经15m排气筒（DA001）排放，废气收集率可参考《袋式除尘工程通用技术规范》（HJ2020-2012），其中密闭罩100%、半密闭罩95%、吹吸罩90%，本项目采用密闭，收集效率为100%，工作时间7200h，风量为8000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ascii="Times New Roman" w:hAnsi="Times New Roman" w:eastAsia="宋体" w:cs="Times New Roman"/>
                <w:color w:val="auto"/>
                <w:lang w:val="en-US" w:eastAsia="zh-CN"/>
              </w:rPr>
              <w:t>/h，布袋除尘器去除效率为99.7%，排放量为</w:t>
            </w:r>
            <w:r>
              <w:rPr>
                <w:rFonts w:hint="eastAsia" w:cs="Times New Roman"/>
                <w:color w:val="auto"/>
                <w:lang w:val="en-US" w:eastAsia="zh-CN"/>
              </w:rPr>
              <w:t>0.058</w:t>
            </w:r>
            <w:r>
              <w:rPr>
                <w:rFonts w:hint="eastAsia" w:ascii="Times New Roman" w:hAnsi="Times New Roman" w:eastAsia="宋体" w:cs="Times New Roman"/>
                <w:color w:val="auto"/>
                <w:lang w:val="en-US" w:eastAsia="zh-CN"/>
              </w:rPr>
              <w:t>t/a，排放速率为</w:t>
            </w:r>
            <w:r>
              <w:rPr>
                <w:rFonts w:hint="eastAsia" w:cs="Times New Roman"/>
                <w:color w:val="auto"/>
                <w:lang w:val="en-US" w:eastAsia="zh-CN"/>
              </w:rPr>
              <w:t>0.007</w:t>
            </w:r>
            <w:r>
              <w:rPr>
                <w:rFonts w:hint="eastAsia" w:ascii="Times New Roman" w:hAnsi="Times New Roman" w:eastAsia="宋体" w:cs="Times New Roman"/>
                <w:color w:val="auto"/>
                <w:lang w:val="en-US" w:eastAsia="zh-CN"/>
              </w:rPr>
              <w:t>kg/h，未收集粉尘</w:t>
            </w:r>
            <w:r>
              <w:rPr>
                <w:rFonts w:hint="eastAsia" w:cs="Times New Roman"/>
                <w:color w:val="auto"/>
                <w:lang w:val="en-US" w:eastAsia="zh-CN"/>
              </w:rPr>
              <w:t>1.92</w:t>
            </w:r>
            <w:r>
              <w:rPr>
                <w:rFonts w:hint="eastAsia" w:ascii="Times New Roman" w:hAnsi="Times New Roman" w:eastAsia="宋体" w:cs="Times New Roman"/>
                <w:color w:val="auto"/>
                <w:lang w:val="en-US" w:eastAsia="zh-CN"/>
              </w:rPr>
              <w:t>t/a，由于搅拌过程位于半封闭厂房，且定期进行洒水除尘，根据《排放源统计调查产排污核算方法和系数手册》附1工业源－附表2固体物料堆存颗粒物产排污核算系数手册，半封闭的沉降效率为60%，洒水抑尘的控制效率为74%，则总控制效率为89.6%，因此搅拌粉尘无组织排放量为</w:t>
            </w:r>
            <w:r>
              <w:rPr>
                <w:rFonts w:hint="eastAsia" w:cs="Times New Roman"/>
                <w:color w:val="auto"/>
                <w:lang w:val="en-US" w:eastAsia="zh-CN"/>
              </w:rPr>
              <w:t>0.1997</w:t>
            </w:r>
            <w:r>
              <w:rPr>
                <w:rFonts w:hint="eastAsia" w:ascii="Times New Roman" w:hAnsi="Times New Roman" w:eastAsia="宋体" w:cs="Times New Roman"/>
                <w:color w:val="auto"/>
                <w:lang w:val="en-US" w:eastAsia="zh-CN"/>
              </w:rPr>
              <w:t>t/a，排放速率0.0</w:t>
            </w:r>
            <w:r>
              <w:rPr>
                <w:rFonts w:hint="eastAsia" w:cs="Times New Roman"/>
                <w:color w:val="auto"/>
                <w:lang w:val="en-US" w:eastAsia="zh-CN"/>
              </w:rPr>
              <w:t>27</w:t>
            </w:r>
            <w:r>
              <w:rPr>
                <w:rFonts w:hint="eastAsia" w:ascii="Times New Roman" w:hAnsi="Times New Roman" w:eastAsia="宋体" w:cs="Times New Roman"/>
                <w:color w:val="auto"/>
                <w:lang w:val="en-US" w:eastAsia="zh-CN"/>
              </w:rPr>
              <w:t>7kg/h。</w:t>
            </w:r>
          </w:p>
          <w:p w14:paraId="477CA38B">
            <w:pPr>
              <w:keepNext w:val="0"/>
              <w:keepLines w:val="0"/>
              <w:numPr>
                <w:ilvl w:val="0"/>
                <w:numId w:val="0"/>
              </w:numPr>
              <w:suppressLineNumbers w:val="0"/>
              <w:bidi w:val="0"/>
              <w:spacing w:before="0" w:beforeAutospacing="0" w:after="0" w:afterAutospacing="0"/>
              <w:ind w:left="0" w:leftChars="0" w:right="0" w:rightChars="0" w:firstLine="480" w:firstLineChars="20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本项目搅拌废气主要以颗粒物的形式排放，根据前文的元素平衡可知，锂渣中的氟化物的含量分</w:t>
            </w:r>
            <w:r>
              <w:rPr>
                <w:rFonts w:hint="eastAsia" w:cs="Times New Roman"/>
                <w:color w:val="auto"/>
                <w:lang w:val="en-US" w:eastAsia="zh-CN"/>
              </w:rPr>
              <w:t>别为18</w:t>
            </w:r>
            <w:r>
              <w:rPr>
                <w:rFonts w:hint="eastAsia" w:ascii="Times New Roman" w:hAnsi="Times New Roman" w:eastAsia="宋体" w:cs="Times New Roman"/>
                <w:color w:val="auto"/>
                <w:lang w:val="en-US" w:eastAsia="zh-CN"/>
              </w:rPr>
              <w:t>g/kg，根据该含量核算运输扬尘氟化物的量，详情见4-1。</w:t>
            </w:r>
          </w:p>
          <w:p w14:paraId="77ECC432">
            <w:pPr>
              <w:keepNext w:val="0"/>
              <w:keepLines w:val="0"/>
              <w:numPr>
                <w:ilvl w:val="0"/>
                <w:numId w:val="0"/>
              </w:numPr>
              <w:suppressLineNumbers w:val="0"/>
              <w:bidi w:val="0"/>
              <w:spacing w:before="0" w:beforeAutospacing="0" w:after="0" w:afterAutospacing="0"/>
              <w:ind w:left="0" w:leftChars="0" w:right="0" w:rightChars="0" w:firstLine="482" w:firstLineChars="200"/>
              <w:rPr>
                <w:rFonts w:hint="eastAsia" w:cs="Times New Roman"/>
                <w:b/>
                <w:bCs/>
                <w:color w:val="auto"/>
                <w:lang w:val="en-US" w:eastAsia="zh-CN"/>
              </w:rPr>
            </w:pPr>
            <w:r>
              <w:rPr>
                <w:rFonts w:hint="eastAsia" w:cs="Times New Roman"/>
                <w:b/>
                <w:bCs/>
                <w:color w:val="auto"/>
                <w:kern w:val="2"/>
                <w:sz w:val="24"/>
                <w:szCs w:val="24"/>
                <w:lang w:val="en-US" w:eastAsia="zh-CN" w:bidi="ar-SA"/>
              </w:rPr>
              <w:t>6</w:t>
            </w:r>
            <w:r>
              <w:rPr>
                <w:rFonts w:hint="eastAsia" w:ascii="Times New Roman" w:hAnsi="Times New Roman" w:eastAsia="宋体" w:cs="Times New Roman"/>
                <w:b/>
                <w:bCs/>
                <w:color w:val="auto"/>
                <w:kern w:val="2"/>
                <w:sz w:val="24"/>
                <w:szCs w:val="24"/>
                <w:lang w:val="en-US" w:eastAsia="zh-CN" w:bidi="ar-SA"/>
              </w:rPr>
              <w:t>）</w:t>
            </w:r>
            <w:r>
              <w:rPr>
                <w:rFonts w:hint="eastAsia" w:cs="Times New Roman"/>
                <w:b/>
                <w:bCs/>
                <w:color w:val="auto"/>
                <w:lang w:val="en-US" w:eastAsia="zh-CN"/>
              </w:rPr>
              <w:t>物料运输储存粉尘</w:t>
            </w:r>
          </w:p>
          <w:p w14:paraId="6034E620">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（1）原辅材料储运粉尘</w:t>
            </w:r>
          </w:p>
          <w:p w14:paraId="4BBB572C">
            <w:pPr>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本项目原辅材料储运粉尘包括装卸粉尘和堆场扬尘。</w:t>
            </w:r>
          </w:p>
          <w:p w14:paraId="0F735A88">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drawing>
                <wp:anchor distT="0" distB="0" distL="0" distR="0" simplePos="0" relativeHeight="251662336" behindDoc="0" locked="0" layoutInCell="1" allowOverlap="1">
                  <wp:simplePos x="0" y="0"/>
                  <wp:positionH relativeFrom="column">
                    <wp:posOffset>105410</wp:posOffset>
                  </wp:positionH>
                  <wp:positionV relativeFrom="paragraph">
                    <wp:posOffset>2169795</wp:posOffset>
                  </wp:positionV>
                  <wp:extent cx="4905375" cy="489585"/>
                  <wp:effectExtent l="0" t="0" r="1905" b="13335"/>
                  <wp:wrapTopAndBottom/>
                  <wp:docPr id="3" name="IM 14"/>
                  <wp:cNvGraphicFramePr/>
                  <a:graphic xmlns:a="http://schemas.openxmlformats.org/drawingml/2006/main">
                    <a:graphicData uri="http://schemas.openxmlformats.org/drawingml/2006/picture">
                      <pic:pic xmlns:pic="http://schemas.openxmlformats.org/drawingml/2006/picture">
                        <pic:nvPicPr>
                          <pic:cNvPr id="3" name="IM 14"/>
                          <pic:cNvPicPr/>
                        </pic:nvPicPr>
                        <pic:blipFill>
                          <a:blip r:embed="rId19"/>
                          <a:stretch>
                            <a:fillRect/>
                          </a:stretch>
                        </pic:blipFill>
                        <pic:spPr>
                          <a:xfrm>
                            <a:off x="0" y="0"/>
                            <a:ext cx="4905755" cy="489585"/>
                          </a:xfrm>
                          <a:prstGeom prst="rect">
                            <a:avLst/>
                          </a:prstGeom>
                        </pic:spPr>
                      </pic:pic>
                    </a:graphicData>
                  </a:graphic>
                </wp:anchor>
              </w:drawing>
            </w:r>
            <w:r>
              <w:rPr>
                <w:rFonts w:hint="eastAsia" w:ascii="Times New Roman" w:hAnsi="Times New Roman" w:eastAsia="宋体" w:cs="Times New Roman"/>
                <w:color w:val="auto"/>
                <w:lang w:val="en-US" w:eastAsia="zh-CN"/>
              </w:rPr>
              <w:t>项目营运期各原辅材料均由汽车运输进厂在原料仓库内卸料，过程中产生粉尘。水泥经专用罐车运输进厂后直接卸料至料仓内，卸料时通过管道以负压吸入，不产生装卸粉尘和堆放粉尘，</w:t>
            </w:r>
            <w:r>
              <w:rPr>
                <w:rFonts w:hint="eastAsia" w:cs="Times New Roman"/>
                <w:color w:val="auto"/>
                <w:lang w:val="en-US" w:eastAsia="zh-CN"/>
              </w:rPr>
              <w:t>建筑废料</w:t>
            </w:r>
            <w:r>
              <w:rPr>
                <w:rFonts w:hint="eastAsia" w:ascii="Times New Roman" w:hAnsi="Times New Roman" w:eastAsia="宋体" w:cs="Times New Roman"/>
                <w:color w:val="auto"/>
                <w:lang w:val="en-US" w:eastAsia="zh-CN"/>
              </w:rPr>
              <w:t>粒径较大卸料过程基本不产生粉尘，螯合剂、固化剂为袋装材料，卸料时产生粉尘极小可忽略不计，则其他原料卸料量</w:t>
            </w:r>
            <w:r>
              <w:rPr>
                <w:rFonts w:hint="eastAsia" w:cs="Times New Roman"/>
                <w:color w:val="auto"/>
                <w:lang w:val="en-US" w:eastAsia="zh-CN"/>
              </w:rPr>
              <w:t>58.1</w:t>
            </w:r>
            <w:r>
              <w:rPr>
                <w:rFonts w:hint="eastAsia" w:ascii="Times New Roman" w:hAnsi="Times New Roman" w:eastAsia="宋体" w:cs="Times New Roman"/>
                <w:color w:val="auto"/>
                <w:lang w:val="en-US" w:eastAsia="zh-CN"/>
              </w:rPr>
              <w:t>万t/a。由于本项目原料仓库为半封闭，且定期进行洒水除尘，项目锂渣在原料仓库中堆放，原料装卸及存储过程中会产生装卸粉尘以及风蚀扬尘。根据《排放源统计调查产排污核算方法和系数手册》中《固体物料堆存颗粒物产排污核算系数手册》，堆料粉尘计算公式如下：</w:t>
            </w:r>
          </w:p>
          <w:p w14:paraId="51D07185">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式中：P指颗粒物的产生量（t）；</w:t>
            </w:r>
          </w:p>
          <w:p w14:paraId="187066FF">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ZCy指装卸扬尘产生量（t）；</w:t>
            </w:r>
          </w:p>
          <w:p w14:paraId="2874F0B6">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FCy指风蚀扬尘产生量（t）；</w:t>
            </w:r>
          </w:p>
          <w:p w14:paraId="1515F87E">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Nc指年物料运载车次（车）；</w:t>
            </w:r>
          </w:p>
          <w:p w14:paraId="409BF3D5">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D指单车平均运载量（t/车）；</w:t>
            </w:r>
          </w:p>
          <w:p w14:paraId="48E55E36">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S指堆场占地面积（</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eastAsia" w:ascii="Times New Roman" w:hAnsi="Times New Roman" w:eastAsia="宋体" w:cs="Times New Roman"/>
                <w:color w:val="auto"/>
                <w:lang w:val="en-US" w:eastAsia="zh-CN"/>
              </w:rPr>
              <w:t>）；</w:t>
            </w:r>
          </w:p>
          <w:p w14:paraId="11C2E199">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（a/b）指装卸扬尘概化系数（kg/t）；</w:t>
            </w:r>
          </w:p>
          <w:p w14:paraId="6A5A9098">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Ef指堆场风蚀扬尘概化系数（kg/</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eastAsia" w:ascii="Times New Roman" w:hAnsi="Times New Roman" w:eastAsia="宋体" w:cs="Times New Roman"/>
                <w:color w:val="auto"/>
                <w:lang w:val="en-US" w:eastAsia="zh-CN"/>
              </w:rPr>
              <w:t>）。</w:t>
            </w:r>
          </w:p>
          <w:p w14:paraId="6866857E">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项目单车平均运载量为40t，锂渣</w:t>
            </w:r>
            <w:r>
              <w:rPr>
                <w:rFonts w:hint="eastAsia" w:cs="Times New Roman"/>
                <w:color w:val="auto"/>
                <w:lang w:val="en-US" w:eastAsia="zh-CN"/>
              </w:rPr>
              <w:t>、脱硫石膏、破陶瓷砖拋光泥</w:t>
            </w:r>
            <w:r>
              <w:rPr>
                <w:rFonts w:hint="eastAsia" w:ascii="Times New Roman" w:hAnsi="Times New Roman" w:eastAsia="宋体" w:cs="Times New Roman"/>
                <w:color w:val="auto"/>
                <w:lang w:val="en-US" w:eastAsia="zh-CN"/>
              </w:rPr>
              <w:t>年用量为</w:t>
            </w:r>
            <w:r>
              <w:rPr>
                <w:rFonts w:hint="eastAsia" w:cs="Times New Roman"/>
                <w:color w:val="auto"/>
                <w:lang w:val="en-US" w:eastAsia="zh-CN"/>
              </w:rPr>
              <w:t>581000</w:t>
            </w:r>
            <w:r>
              <w:rPr>
                <w:rFonts w:hint="eastAsia" w:ascii="Times New Roman" w:hAnsi="Times New Roman" w:eastAsia="宋体" w:cs="Times New Roman"/>
                <w:color w:val="auto"/>
                <w:lang w:val="en-US" w:eastAsia="zh-CN"/>
              </w:rPr>
              <w:t>t，折合年物料运载</w:t>
            </w:r>
            <w:r>
              <w:rPr>
                <w:rFonts w:hint="eastAsia" w:cs="Times New Roman"/>
                <w:color w:val="auto"/>
                <w:lang w:val="en-US" w:eastAsia="zh-CN"/>
              </w:rPr>
              <w:t>14525</w:t>
            </w:r>
            <w:r>
              <w:rPr>
                <w:rFonts w:hint="eastAsia" w:ascii="Times New Roman" w:hAnsi="Times New Roman" w:eastAsia="宋体" w:cs="Times New Roman"/>
                <w:color w:val="auto"/>
                <w:lang w:val="en-US" w:eastAsia="zh-CN"/>
              </w:rPr>
              <w:t>车次，</w:t>
            </w:r>
            <w:r>
              <w:rPr>
                <w:rFonts w:hint="eastAsia" w:cs="Times New Roman"/>
                <w:color w:val="auto"/>
                <w:lang w:val="en-US" w:eastAsia="zh-CN"/>
              </w:rPr>
              <w:t>三个</w:t>
            </w:r>
            <w:r>
              <w:rPr>
                <w:rFonts w:hint="eastAsia" w:ascii="Times New Roman" w:hAnsi="Times New Roman" w:eastAsia="宋体" w:cs="Times New Roman"/>
                <w:color w:val="auto"/>
                <w:lang w:val="en-US" w:eastAsia="zh-CN"/>
              </w:rPr>
              <w:t>仓库占地面积约</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eastAsia" w:ascii="Times New Roman" w:hAnsi="Times New Roman" w:eastAsia="宋体" w:cs="Times New Roman"/>
                <w:color w:val="auto"/>
                <w:lang w:val="en-US" w:eastAsia="zh-CN"/>
              </w:rPr>
              <w:t>，对照《排放源统计调查产排污核算方法和系数手册》（公告2021年第24号）中《固体物料堆存颗粒物产排污核算系数手册》附录，装卸扬尘概化系数（a/b）中a指各省风速概化系数，江西省取值0.0008，进厂含水率</w:t>
            </w:r>
            <w:r>
              <w:rPr>
                <w:rFonts w:hint="eastAsia" w:cs="Times New Roman"/>
                <w:color w:val="auto"/>
                <w:lang w:val="en-US" w:eastAsia="zh-CN"/>
              </w:rPr>
              <w:t>平均在20</w:t>
            </w:r>
            <w:r>
              <w:rPr>
                <w:rFonts w:hint="eastAsia" w:ascii="Times New Roman" w:hAnsi="Times New Roman" w:eastAsia="宋体" w:cs="Times New Roman"/>
                <w:color w:val="auto"/>
                <w:lang w:val="en-US" w:eastAsia="zh-CN"/>
              </w:rPr>
              <w:t>%参照含油碱渣（含水率20%）取b值为0.0398；则概化系数为0.02，Ef=0。</w:t>
            </w:r>
          </w:p>
          <w:p w14:paraId="232501AB">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由上述公式可知，P锂渣=[</w:t>
            </w:r>
            <w:r>
              <w:rPr>
                <w:rFonts w:hint="eastAsia" w:cs="Times New Roman"/>
                <w:color w:val="auto"/>
                <w:lang w:val="en-US" w:eastAsia="zh-CN"/>
              </w:rPr>
              <w:t>14525</w:t>
            </w:r>
            <w:r>
              <w:rPr>
                <w:rFonts w:hint="eastAsia" w:ascii="Times New Roman" w:hAnsi="Times New Roman" w:eastAsia="宋体" w:cs="Times New Roman"/>
                <w:color w:val="auto"/>
                <w:lang w:val="en-US" w:eastAsia="zh-CN"/>
              </w:rPr>
              <w:t>×40×0.02+2×0×</w:t>
            </w:r>
            <w:r>
              <w:rPr>
                <w:rFonts w:hint="eastAsia" w:cs="Times New Roman"/>
                <w:color w:val="auto"/>
                <w:lang w:val="en-US" w:eastAsia="zh-CN"/>
              </w:rPr>
              <w:t>918</w:t>
            </w:r>
            <w:r>
              <w:rPr>
                <w:rFonts w:hint="eastAsia" w:ascii="Times New Roman" w:hAnsi="Times New Roman" w:eastAsia="宋体" w:cs="Times New Roman"/>
                <w:color w:val="auto"/>
                <w:lang w:val="en-US" w:eastAsia="zh-CN"/>
              </w:rPr>
              <w:t>]×10</w:t>
            </w:r>
            <w:r>
              <w:rPr>
                <w:rFonts w:hint="eastAsia" w:ascii="Times New Roman" w:hAnsi="Times New Roman" w:eastAsia="宋体" w:cs="Times New Roman"/>
                <w:color w:val="auto"/>
                <w:vertAlign w:val="superscript"/>
                <w:lang w:val="en-US" w:eastAsia="zh-CN"/>
              </w:rPr>
              <w:t>-3</w:t>
            </w:r>
            <w:r>
              <w:rPr>
                <w:rFonts w:hint="eastAsia" w:ascii="Times New Roman" w:hAnsi="Times New Roman" w:eastAsia="宋体" w:cs="Times New Roman"/>
                <w:color w:val="auto"/>
                <w:lang w:val="en-US" w:eastAsia="zh-CN"/>
              </w:rPr>
              <w:t>=</w:t>
            </w:r>
            <w:r>
              <w:rPr>
                <w:rFonts w:hint="eastAsia" w:cs="Times New Roman"/>
                <w:color w:val="auto"/>
                <w:lang w:val="en-US" w:eastAsia="zh-CN"/>
              </w:rPr>
              <w:t>11.62</w:t>
            </w:r>
            <w:r>
              <w:rPr>
                <w:rFonts w:hint="eastAsia" w:ascii="Times New Roman" w:hAnsi="Times New Roman" w:eastAsia="宋体" w:cs="Times New Roman"/>
                <w:color w:val="auto"/>
                <w:lang w:val="en-US" w:eastAsia="zh-CN"/>
              </w:rPr>
              <w:t>t/a，即储运粉尘产生量约11.62t/a，原料仓库设置在厂区北面，为半敞开式厂房，在原料仓库加装雾炮机洒水降尘，根据《排放源统计调查产排污核算方法和系数手册》附1工业源－附表2固体物料堆存颗粒物产排污核算系数手册，半封闭的沉降效率为60%，洒水抑尘的控制效率为74%，则总控制效率为89.6%，则无组织粉尘排放量为</w:t>
            </w:r>
            <w:r>
              <w:rPr>
                <w:rFonts w:hint="eastAsia" w:cs="Times New Roman"/>
                <w:color w:val="auto"/>
                <w:lang w:val="en-US" w:eastAsia="zh-CN"/>
              </w:rPr>
              <w:t>1.2085</w:t>
            </w:r>
            <w:r>
              <w:rPr>
                <w:rFonts w:hint="eastAsia" w:ascii="Times New Roman" w:hAnsi="Times New Roman" w:eastAsia="宋体" w:cs="Times New Roman"/>
                <w:color w:val="auto"/>
                <w:lang w:val="en-US" w:eastAsia="zh-CN"/>
              </w:rPr>
              <w:t>t/a，排放速率为</w:t>
            </w:r>
            <w:r>
              <w:rPr>
                <w:rFonts w:hint="eastAsia" w:cs="Times New Roman"/>
                <w:color w:val="auto"/>
                <w:lang w:val="en-US" w:eastAsia="zh-CN"/>
              </w:rPr>
              <w:t>0.2518</w:t>
            </w:r>
            <w:r>
              <w:rPr>
                <w:rFonts w:hint="eastAsia" w:ascii="Times New Roman" w:hAnsi="Times New Roman" w:eastAsia="宋体" w:cs="Times New Roman"/>
                <w:color w:val="auto"/>
                <w:lang w:val="en-US" w:eastAsia="zh-CN"/>
              </w:rPr>
              <w:t>kg/h。</w:t>
            </w:r>
          </w:p>
          <w:p w14:paraId="28A50606">
            <w:pPr>
              <w:keepNext w:val="0"/>
              <w:keepLines w:val="0"/>
              <w:suppressLineNumbers w:val="0"/>
              <w:bidi w:val="0"/>
              <w:spacing w:before="0" w:beforeAutospacing="0" w:after="0" w:afterAutospacing="0"/>
              <w:ind w:left="0" w:right="0"/>
              <w:rPr>
                <w:rFonts w:hint="eastAsia" w:cs="Times New Roman"/>
                <w:b/>
                <w:bCs/>
                <w:color w:val="auto"/>
                <w:lang w:val="en-US" w:eastAsia="zh-CN"/>
              </w:rPr>
            </w:pPr>
            <w:r>
              <w:rPr>
                <w:rFonts w:hint="eastAsia" w:cs="Times New Roman"/>
                <w:b/>
                <w:bCs/>
                <w:color w:val="auto"/>
                <w:lang w:eastAsia="zh-CN"/>
              </w:rPr>
              <w:t>（</w:t>
            </w:r>
            <w:r>
              <w:rPr>
                <w:rFonts w:hint="eastAsia" w:cs="Times New Roman"/>
                <w:b/>
                <w:bCs/>
                <w:color w:val="auto"/>
                <w:lang w:val="en-US" w:eastAsia="zh-CN"/>
              </w:rPr>
              <w:t>4</w:t>
            </w:r>
            <w:r>
              <w:rPr>
                <w:rFonts w:hint="eastAsia" w:cs="Times New Roman"/>
                <w:b/>
                <w:bCs/>
                <w:color w:val="auto"/>
                <w:lang w:eastAsia="zh-CN"/>
              </w:rPr>
              <w:t>）</w:t>
            </w:r>
            <w:r>
              <w:rPr>
                <w:rFonts w:hint="default" w:cs="Times New Roman"/>
                <w:b/>
                <w:bCs/>
                <w:color w:val="auto"/>
                <w:lang w:val="en-US" w:eastAsia="zh-CN"/>
              </w:rPr>
              <w:t>防治措施</w:t>
            </w:r>
            <w:r>
              <w:rPr>
                <w:rFonts w:hint="eastAsia" w:cs="Times New Roman"/>
                <w:b/>
                <w:bCs/>
                <w:color w:val="auto"/>
                <w:lang w:val="en-US" w:eastAsia="zh-CN"/>
              </w:rPr>
              <w:t>可行性分析</w:t>
            </w:r>
          </w:p>
          <w:p w14:paraId="1A17686F">
            <w:pPr>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1）</w:t>
            </w:r>
            <w:r>
              <w:rPr>
                <w:rFonts w:hint="eastAsia" w:ascii="Times New Roman" w:hAnsi="Times New Roman" w:cs="Times New Roman"/>
                <w:color w:val="auto"/>
                <w:lang w:val="en-US" w:eastAsia="zh-CN"/>
              </w:rPr>
              <w:t>根据《排污许可证申请与核发技术规范废弃资源加工工业》（HJ1034）和《排污单位自行监测技术指南 砖瓦工业》（HJ1254-2022）中的废气污染防治可行技术，颗粒物污染防治可行技术包括：袋式除尘器、电除尘器、电袋复合除尘器、其他等高效除尘设备；根据水泥工业污染防治技术政策[公告2013年第31号]，逸散粉尘的设备和作业场所均应采取控制措施，在工艺条件允许的前提下，宜优先采用密闭、覆盖或负压操作的方法，防止粉尘逸出，或负压收集含尘气体净化处理后排放。通过合理工艺布置、厂内密闭输送、路面硬化、清扫洒水等措施减少道路交通扬尘。本项目粉尘采取集气罩/密闭管道收集+袋式除尘处理；项目有组织废气经处理后，颗粒物满足《大气污染物综合排放标准》（GB16297-1996）表2中排放标准，因此，废气污染防治措施均为可行技术</w:t>
            </w:r>
            <w:r>
              <w:rPr>
                <w:rFonts w:hint="eastAsia" w:cs="Times New Roman"/>
                <w:color w:val="auto"/>
                <w:lang w:val="en-US" w:eastAsia="zh-CN"/>
              </w:rPr>
              <w:t>。</w:t>
            </w:r>
          </w:p>
          <w:p w14:paraId="384DFF9B">
            <w:pPr>
              <w:keepNext w:val="0"/>
              <w:keepLines w:val="0"/>
              <w:suppressLineNumbers w:val="0"/>
              <w:bidi w:val="0"/>
              <w:spacing w:before="0" w:beforeAutospacing="0" w:after="0" w:afterAutospacing="0"/>
              <w:ind w:left="0" w:right="0"/>
              <w:rPr>
                <w:rFonts w:hint="default" w:ascii="Calibri" w:hAnsi="Calibri" w:cs="Calibri"/>
                <w:color w:val="auto"/>
                <w:lang w:val="en-US" w:eastAsia="zh-CN"/>
              </w:rPr>
            </w:pPr>
            <w:r>
              <w:rPr>
                <w:rFonts w:hint="eastAsia" w:ascii="Calibri" w:hAnsi="Calibri" w:cs="Calibri"/>
                <w:color w:val="auto"/>
                <w:lang w:val="en-US" w:eastAsia="zh-CN"/>
              </w:rPr>
              <w:t>2）</w:t>
            </w:r>
            <w:r>
              <w:rPr>
                <w:rFonts w:hint="default" w:ascii="Calibri" w:hAnsi="Calibri" w:cs="Calibri"/>
                <w:color w:val="auto"/>
                <w:lang w:val="en-US" w:eastAsia="zh-CN"/>
              </w:rPr>
              <w:t>本项目运输过程应采用喷雾、洒水、喷淋等降尘措施；运有物料的车辆应采用棚布遮盖，采取密闭运输，出场前用水冲洗轮胎，降低运输扬尘的排放；加快老旧车辆的淘汰和不达标车辆的整治；加强运输车辆规范化管理，严格实施密闭运输，积极响应国家节能减排号召，运输车辆采用新能源车辆，减少运输过程的碳排放。原辅材料的运输路线建议选择敏感点少且距离短的优化路线，减少运输过程对环境的影响。项目原辅料运输车辆采取密闭、苫盖等措施，厂区道路已进行硬化，并定期洒水，车间设置喷雾洒水装置，定期对喷雾洒水系统进行维护。项目通过以上措施减少废气的无组织排放，治理维护的成本低，根据工程分析结果，经过以上控制措施，颗粒物能够达到《大气污染物综合排放标准》（GB16297-1996）表2无组织排放监控浓度限值，因此无组织废气排放处理措施可行。</w:t>
            </w:r>
          </w:p>
          <w:p w14:paraId="70131151">
            <w:pPr>
              <w:keepNext w:val="0"/>
              <w:keepLines w:val="0"/>
              <w:suppressLineNumbers w:val="0"/>
              <w:bidi w:val="0"/>
              <w:spacing w:before="0" w:beforeAutospacing="0" w:after="0" w:afterAutospacing="0"/>
              <w:ind w:left="0" w:right="0"/>
              <w:rPr>
                <w:rFonts w:hint="default" w:ascii="Calibri" w:hAnsi="Calibri" w:cs="Calibri"/>
                <w:color w:val="auto"/>
                <w:lang w:val="en-US" w:eastAsia="zh-CN"/>
              </w:rPr>
            </w:pPr>
            <w:r>
              <w:rPr>
                <w:rFonts w:hint="default" w:ascii="Calibri" w:hAnsi="Calibri" w:cs="Calibri"/>
                <w:color w:val="auto"/>
                <w:lang w:val="en-US" w:eastAsia="zh-CN"/>
              </w:rPr>
              <w:t>无组织废气收集和处理应满足以下要求：</w:t>
            </w:r>
          </w:p>
          <w:p w14:paraId="0724B36A">
            <w:pPr>
              <w:keepNext w:val="0"/>
              <w:keepLines w:val="0"/>
              <w:suppressLineNumbers w:val="0"/>
              <w:bidi w:val="0"/>
              <w:spacing w:before="0" w:beforeAutospacing="0" w:after="0" w:afterAutospacing="0"/>
              <w:ind w:left="0" w:right="0"/>
              <w:rPr>
                <w:rFonts w:hint="default" w:ascii="Calibri" w:hAnsi="Calibri" w:eastAsia="宋体" w:cs="Calibri"/>
                <w:color w:val="auto"/>
                <w:lang w:val="en-US" w:eastAsia="zh-CN"/>
              </w:rPr>
            </w:pPr>
            <w:r>
              <w:rPr>
                <w:rFonts w:hint="default" w:ascii="Calibri" w:hAnsi="Calibri" w:eastAsia="宋体" w:cs="Calibri"/>
                <w:color w:val="auto"/>
                <w:lang w:val="en-US" w:eastAsia="zh-CN"/>
              </w:rPr>
              <w:t>①储存要求：物料均密闭存放，不露天储存，且采取喷淋降尘措施。</w:t>
            </w:r>
          </w:p>
          <w:p w14:paraId="3B9C8F04">
            <w:pPr>
              <w:keepNext w:val="0"/>
              <w:keepLines w:val="0"/>
              <w:suppressLineNumbers w:val="0"/>
              <w:bidi w:val="0"/>
              <w:spacing w:before="0" w:beforeAutospacing="0" w:after="0" w:afterAutospacing="0"/>
              <w:ind w:left="0" w:right="0"/>
              <w:rPr>
                <w:rFonts w:hint="default" w:ascii="Calibri" w:hAnsi="Calibri" w:eastAsia="宋体" w:cs="Calibri"/>
                <w:color w:val="auto"/>
                <w:lang w:val="en-US" w:eastAsia="zh-CN"/>
              </w:rPr>
            </w:pPr>
            <w:r>
              <w:rPr>
                <w:rFonts w:hint="default" w:ascii="Calibri" w:hAnsi="Calibri" w:eastAsia="宋体" w:cs="Calibri"/>
                <w:color w:val="auto"/>
                <w:lang w:val="en-US" w:eastAsia="zh-CN"/>
              </w:rPr>
              <w:t>②废气收集管道应密闭；</w:t>
            </w:r>
          </w:p>
          <w:p w14:paraId="5A20A85B">
            <w:pPr>
              <w:keepNext w:val="0"/>
              <w:keepLines w:val="0"/>
              <w:suppressLineNumbers w:val="0"/>
              <w:bidi w:val="0"/>
              <w:spacing w:before="0" w:beforeAutospacing="0" w:after="0" w:afterAutospacing="0"/>
              <w:ind w:left="0" w:right="0"/>
              <w:rPr>
                <w:rFonts w:hint="default" w:ascii="Calibri" w:hAnsi="Calibri" w:eastAsia="宋体" w:cs="Calibri"/>
                <w:color w:val="auto"/>
                <w:lang w:val="en-US" w:eastAsia="zh-CN"/>
              </w:rPr>
            </w:pPr>
            <w:r>
              <w:rPr>
                <w:rFonts w:hint="default" w:ascii="Calibri" w:hAnsi="Calibri" w:eastAsia="宋体" w:cs="Calibri"/>
                <w:color w:val="auto"/>
                <w:lang w:val="en-US" w:eastAsia="zh-CN"/>
              </w:rPr>
              <w:t>③废气收集处理系统应与生产工艺设备同步运行；</w:t>
            </w:r>
          </w:p>
          <w:p w14:paraId="4A49E206">
            <w:pPr>
              <w:keepNext w:val="0"/>
              <w:keepLines w:val="0"/>
              <w:suppressLineNumbers w:val="0"/>
              <w:bidi w:val="0"/>
              <w:spacing w:before="0" w:beforeAutospacing="0" w:after="0" w:afterAutospacing="0"/>
              <w:ind w:left="0" w:right="0"/>
              <w:rPr>
                <w:rFonts w:hint="default" w:ascii="Calibri" w:hAnsi="Calibri" w:eastAsia="宋体" w:cs="Calibri"/>
                <w:color w:val="auto"/>
                <w:lang w:val="en-US" w:eastAsia="zh-CN"/>
              </w:rPr>
            </w:pPr>
            <w:r>
              <w:rPr>
                <w:rFonts w:hint="default" w:ascii="Calibri" w:hAnsi="Calibri" w:eastAsia="宋体" w:cs="Calibri"/>
                <w:color w:val="auto"/>
                <w:lang w:val="en-US" w:eastAsia="zh-CN"/>
              </w:rPr>
              <w:t>④废气收集效率不应低于80%。</w:t>
            </w:r>
          </w:p>
          <w:p w14:paraId="420E289C">
            <w:pPr>
              <w:keepNext w:val="0"/>
              <w:keepLines w:val="0"/>
              <w:suppressLineNumbers w:val="0"/>
              <w:bidi w:val="0"/>
              <w:spacing w:before="0" w:beforeAutospacing="0" w:after="0" w:afterAutospacing="0"/>
              <w:ind w:left="0" w:right="0"/>
              <w:rPr>
                <w:rFonts w:hint="default" w:ascii="Calibri" w:hAnsi="Calibri" w:eastAsia="宋体" w:cs="Calibri"/>
                <w:color w:val="auto"/>
                <w:lang w:val="en-US" w:eastAsia="zh-CN"/>
              </w:rPr>
            </w:pPr>
            <w:r>
              <w:rPr>
                <w:rFonts w:hint="default" w:ascii="Calibri" w:hAnsi="Calibri" w:eastAsia="宋体" w:cs="Calibri"/>
                <w:color w:val="auto"/>
                <w:lang w:val="en-US" w:eastAsia="zh-CN"/>
              </w:rPr>
              <w:t>⑤为进一步缓解无组织废气排放对周围环境的影响，建议企业应该做好以下防治措施：</w:t>
            </w:r>
          </w:p>
          <w:p w14:paraId="66E16780">
            <w:pPr>
              <w:keepNext w:val="0"/>
              <w:keepLines w:val="0"/>
              <w:suppressLineNumbers w:val="0"/>
              <w:bidi w:val="0"/>
              <w:spacing w:before="0" w:beforeAutospacing="0" w:after="0" w:afterAutospacing="0"/>
              <w:ind w:left="0" w:right="0"/>
              <w:rPr>
                <w:rFonts w:hint="default" w:ascii="Calibri" w:hAnsi="Calibri" w:eastAsia="宋体" w:cs="Calibri"/>
                <w:color w:val="auto"/>
                <w:lang w:val="en-US" w:eastAsia="zh-CN"/>
              </w:rPr>
            </w:pPr>
            <w:r>
              <w:rPr>
                <w:rFonts w:hint="default" w:ascii="Calibri" w:hAnsi="Calibri" w:eastAsia="宋体" w:cs="Calibri"/>
                <w:color w:val="auto"/>
                <w:lang w:val="en-US" w:eastAsia="zh-CN"/>
              </w:rPr>
              <w:t>⑥加强员工培训，严格按照规定操作仪器设备。</w:t>
            </w:r>
          </w:p>
          <w:p w14:paraId="75EB2246">
            <w:pPr>
              <w:keepNext w:val="0"/>
              <w:keepLines w:val="0"/>
              <w:suppressLineNumbers w:val="0"/>
              <w:bidi w:val="0"/>
              <w:spacing w:before="0" w:beforeAutospacing="0" w:after="0" w:afterAutospacing="0"/>
              <w:ind w:left="0" w:right="0"/>
              <w:rPr>
                <w:rFonts w:hint="default" w:ascii="Calibri" w:hAnsi="Calibri" w:eastAsia="宋体" w:cs="Calibri"/>
                <w:color w:val="auto"/>
                <w:lang w:val="en-US" w:eastAsia="zh-CN"/>
              </w:rPr>
            </w:pPr>
            <w:r>
              <w:rPr>
                <w:rFonts w:hint="default" w:ascii="Calibri" w:hAnsi="Calibri" w:eastAsia="宋体" w:cs="Calibri"/>
                <w:color w:val="auto"/>
                <w:lang w:val="en-US" w:eastAsia="zh-CN"/>
              </w:rPr>
              <w:t>经采取上述措施后，可以有效减少无组织颗粒物排放，确保厂界颗粒物无组织浓度满足《大气污染物综合排放标准》（GB16297-1996）表2大气污染物无组织排放限值要求</w:t>
            </w:r>
          </w:p>
          <w:p w14:paraId="4DB99140">
            <w:pPr>
              <w:keepNext w:val="0"/>
              <w:keepLines w:val="0"/>
              <w:suppressLineNumbers w:val="0"/>
              <w:bidi w:val="0"/>
              <w:spacing w:before="0" w:beforeAutospacing="0" w:after="0" w:afterAutospacing="0"/>
              <w:ind w:left="0" w:right="0"/>
              <w:rPr>
                <w:rFonts w:hint="default" w:ascii="Times New Roman" w:hAnsi="Times New Roman" w:cs="Times New Roman"/>
                <w:color w:val="auto"/>
                <w:lang w:val="en-US" w:eastAsia="zh-CN"/>
              </w:rPr>
            </w:pPr>
            <w:r>
              <w:rPr>
                <w:rFonts w:hint="eastAsia" w:cs="Times New Roman"/>
                <w:color w:val="auto"/>
                <w:lang w:val="en-US" w:eastAsia="zh-CN"/>
              </w:rPr>
              <w:t>3）项目排气筒高度从严执行《大气污染物综合排放标准》（GB 16297-1996）要求，根据《大气污染物综合排放标准》（GB 16297-1996）要求“排气筒高度除须遵守表列排放速率标准值外，还应高出周围200m半径范围的建筑5m以上，不能达到该要求的排气筒。”本项目排气筒高15m，经调查周围200m半径范围内一般为7米，存在三层的办公楼，其一层为三米，三楼为9米，满足《大气污染物综合排放标准》（GB 16297-1996）要求。</w:t>
            </w:r>
          </w:p>
          <w:p w14:paraId="640C231B">
            <w:pPr>
              <w:pStyle w:val="79"/>
              <w:keepNext w:val="0"/>
              <w:keepLines w:val="0"/>
              <w:widowControl/>
              <w:suppressLineNumbers w:val="0"/>
              <w:spacing w:before="0" w:beforeAutospacing="0" w:after="0" w:afterAutospacing="0"/>
              <w:ind w:left="0" w:right="0" w:firstLine="480"/>
              <w:jc w:val="both"/>
              <w:rPr>
                <w:rFonts w:hint="default"/>
                <w:b/>
                <w:bCs/>
                <w:snapToGrid w:val="0"/>
                <w:color w:val="auto"/>
              </w:rPr>
            </w:pPr>
            <w:r>
              <w:rPr>
                <w:rFonts w:hint="eastAsia"/>
                <w:b/>
                <w:bCs/>
                <w:snapToGrid w:val="0"/>
                <w:color w:val="auto"/>
              </w:rPr>
              <w:t>（</w:t>
            </w:r>
            <w:r>
              <w:rPr>
                <w:rFonts w:hint="eastAsia"/>
                <w:b/>
                <w:bCs/>
                <w:snapToGrid w:val="0"/>
                <w:color w:val="auto"/>
                <w:lang w:val="en-US" w:eastAsia="zh-CN"/>
              </w:rPr>
              <w:t>5</w:t>
            </w:r>
            <w:r>
              <w:rPr>
                <w:rFonts w:hint="eastAsia"/>
                <w:b/>
                <w:bCs/>
                <w:snapToGrid w:val="0"/>
                <w:color w:val="auto"/>
              </w:rPr>
              <w:t>）卫生防护距离</w:t>
            </w:r>
          </w:p>
          <w:p w14:paraId="347AA1F9">
            <w:pPr>
              <w:pStyle w:val="79"/>
              <w:keepNext w:val="0"/>
              <w:keepLines w:val="0"/>
              <w:widowControl/>
              <w:suppressLineNumbers w:val="0"/>
              <w:spacing w:before="0" w:beforeAutospacing="0" w:after="0" w:afterAutospacing="0"/>
              <w:ind w:left="0" w:right="0" w:firstLine="480"/>
              <w:jc w:val="both"/>
              <w:rPr>
                <w:rFonts w:hint="default"/>
                <w:color w:val="auto"/>
                <w:sz w:val="24"/>
              </w:rPr>
            </w:pPr>
            <w:r>
              <w:rPr>
                <w:rFonts w:hint="default"/>
                <w:color w:val="auto"/>
              </w:rPr>
              <w:t>根据《大气有害物质无组织排放卫生防护距离推导技术导则规范》（</w:t>
            </w:r>
            <w:r>
              <w:rPr>
                <w:rFonts w:hint="eastAsia"/>
                <w:color w:val="auto"/>
              </w:rPr>
              <w:t>GB/T39499-2020</w:t>
            </w:r>
            <w:r>
              <w:rPr>
                <w:rFonts w:hint="default"/>
                <w:color w:val="auto"/>
              </w:rPr>
              <w:t>）规定，无组织排放源所在的生产单元</w:t>
            </w:r>
            <w:r>
              <w:rPr>
                <w:rFonts w:hint="eastAsia"/>
                <w:color w:val="auto"/>
                <w:lang w:eastAsia="zh-CN"/>
              </w:rPr>
              <w:t>（</w:t>
            </w:r>
            <w:r>
              <w:rPr>
                <w:rFonts w:hint="default"/>
                <w:color w:val="auto"/>
              </w:rPr>
              <w:t>生产区、车间或工段</w:t>
            </w:r>
            <w:r>
              <w:rPr>
                <w:rFonts w:hint="eastAsia"/>
                <w:color w:val="auto"/>
                <w:lang w:eastAsia="zh-CN"/>
              </w:rPr>
              <w:t>）</w:t>
            </w:r>
            <w:r>
              <w:rPr>
                <w:rFonts w:hint="default"/>
                <w:color w:val="auto"/>
              </w:rPr>
              <w:t>与居住区之间应设置卫生防护距离</w:t>
            </w:r>
            <w:r>
              <w:rPr>
                <w:rFonts w:hint="eastAsia"/>
                <w:color w:val="auto"/>
                <w:lang w:eastAsia="zh-CN"/>
              </w:rPr>
              <w:t>。</w:t>
            </w:r>
            <w:r>
              <w:rPr>
                <w:rFonts w:hint="eastAsia"/>
                <w:snapToGrid w:val="0"/>
                <w:color w:val="auto"/>
              </w:rPr>
              <w:t>根据项目特点，生产中存在无组织废气排放，主要污染物为颗粒物。</w:t>
            </w:r>
            <w:r>
              <w:rPr>
                <w:rFonts w:hint="default"/>
                <w:bCs/>
                <w:color w:val="auto"/>
              </w:rPr>
              <w:t>本次评价以</w:t>
            </w:r>
            <w:r>
              <w:rPr>
                <w:rFonts w:hint="eastAsia"/>
                <w:color w:val="auto"/>
              </w:rPr>
              <w:t>T</w:t>
            </w:r>
            <w:r>
              <w:rPr>
                <w:rFonts w:hint="default"/>
                <w:color w:val="auto"/>
              </w:rPr>
              <w:t>SP为预测因子，以最不利气候条件及项目大气污染物源强为预测基数，计算卫生防护距离，可由下式计算</w:t>
            </w:r>
            <w:r>
              <w:rPr>
                <w:rFonts w:hint="eastAsia"/>
                <w:color w:val="auto"/>
                <w:lang w:eastAsia="zh-CN"/>
              </w:rPr>
              <w:t>：</w:t>
            </w:r>
          </w:p>
          <w:p w14:paraId="12BF45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s="Times New Roman"/>
                <w:color w:val="auto"/>
              </w:rPr>
            </w:pPr>
            <w:r>
              <w:rPr>
                <w:rFonts w:hint="default" w:cs="Times New Roman"/>
                <w:color w:val="auto"/>
              </w:rPr>
              <w:drawing>
                <wp:inline distT="0" distB="0" distL="114300" distR="114300">
                  <wp:extent cx="1771650" cy="431800"/>
                  <wp:effectExtent l="0" t="0" r="0" b="10795"/>
                  <wp:docPr id="4" name="图片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26"/>
                          <pic:cNvPicPr>
                            <a:picLocks noChangeAspect="1"/>
                          </pic:cNvPicPr>
                        </pic:nvPicPr>
                        <pic:blipFill>
                          <a:blip r:embed="rId20"/>
                          <a:stretch>
                            <a:fillRect/>
                          </a:stretch>
                        </pic:blipFill>
                        <pic:spPr>
                          <a:xfrm>
                            <a:off x="0" y="0"/>
                            <a:ext cx="1771650" cy="431800"/>
                          </a:xfrm>
                          <a:prstGeom prst="rect">
                            <a:avLst/>
                          </a:prstGeom>
                          <a:noFill/>
                          <a:ln>
                            <a:noFill/>
                          </a:ln>
                        </pic:spPr>
                      </pic:pic>
                    </a:graphicData>
                  </a:graphic>
                </wp:inline>
              </w:drawing>
            </w:r>
          </w:p>
          <w:p w14:paraId="44E3FD7E">
            <w:pPr>
              <w:pStyle w:val="74"/>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式中：Q——污染物无组织排放量可达到的控制水平，kg/h；</w:t>
            </w:r>
          </w:p>
          <w:p w14:paraId="6616C530">
            <w:pPr>
              <w:pStyle w:val="74"/>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Cm——污染物一次浓度限制，mg/m³；</w:t>
            </w:r>
          </w:p>
          <w:p w14:paraId="6820711C">
            <w:pPr>
              <w:pStyle w:val="74"/>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L——工业企业卫生防护距离，m；</w:t>
            </w:r>
          </w:p>
          <w:p w14:paraId="011AE731">
            <w:pPr>
              <w:pStyle w:val="74"/>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r——污染物无组织所在生产单元的等效半径，m；</w:t>
            </w:r>
          </w:p>
          <w:p w14:paraId="5FB7F8BA">
            <w:pPr>
              <w:pStyle w:val="79"/>
              <w:keepNext w:val="0"/>
              <w:keepLines w:val="0"/>
              <w:widowControl/>
              <w:numPr>
                <w:ilvl w:val="0"/>
                <w:numId w:val="0"/>
              </w:numPr>
              <w:suppressLineNumbers w:val="0"/>
              <w:spacing w:before="0" w:beforeAutospacing="0" w:after="0" w:afterAutospacing="0"/>
              <w:ind w:left="0" w:leftChars="0" w:right="0" w:rightChars="0" w:firstLine="480" w:firstLineChars="200"/>
              <w:jc w:val="both"/>
              <w:rPr>
                <w:rFonts w:hint="default" w:cs="Times New Roman"/>
                <w:color w:val="auto"/>
                <w:szCs w:val="24"/>
              </w:rPr>
            </w:pPr>
            <w:r>
              <w:rPr>
                <w:rFonts w:hint="default" w:ascii="Times New Roman" w:hAnsi="Times New Roman" w:eastAsia="宋体" w:cs="Times New Roman"/>
                <w:color w:val="auto"/>
                <w:sz w:val="24"/>
                <w:szCs w:val="24"/>
                <w:lang w:val="en-US" w:eastAsia="zh-CN" w:bidi="ar-SA"/>
              </w:rPr>
              <w:t>A、</w:t>
            </w:r>
            <w:r>
              <w:rPr>
                <w:rFonts w:hint="default" w:cs="Times New Roman"/>
                <w:color w:val="auto"/>
                <w:szCs w:val="24"/>
              </w:rPr>
              <w:t>B、C、D——卫生防护距离计算系数</w:t>
            </w:r>
            <w:r>
              <w:rPr>
                <w:rFonts w:hint="eastAsia" w:cs="Times New Roman"/>
                <w:color w:val="auto"/>
                <w:szCs w:val="24"/>
                <w:lang w:eastAsia="zh-CN"/>
              </w:rPr>
              <w:t>（分别为</w:t>
            </w:r>
            <w:r>
              <w:rPr>
                <w:rFonts w:hint="eastAsia" w:cs="Times New Roman"/>
                <w:color w:val="auto"/>
                <w:szCs w:val="24"/>
                <w:lang w:val="en-US" w:eastAsia="zh-CN"/>
              </w:rPr>
              <w:t>400、0.01、1.85、0.78</w:t>
            </w:r>
            <w:r>
              <w:rPr>
                <w:rFonts w:hint="eastAsia" w:cs="Times New Roman"/>
                <w:color w:val="auto"/>
                <w:szCs w:val="24"/>
                <w:lang w:eastAsia="zh-CN"/>
              </w:rPr>
              <w:t>）</w:t>
            </w:r>
            <w:r>
              <w:rPr>
                <w:rFonts w:hint="default" w:cs="Times New Roman"/>
                <w:color w:val="auto"/>
                <w:szCs w:val="24"/>
              </w:rPr>
              <w:t>，根据当地平均风速及企业污染源结构来确定。</w:t>
            </w:r>
          </w:p>
          <w:p w14:paraId="3CBC982C">
            <w:pPr>
              <w:pStyle w:val="79"/>
              <w:keepNext w:val="0"/>
              <w:keepLines w:val="0"/>
              <w:widowControl/>
              <w:numPr>
                <w:ilvl w:val="0"/>
                <w:numId w:val="0"/>
              </w:numPr>
              <w:suppressLineNumbers w:val="0"/>
              <w:spacing w:before="0" w:beforeAutospacing="0" w:after="0" w:afterAutospacing="0"/>
              <w:ind w:left="0" w:leftChars="0" w:right="0" w:rightChars="0" w:firstLine="480" w:firstLineChars="200"/>
              <w:jc w:val="both"/>
              <w:rPr>
                <w:rFonts w:hint="default" w:cs="Times New Roman"/>
                <w:color w:val="auto"/>
                <w:szCs w:val="24"/>
                <w:lang w:val="zh-CN" w:eastAsia="zh-CN"/>
              </w:rPr>
            </w:pPr>
            <w:r>
              <w:rPr>
                <w:rFonts w:hint="default" w:cs="Times New Roman"/>
                <w:color w:val="auto"/>
                <w:szCs w:val="24"/>
                <w:lang w:val="zh-CN" w:eastAsia="zh-CN"/>
              </w:rPr>
              <w:t>根据《大气有害物质无组织排放卫生防护距离推导技术导则》（GB/T39499-2020），当目标企业无组织排放存在多种有毒有害污染物时，基于单个污染物的等标排放量计算结果，优先选择等标排放量最大的污染物为企业无组织排放的主要特征大气有害物质。当前两种污染物的等标排放量相差在10%以内时，需同时选择这两种特征大气有害物质分别计算卫生防护距离。</w:t>
            </w:r>
          </w:p>
          <w:p w14:paraId="49D0146B">
            <w:pPr>
              <w:pStyle w:val="79"/>
              <w:keepNext w:val="0"/>
              <w:keepLines w:val="0"/>
              <w:widowControl/>
              <w:numPr>
                <w:ilvl w:val="0"/>
                <w:numId w:val="0"/>
              </w:numPr>
              <w:suppressLineNumbers w:val="0"/>
              <w:spacing w:before="0" w:beforeAutospacing="0" w:after="0" w:afterAutospacing="0"/>
              <w:ind w:left="480" w:leftChars="200" w:right="0" w:rightChars="0"/>
              <w:jc w:val="both"/>
              <w:rPr>
                <w:rFonts w:hint="default" w:cs="Times New Roman"/>
                <w:color w:val="auto"/>
                <w:szCs w:val="24"/>
                <w:lang w:val="en-US" w:eastAsia="zh-CN"/>
              </w:rPr>
            </w:pPr>
            <w:r>
              <w:rPr>
                <w:rFonts w:hint="default" w:cs="Times New Roman"/>
                <w:color w:val="auto"/>
                <w:szCs w:val="24"/>
                <w:lang w:val="en-US" w:eastAsia="zh-CN"/>
              </w:rPr>
              <w:t>本项目无组织废气包括颗粒物、</w:t>
            </w:r>
            <w:r>
              <w:rPr>
                <w:rFonts w:hint="eastAsia" w:cs="Times New Roman"/>
                <w:color w:val="auto"/>
                <w:szCs w:val="24"/>
                <w:lang w:val="en-US" w:eastAsia="zh-CN"/>
              </w:rPr>
              <w:t>氟化物</w:t>
            </w:r>
            <w:r>
              <w:rPr>
                <w:rFonts w:hint="default" w:cs="Times New Roman"/>
                <w:color w:val="auto"/>
                <w:szCs w:val="24"/>
                <w:lang w:val="en-US" w:eastAsia="zh-CN"/>
              </w:rPr>
              <w:t>，等标排放量计算见表4-</w:t>
            </w:r>
            <w:r>
              <w:rPr>
                <w:rFonts w:hint="eastAsia" w:cs="Times New Roman"/>
                <w:color w:val="auto"/>
                <w:szCs w:val="24"/>
                <w:lang w:val="en-US" w:eastAsia="zh-CN"/>
              </w:rPr>
              <w:t>3</w:t>
            </w:r>
            <w:r>
              <w:rPr>
                <w:rFonts w:hint="default" w:cs="Times New Roman"/>
                <w:color w:val="auto"/>
                <w:szCs w:val="24"/>
                <w:lang w:val="en-US" w:eastAsia="zh-CN"/>
              </w:rPr>
              <w:t>。</w:t>
            </w:r>
          </w:p>
          <w:p w14:paraId="6780DB54">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等量排放量计算结果</w:t>
            </w:r>
          </w:p>
          <w:tbl>
            <w:tblPr>
              <w:tblStyle w:val="29"/>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1401"/>
              <w:gridCol w:w="1079"/>
              <w:gridCol w:w="1237"/>
              <w:gridCol w:w="1512"/>
              <w:gridCol w:w="1085"/>
              <w:gridCol w:w="790"/>
            </w:tblGrid>
            <w:tr w14:paraId="49288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jc w:val="center"/>
              </w:trPr>
              <w:tc>
                <w:tcPr>
                  <w:tcW w:w="470" w:type="pct"/>
                  <w:noWrap w:val="0"/>
                  <w:vAlign w:val="center"/>
                </w:tcPr>
                <w:p w14:paraId="09C09536">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zh-CN" w:eastAsia="zh-CN"/>
                    </w:rPr>
                  </w:pPr>
                  <w:r>
                    <w:rPr>
                      <w:rFonts w:hint="default" w:ascii="Times New Roman" w:hAnsi="Times New Roman" w:eastAsia="宋体" w:cs="Times New Roman"/>
                      <w:color w:val="auto"/>
                      <w:lang w:val="zh-CN" w:eastAsia="zh-CN"/>
                    </w:rPr>
                    <w:t>排放源</w:t>
                  </w:r>
                </w:p>
              </w:tc>
              <w:tc>
                <w:tcPr>
                  <w:tcW w:w="894" w:type="pct"/>
                  <w:noWrap w:val="0"/>
                  <w:vAlign w:val="center"/>
                </w:tcPr>
                <w:p w14:paraId="6E7EF617">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zh-CN" w:eastAsia="zh-CN"/>
                    </w:rPr>
                  </w:pPr>
                  <w:r>
                    <w:rPr>
                      <w:rFonts w:hint="default" w:ascii="Times New Roman" w:hAnsi="Times New Roman" w:eastAsia="宋体" w:cs="Times New Roman"/>
                      <w:color w:val="auto"/>
                      <w:lang w:val="zh-CN" w:eastAsia="zh-CN"/>
                    </w:rPr>
                    <w:t>面源面积</w:t>
                  </w:r>
                  <w:r>
                    <w:rPr>
                      <w:rFonts w:hint="default" w:ascii="Times New Roman" w:hAnsi="Times New Roman" w:eastAsia="宋体" w:cs="Times New Roman"/>
                      <w:color w:val="auto"/>
                      <w:lang w:val="en-US" w:eastAsia="zh-CN"/>
                    </w:rPr>
                    <w:t>（㎡）</w:t>
                  </w:r>
                </w:p>
              </w:tc>
              <w:tc>
                <w:tcPr>
                  <w:tcW w:w="689" w:type="pct"/>
                  <w:noWrap w:val="0"/>
                  <w:vAlign w:val="center"/>
                </w:tcPr>
                <w:p w14:paraId="0415DADF">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zh-CN" w:eastAsia="zh-CN"/>
                    </w:rPr>
                  </w:pPr>
                  <w:r>
                    <w:rPr>
                      <w:rFonts w:hint="default" w:ascii="Times New Roman" w:hAnsi="Times New Roman" w:eastAsia="宋体" w:cs="Times New Roman"/>
                      <w:color w:val="auto"/>
                      <w:lang w:val="zh-CN" w:eastAsia="zh-CN"/>
                    </w:rPr>
                    <w:t>污染物</w:t>
                  </w:r>
                </w:p>
              </w:tc>
              <w:tc>
                <w:tcPr>
                  <w:tcW w:w="790" w:type="pct"/>
                  <w:noWrap w:val="0"/>
                  <w:vAlign w:val="center"/>
                </w:tcPr>
                <w:p w14:paraId="1AF62349">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Qc无组织排放量（kg/h）</w:t>
                  </w:r>
                </w:p>
              </w:tc>
              <w:tc>
                <w:tcPr>
                  <w:tcW w:w="965" w:type="pct"/>
                  <w:noWrap w:val="0"/>
                  <w:vAlign w:val="center"/>
                </w:tcPr>
                <w:p w14:paraId="7520A33C">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Cm标准限值（mg/m³）</w:t>
                  </w:r>
                </w:p>
              </w:tc>
              <w:tc>
                <w:tcPr>
                  <w:tcW w:w="683" w:type="pct"/>
                  <w:noWrap w:val="0"/>
                  <w:vAlign w:val="center"/>
                </w:tcPr>
                <w:p w14:paraId="35F6B2F0">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Qc/Cm等标排放量</w:t>
                  </w:r>
                </w:p>
              </w:tc>
              <w:tc>
                <w:tcPr>
                  <w:tcW w:w="505" w:type="pct"/>
                  <w:noWrap w:val="0"/>
                  <w:vAlign w:val="center"/>
                </w:tcPr>
                <w:p w14:paraId="31E98BA5">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zh-CN" w:eastAsia="zh-CN"/>
                    </w:rPr>
                  </w:pPr>
                  <w:r>
                    <w:rPr>
                      <w:rFonts w:hint="default" w:ascii="Times New Roman" w:hAnsi="Times New Roman" w:eastAsia="宋体" w:cs="Times New Roman"/>
                      <w:color w:val="auto"/>
                      <w:lang w:val="zh-CN" w:eastAsia="zh-CN"/>
                    </w:rPr>
                    <w:t>污染物选取</w:t>
                  </w:r>
                </w:p>
              </w:tc>
            </w:tr>
            <w:tr w14:paraId="52748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470" w:type="pct"/>
                  <w:vMerge w:val="restart"/>
                  <w:noWrap w:val="0"/>
                  <w:vAlign w:val="center"/>
                </w:tcPr>
                <w:p w14:paraId="24CA614B">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厂房</w:t>
                  </w:r>
                </w:p>
              </w:tc>
              <w:tc>
                <w:tcPr>
                  <w:tcW w:w="894" w:type="pct"/>
                  <w:vMerge w:val="restart"/>
                  <w:noWrap w:val="0"/>
                  <w:vAlign w:val="center"/>
                </w:tcPr>
                <w:p w14:paraId="2FC7C54A">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57*21</w:t>
                  </w:r>
                </w:p>
              </w:tc>
              <w:tc>
                <w:tcPr>
                  <w:tcW w:w="689" w:type="pct"/>
                  <w:noWrap w:val="0"/>
                  <w:vAlign w:val="center"/>
                </w:tcPr>
                <w:p w14:paraId="27174FA5">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zh-CN" w:eastAsia="zh-CN"/>
                    </w:rPr>
                  </w:pPr>
                  <w:r>
                    <w:rPr>
                      <w:rFonts w:hint="default" w:ascii="Times New Roman" w:hAnsi="Times New Roman" w:eastAsia="宋体" w:cs="Times New Roman"/>
                      <w:color w:val="auto"/>
                      <w:lang w:val="zh-CN" w:eastAsia="zh-CN"/>
                    </w:rPr>
                    <w:t>颗粒物</w:t>
                  </w:r>
                </w:p>
              </w:tc>
              <w:tc>
                <w:tcPr>
                  <w:tcW w:w="790" w:type="pct"/>
                  <w:noWrap w:val="0"/>
                  <w:vAlign w:val="center"/>
                </w:tcPr>
                <w:p w14:paraId="02B76E6C">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0.316</w:t>
                  </w:r>
                </w:p>
              </w:tc>
              <w:tc>
                <w:tcPr>
                  <w:tcW w:w="965" w:type="pct"/>
                  <w:noWrap w:val="0"/>
                  <w:vAlign w:val="center"/>
                </w:tcPr>
                <w:p w14:paraId="32E2E8CD">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0.9</w:t>
                  </w:r>
                </w:p>
              </w:tc>
              <w:tc>
                <w:tcPr>
                  <w:tcW w:w="683" w:type="pct"/>
                  <w:noWrap w:val="0"/>
                  <w:vAlign w:val="center"/>
                </w:tcPr>
                <w:p w14:paraId="2CE040AC">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0.35</w:t>
                  </w:r>
                </w:p>
              </w:tc>
              <w:tc>
                <w:tcPr>
                  <w:tcW w:w="505" w:type="pct"/>
                  <w:vMerge w:val="restart"/>
                  <w:noWrap w:val="0"/>
                  <w:vAlign w:val="center"/>
                </w:tcPr>
                <w:p w14:paraId="42459A8D">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zh-CN" w:eastAsia="zh-CN"/>
                    </w:rPr>
                    <w:t>颗粒物</w:t>
                  </w:r>
                </w:p>
              </w:tc>
            </w:tr>
            <w:tr w14:paraId="774A9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470" w:type="pct"/>
                  <w:vMerge w:val="continue"/>
                  <w:noWrap w:val="0"/>
                  <w:vAlign w:val="center"/>
                </w:tcPr>
                <w:p w14:paraId="73DBD6EA">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zh-CN" w:eastAsia="zh-CN"/>
                    </w:rPr>
                  </w:pPr>
                </w:p>
              </w:tc>
              <w:tc>
                <w:tcPr>
                  <w:tcW w:w="894" w:type="pct"/>
                  <w:vMerge w:val="continue"/>
                  <w:noWrap w:val="0"/>
                  <w:vAlign w:val="center"/>
                </w:tcPr>
                <w:p w14:paraId="7BD6FC98">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zh-CN" w:eastAsia="zh-CN"/>
                    </w:rPr>
                  </w:pPr>
                </w:p>
              </w:tc>
              <w:tc>
                <w:tcPr>
                  <w:tcW w:w="689" w:type="pct"/>
                  <w:noWrap w:val="0"/>
                  <w:vAlign w:val="center"/>
                </w:tcPr>
                <w:p w14:paraId="36441AE3">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氟化物</w:t>
                  </w:r>
                </w:p>
              </w:tc>
              <w:tc>
                <w:tcPr>
                  <w:tcW w:w="790" w:type="pct"/>
                  <w:noWrap w:val="0"/>
                  <w:vAlign w:val="center"/>
                </w:tcPr>
                <w:p w14:paraId="4865489A">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0.0011</w:t>
                  </w:r>
                </w:p>
              </w:tc>
              <w:tc>
                <w:tcPr>
                  <w:tcW w:w="965" w:type="pct"/>
                  <w:noWrap w:val="0"/>
                  <w:vAlign w:val="center"/>
                </w:tcPr>
                <w:p w14:paraId="5CA61C04">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683" w:type="pct"/>
                  <w:noWrap w:val="0"/>
                  <w:vAlign w:val="center"/>
                </w:tcPr>
                <w:p w14:paraId="2D67EE8C">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0.0000</w:t>
                  </w:r>
                  <w:r>
                    <w:rPr>
                      <w:rFonts w:hint="eastAsia" w:cs="Times New Roman"/>
                      <w:color w:val="auto"/>
                      <w:lang w:val="en-US" w:eastAsia="zh-CN"/>
                    </w:rPr>
                    <w:t>5</w:t>
                  </w:r>
                </w:p>
              </w:tc>
              <w:tc>
                <w:tcPr>
                  <w:tcW w:w="505" w:type="pct"/>
                  <w:vMerge w:val="continue"/>
                  <w:noWrap w:val="0"/>
                  <w:vAlign w:val="center"/>
                </w:tcPr>
                <w:p w14:paraId="7B0243CA">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zh-CN" w:eastAsia="zh-CN"/>
                    </w:rPr>
                  </w:pPr>
                </w:p>
              </w:tc>
            </w:tr>
          </w:tbl>
          <w:p w14:paraId="365A8A0C">
            <w:pPr>
              <w:pStyle w:val="79"/>
              <w:keepNext w:val="0"/>
              <w:keepLines w:val="0"/>
              <w:widowControl/>
              <w:suppressLineNumbers w:val="0"/>
              <w:spacing w:before="0" w:beforeAutospacing="0" w:after="0" w:afterAutospacing="0"/>
              <w:ind w:left="0" w:right="0" w:firstLine="480"/>
              <w:jc w:val="both"/>
              <w:rPr>
                <w:rFonts w:hint="default" w:cs="Times New Roman"/>
                <w:color w:val="auto"/>
                <w:szCs w:val="24"/>
              </w:rPr>
            </w:pPr>
            <w:r>
              <w:rPr>
                <w:rFonts w:hint="default" w:ascii="Times New Roman" w:hAnsi="Times New Roman" w:cs="Times New Roman"/>
                <w:color w:val="auto"/>
                <w:szCs w:val="24"/>
                <w:lang w:val="en-US" w:eastAsia="zh-CN"/>
              </w:rPr>
              <w:t>由上表可知本项目颗粒物</w:t>
            </w:r>
            <w:r>
              <w:rPr>
                <w:rFonts w:hint="eastAsia" w:ascii="Times New Roman" w:hAnsi="Times New Roman" w:cs="Times New Roman"/>
                <w:color w:val="auto"/>
                <w:szCs w:val="24"/>
                <w:lang w:val="en-US" w:eastAsia="zh-CN"/>
              </w:rPr>
              <w:t>与氟化物</w:t>
            </w:r>
            <w:r>
              <w:rPr>
                <w:rFonts w:hint="default" w:ascii="Times New Roman" w:hAnsi="Times New Roman" w:cs="Times New Roman"/>
                <w:color w:val="auto"/>
                <w:szCs w:val="24"/>
                <w:lang w:val="en-US" w:eastAsia="zh-CN"/>
              </w:rPr>
              <w:t>等标排放量相差超过10%，因此选取颗粒物计算卫生防护距离。</w:t>
            </w:r>
          </w:p>
          <w:p w14:paraId="58EACD83">
            <w:pPr>
              <w:pStyle w:val="79"/>
              <w:keepNext w:val="0"/>
              <w:keepLines w:val="0"/>
              <w:widowControl/>
              <w:suppressLineNumbers w:val="0"/>
              <w:spacing w:before="0" w:beforeAutospacing="0" w:after="0" w:afterAutospacing="0"/>
              <w:ind w:left="0" w:right="0" w:firstLine="480"/>
              <w:jc w:val="both"/>
              <w:rPr>
                <w:rFonts w:hint="eastAsia" w:ascii="Times New Roman" w:hAnsi="Times New Roman" w:cs="Times New Roman"/>
                <w:color w:val="auto"/>
                <w:szCs w:val="24"/>
                <w:lang w:val="zh-CN" w:eastAsia="zh-CN"/>
              </w:rPr>
            </w:pPr>
            <w:r>
              <w:rPr>
                <w:rFonts w:hint="eastAsia" w:ascii="Times New Roman" w:hAnsi="Times New Roman" w:cs="Times New Roman"/>
                <w:color w:val="auto"/>
                <w:szCs w:val="24"/>
                <w:lang w:val="en-US" w:eastAsia="zh-CN"/>
              </w:rPr>
              <w:t>根据《</w:t>
            </w:r>
            <w:r>
              <w:rPr>
                <w:rFonts w:hint="default" w:ascii="Times New Roman" w:hAnsi="Times New Roman" w:cs="Times New Roman"/>
                <w:color w:val="auto"/>
                <w:szCs w:val="24"/>
                <w:lang w:val="zh-CN" w:eastAsia="zh-CN"/>
              </w:rPr>
              <w:t>江西省主要支流治理高安市赤岸堤除险加固工程项目环境影响报告书</w:t>
            </w:r>
            <w:r>
              <w:rPr>
                <w:rFonts w:hint="eastAsia" w:ascii="Times New Roman" w:hAnsi="Times New Roman" w:cs="Times New Roman"/>
                <w:color w:val="auto"/>
                <w:szCs w:val="24"/>
                <w:lang w:val="en-US" w:eastAsia="zh-CN"/>
              </w:rPr>
              <w:t>》</w:t>
            </w:r>
            <w:r>
              <w:rPr>
                <w:rFonts w:hint="eastAsia" w:cs="Times New Roman"/>
                <w:color w:val="auto"/>
                <w:szCs w:val="24"/>
                <w:lang w:val="en-US" w:eastAsia="zh-CN"/>
              </w:rPr>
              <w:t>内容得知</w:t>
            </w:r>
            <w:r>
              <w:rPr>
                <w:rFonts w:hint="eastAsia" w:ascii="Times New Roman" w:hAnsi="Times New Roman" w:cs="Times New Roman"/>
                <w:color w:val="auto"/>
                <w:szCs w:val="24"/>
                <w:lang w:val="en-US" w:eastAsia="zh-CN"/>
              </w:rPr>
              <w:t>，</w:t>
            </w:r>
            <w:r>
              <w:rPr>
                <w:rFonts w:hint="default" w:ascii="Times New Roman" w:hAnsi="Times New Roman" w:cs="Times New Roman"/>
                <w:color w:val="auto"/>
                <w:szCs w:val="24"/>
                <w:lang w:val="zh-CN" w:eastAsia="zh-CN"/>
              </w:rPr>
              <w:t>本项目所在地近5年平均风速为1.9m/s</w:t>
            </w:r>
            <w:r>
              <w:rPr>
                <w:rFonts w:hint="eastAsia" w:ascii="Times New Roman" w:hAnsi="Times New Roman" w:cs="Times New Roman"/>
                <w:color w:val="auto"/>
                <w:szCs w:val="24"/>
                <w:lang w:val="zh-CN" w:eastAsia="zh-CN"/>
              </w:rPr>
              <w:t>。</w:t>
            </w:r>
          </w:p>
          <w:p w14:paraId="39179D7B">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default" w:ascii="Times New Roman" w:hAnsi="Times New Roman" w:eastAsia="宋体" w:cs="Times New Roman"/>
                <w:b/>
                <w:bCs/>
                <w:color w:val="auto"/>
                <w:kern w:val="0"/>
                <w:sz w:val="21"/>
                <w:szCs w:val="21"/>
                <w:lang w:val="zh-CN" w:eastAsia="zh-CN" w:bidi="ar"/>
              </w:rPr>
            </w:pPr>
            <w:r>
              <w:rPr>
                <w:rFonts w:hint="eastAsia" w:ascii="Times New Roman" w:hAnsi="Times New Roman" w:eastAsia="宋体" w:cs="Times New Roman"/>
                <w:b/>
                <w:bCs/>
                <w:color w:val="auto"/>
                <w:kern w:val="0"/>
                <w:sz w:val="21"/>
                <w:szCs w:val="21"/>
                <w:lang w:val="zh-CN" w:eastAsia="zh-CN" w:bidi="ar"/>
              </w:rPr>
              <w:t>卫生</w:t>
            </w:r>
            <w:r>
              <w:rPr>
                <w:rFonts w:hint="default" w:ascii="Times New Roman" w:hAnsi="Times New Roman" w:eastAsia="宋体" w:cs="Times New Roman"/>
                <w:b/>
                <w:bCs/>
                <w:color w:val="auto"/>
                <w:kern w:val="0"/>
                <w:sz w:val="21"/>
                <w:szCs w:val="21"/>
                <w:lang w:val="zh-CN" w:eastAsia="zh-CN" w:bidi="ar"/>
              </w:rPr>
              <w:t>防护距离计算参数及计算结果</w:t>
            </w:r>
          </w:p>
          <w:tbl>
            <w:tblPr>
              <w:tblStyle w:val="28"/>
              <w:tblW w:w="4992"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013"/>
              <w:gridCol w:w="1465"/>
              <w:gridCol w:w="1418"/>
              <w:gridCol w:w="1441"/>
              <w:gridCol w:w="987"/>
              <w:gridCol w:w="1512"/>
            </w:tblGrid>
            <w:tr w14:paraId="07FF920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4" w:hRule="atLeast"/>
                <w:tblHeader/>
                <w:jc w:val="center"/>
              </w:trPr>
              <w:tc>
                <w:tcPr>
                  <w:tcW w:w="646" w:type="pct"/>
                  <w:tcBorders>
                    <w:tl2br w:val="nil"/>
                    <w:tr2bl w:val="nil"/>
                  </w:tcBorders>
                  <w:noWrap w:val="0"/>
                  <w:vAlign w:val="center"/>
                </w:tcPr>
                <w:p w14:paraId="230B975C">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污染源</w:t>
                  </w:r>
                </w:p>
                <w:p w14:paraId="28DBDF45">
                  <w:pPr>
                    <w:pStyle w:val="56"/>
                    <w:keepNext w:val="0"/>
                    <w:keepLines w:val="0"/>
                    <w:suppressLineNumbers w:val="0"/>
                    <w:bidi w:val="0"/>
                    <w:spacing w:before="0" w:beforeAutospacing="0" w:after="0" w:afterAutospacing="0"/>
                    <w:ind w:left="0" w:right="0"/>
                    <w:rPr>
                      <w:rFonts w:hint="default"/>
                      <w:color w:val="auto"/>
                    </w:rPr>
                  </w:pPr>
                  <w:r>
                    <w:rPr>
                      <w:rFonts w:hint="eastAsia"/>
                      <w:color w:val="auto"/>
                      <w:lang w:eastAsia="zh-CN"/>
                    </w:rPr>
                    <w:t>位置</w:t>
                  </w:r>
                </w:p>
              </w:tc>
              <w:tc>
                <w:tcPr>
                  <w:tcW w:w="934" w:type="pct"/>
                  <w:tcBorders>
                    <w:tl2br w:val="nil"/>
                    <w:tr2bl w:val="nil"/>
                  </w:tcBorders>
                  <w:noWrap w:val="0"/>
                  <w:vAlign w:val="center"/>
                </w:tcPr>
                <w:p w14:paraId="6CFDEBC6">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无组织排放源面积（</w:t>
                  </w:r>
                  <w:r>
                    <w:rPr>
                      <w:rFonts w:hint="eastAsia"/>
                      <w:color w:val="auto"/>
                      <w:lang w:eastAsia="zh-CN"/>
                    </w:rPr>
                    <w:t>㎡</w:t>
                  </w:r>
                  <w:r>
                    <w:rPr>
                      <w:rFonts w:hint="default"/>
                      <w:color w:val="auto"/>
                    </w:rPr>
                    <w:t>）</w:t>
                  </w:r>
                </w:p>
              </w:tc>
              <w:tc>
                <w:tcPr>
                  <w:tcW w:w="904" w:type="pct"/>
                  <w:tcBorders>
                    <w:tl2br w:val="nil"/>
                    <w:tr2bl w:val="nil"/>
                  </w:tcBorders>
                  <w:noWrap w:val="0"/>
                  <w:vAlign w:val="center"/>
                </w:tcPr>
                <w:p w14:paraId="31ACE227">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污染物名称</w:t>
                  </w:r>
                </w:p>
              </w:tc>
              <w:tc>
                <w:tcPr>
                  <w:tcW w:w="919" w:type="pct"/>
                  <w:tcBorders>
                    <w:tl2br w:val="nil"/>
                    <w:tr2bl w:val="nil"/>
                  </w:tcBorders>
                  <w:noWrap w:val="0"/>
                  <w:vAlign w:val="center"/>
                </w:tcPr>
                <w:p w14:paraId="4C3EC78B">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排放速率（kg/h）</w:t>
                  </w:r>
                </w:p>
              </w:tc>
              <w:tc>
                <w:tcPr>
                  <w:tcW w:w="629" w:type="pct"/>
                  <w:tcBorders>
                    <w:tl2br w:val="nil"/>
                    <w:tr2bl w:val="nil"/>
                  </w:tcBorders>
                  <w:noWrap w:val="0"/>
                  <w:vAlign w:val="center"/>
                </w:tcPr>
                <w:p w14:paraId="733476E8">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计算结果（m）</w:t>
                  </w:r>
                </w:p>
              </w:tc>
              <w:tc>
                <w:tcPr>
                  <w:tcW w:w="964" w:type="pct"/>
                  <w:tcBorders>
                    <w:tl2br w:val="nil"/>
                    <w:tr2bl w:val="nil"/>
                  </w:tcBorders>
                  <w:noWrap w:val="0"/>
                  <w:vAlign w:val="center"/>
                </w:tcPr>
                <w:p w14:paraId="02C4CD68">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卫生防护距离（m）</w:t>
                  </w:r>
                </w:p>
              </w:tc>
            </w:tr>
            <w:tr w14:paraId="1CDA4D4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4" w:hRule="atLeast"/>
                <w:tblHeader/>
                <w:jc w:val="center"/>
              </w:trPr>
              <w:tc>
                <w:tcPr>
                  <w:tcW w:w="646" w:type="pct"/>
                  <w:tcBorders>
                    <w:tl2br w:val="nil"/>
                    <w:tr2bl w:val="nil"/>
                  </w:tcBorders>
                  <w:noWrap w:val="0"/>
                  <w:vAlign w:val="center"/>
                </w:tcPr>
                <w:p w14:paraId="262A3CC2">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厂房</w:t>
                  </w:r>
                </w:p>
              </w:tc>
              <w:tc>
                <w:tcPr>
                  <w:tcW w:w="934" w:type="pct"/>
                  <w:tcBorders>
                    <w:tl2br w:val="nil"/>
                    <w:tr2bl w:val="nil"/>
                  </w:tcBorders>
                  <w:noWrap w:val="0"/>
                  <w:vAlign w:val="center"/>
                </w:tcPr>
                <w:p w14:paraId="513451DE">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57×21</w:t>
                  </w:r>
                </w:p>
              </w:tc>
              <w:tc>
                <w:tcPr>
                  <w:tcW w:w="904" w:type="pct"/>
                  <w:tcBorders>
                    <w:tl2br w:val="nil"/>
                    <w:tr2bl w:val="nil"/>
                  </w:tcBorders>
                  <w:noWrap w:val="0"/>
                  <w:vAlign w:val="center"/>
                </w:tcPr>
                <w:p w14:paraId="1BDE8F96">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颗粒物</w:t>
                  </w:r>
                </w:p>
              </w:tc>
              <w:tc>
                <w:tcPr>
                  <w:tcW w:w="919" w:type="pct"/>
                  <w:tcBorders>
                    <w:tl2br w:val="nil"/>
                    <w:tr2bl w:val="nil"/>
                  </w:tcBorders>
                  <w:noWrap w:val="0"/>
                  <w:vAlign w:val="center"/>
                </w:tcPr>
                <w:p w14:paraId="67583842">
                  <w:pPr>
                    <w:pStyle w:val="56"/>
                    <w:keepNext w:val="0"/>
                    <w:keepLines w:val="0"/>
                    <w:suppressLineNumbers w:val="0"/>
                    <w:bidi w:val="0"/>
                    <w:spacing w:before="0" w:beforeAutospacing="0" w:after="0" w:afterAutospacing="0"/>
                    <w:ind w:left="0" w:right="0" w:firstLine="0" w:firstLineChars="0"/>
                    <w:jc w:val="center"/>
                    <w:rPr>
                      <w:rFonts w:hint="default"/>
                      <w:color w:val="auto"/>
                      <w:lang w:val="en-US" w:eastAsia="zh-CN"/>
                    </w:rPr>
                  </w:pPr>
                  <w:r>
                    <w:rPr>
                      <w:rFonts w:hint="eastAsia"/>
                      <w:color w:val="auto"/>
                      <w:lang w:val="en-US" w:eastAsia="zh-CN"/>
                    </w:rPr>
                    <w:t>0.316</w:t>
                  </w:r>
                </w:p>
              </w:tc>
              <w:tc>
                <w:tcPr>
                  <w:tcW w:w="629" w:type="pct"/>
                  <w:tcBorders>
                    <w:tl2br w:val="nil"/>
                    <w:tr2bl w:val="nil"/>
                  </w:tcBorders>
                  <w:noWrap w:val="0"/>
                  <w:vAlign w:val="center"/>
                </w:tcPr>
                <w:p w14:paraId="1A660ED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27.369</w:t>
                  </w:r>
                </w:p>
              </w:tc>
              <w:tc>
                <w:tcPr>
                  <w:tcW w:w="964" w:type="pct"/>
                  <w:tcBorders>
                    <w:tl2br w:val="nil"/>
                    <w:tr2bl w:val="nil"/>
                  </w:tcBorders>
                  <w:noWrap w:val="0"/>
                  <w:vAlign w:val="center"/>
                </w:tcPr>
                <w:p w14:paraId="039C3CCB">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50</w:t>
                  </w:r>
                </w:p>
              </w:tc>
            </w:tr>
          </w:tbl>
          <w:p w14:paraId="1392802C">
            <w:pPr>
              <w:pStyle w:val="79"/>
              <w:keepNext w:val="0"/>
              <w:keepLines w:val="0"/>
              <w:widowControl/>
              <w:suppressLineNumbers w:val="0"/>
              <w:bidi w:val="0"/>
              <w:spacing w:before="0" w:beforeAutospacing="0" w:after="0" w:afterAutospacing="0"/>
              <w:ind w:left="0" w:leftChars="0" w:right="0" w:firstLine="240" w:firstLineChars="100"/>
              <w:rPr>
                <w:rFonts w:hint="eastAsia"/>
                <w:color w:val="auto"/>
              </w:rPr>
            </w:pPr>
            <w:r>
              <w:rPr>
                <w:rFonts w:hint="default"/>
                <w:color w:val="auto"/>
              </w:rPr>
              <w:t>根据</w:t>
            </w:r>
            <w:r>
              <w:rPr>
                <w:rFonts w:hint="eastAsia"/>
                <w:color w:val="auto"/>
              </w:rPr>
              <w:t>表</w:t>
            </w:r>
            <w:r>
              <w:rPr>
                <w:rFonts w:hint="eastAsia"/>
                <w:color w:val="auto"/>
                <w:lang w:val="en-US" w:eastAsia="zh-CN"/>
              </w:rPr>
              <w:t>4-5</w:t>
            </w:r>
            <w:r>
              <w:rPr>
                <w:rFonts w:hint="eastAsia"/>
                <w:color w:val="auto"/>
              </w:rPr>
              <w:t>中</w:t>
            </w:r>
            <w:r>
              <w:rPr>
                <w:rFonts w:hint="default"/>
                <w:color w:val="auto"/>
              </w:rPr>
              <w:t>计算结果可知，</w:t>
            </w:r>
            <w:r>
              <w:rPr>
                <w:rFonts w:hint="eastAsia"/>
                <w:color w:val="auto"/>
              </w:rPr>
              <w:t>本项目生产车间</w:t>
            </w:r>
            <w:r>
              <w:rPr>
                <w:rFonts w:hint="eastAsia"/>
                <w:color w:val="auto"/>
                <w:lang w:val="en-US" w:eastAsia="zh-CN"/>
              </w:rPr>
              <w:t>外延100</w:t>
            </w:r>
            <w:r>
              <w:rPr>
                <w:rFonts w:hint="eastAsia"/>
                <w:color w:val="auto"/>
              </w:rPr>
              <w:t>m的卫生防护距离。本项目的卫生防护距离内无居民区、学校等环境敏感目标。</w:t>
            </w:r>
          </w:p>
          <w:p w14:paraId="514FC018">
            <w:pPr>
              <w:pStyle w:val="7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snapToGrid w:val="0"/>
                <w:color w:val="auto"/>
                <w:highlight w:val="yellow"/>
              </w:rPr>
            </w:pPr>
            <w:r>
              <w:rPr>
                <w:rFonts w:hint="eastAsia"/>
                <w:snapToGrid w:val="0"/>
                <w:color w:val="auto"/>
                <w:highlight w:val="yellow"/>
              </w:rPr>
              <w:drawing>
                <wp:inline distT="0" distB="0" distL="114300" distR="114300">
                  <wp:extent cx="5052060" cy="3395345"/>
                  <wp:effectExtent l="0" t="0" r="7620" b="3175"/>
                  <wp:docPr id="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2"/>
                          <pic:cNvPicPr>
                            <a:picLocks noChangeAspect="1"/>
                          </pic:cNvPicPr>
                        </pic:nvPicPr>
                        <pic:blipFill>
                          <a:blip r:embed="rId21"/>
                          <a:stretch>
                            <a:fillRect/>
                          </a:stretch>
                        </pic:blipFill>
                        <pic:spPr>
                          <a:xfrm>
                            <a:off x="0" y="0"/>
                            <a:ext cx="5052060" cy="3395345"/>
                          </a:xfrm>
                          <a:prstGeom prst="rect">
                            <a:avLst/>
                          </a:prstGeom>
                          <a:noFill/>
                          <a:ln>
                            <a:noFill/>
                          </a:ln>
                        </pic:spPr>
                      </pic:pic>
                    </a:graphicData>
                  </a:graphic>
                </wp:inline>
              </w:drawing>
            </w:r>
          </w:p>
          <w:p w14:paraId="1BBB695A">
            <w:pPr>
              <w:pStyle w:val="79"/>
              <w:keepNext w:val="0"/>
              <w:keepLines w:val="0"/>
              <w:widowControl/>
              <w:numPr>
                <w:ilvl w:val="0"/>
                <w:numId w:val="0"/>
              </w:numPr>
              <w:suppressLineNumbers w:val="0"/>
              <w:spacing w:before="0" w:beforeAutospacing="0" w:after="0" w:afterAutospacing="0"/>
              <w:ind w:left="0" w:leftChars="0" w:right="0" w:rightChars="0" w:firstLine="480" w:firstLineChars="200"/>
              <w:rPr>
                <w:rFonts w:hint="eastAsia"/>
                <w:snapToGrid w:val="0"/>
                <w:color w:val="auto"/>
                <w:lang w:val="en-US" w:eastAsia="zh-CN"/>
              </w:rPr>
            </w:pPr>
            <w:r>
              <w:rPr>
                <w:rFonts w:hint="eastAsia" w:ascii="Times New Roman" w:hAnsi="Times New Roman" w:eastAsia="宋体" w:cs="Times New Roman"/>
                <w:snapToGrid w:val="0"/>
                <w:color w:val="auto"/>
                <w:sz w:val="24"/>
                <w:szCs w:val="24"/>
                <w:lang w:val="en-US" w:eastAsia="zh-CN" w:bidi="ar-SA"/>
              </w:rPr>
              <w:t>（4）</w:t>
            </w:r>
            <w:r>
              <w:rPr>
                <w:rFonts w:hint="eastAsia"/>
                <w:snapToGrid w:val="0"/>
                <w:color w:val="auto"/>
                <w:lang w:val="en-US" w:eastAsia="zh-CN"/>
              </w:rPr>
              <w:t>非正常工况废气排放情况</w:t>
            </w:r>
          </w:p>
          <w:p w14:paraId="2D949F16">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废气污染源非正常排放汇总表</w:t>
            </w:r>
          </w:p>
          <w:tbl>
            <w:tblPr>
              <w:tblStyle w:val="28"/>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832"/>
              <w:gridCol w:w="834"/>
              <w:gridCol w:w="700"/>
              <w:gridCol w:w="838"/>
              <w:gridCol w:w="695"/>
              <w:gridCol w:w="695"/>
              <w:gridCol w:w="736"/>
              <w:gridCol w:w="811"/>
              <w:gridCol w:w="847"/>
              <w:gridCol w:w="850"/>
            </w:tblGrid>
            <w:tr w14:paraId="75E53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531" w:type="pct"/>
                  <w:vMerge w:val="restart"/>
                  <w:tcBorders>
                    <w:top w:val="single" w:color="auto" w:sz="4" w:space="0"/>
                    <w:left w:val="single" w:color="auto" w:sz="4" w:space="0"/>
                    <w:right w:val="single" w:color="auto" w:sz="4" w:space="0"/>
                    <w:tl2br w:val="nil"/>
                    <w:tr2bl w:val="nil"/>
                  </w:tcBorders>
                  <w:noWrap w:val="0"/>
                  <w:vAlign w:val="center"/>
                </w:tcPr>
                <w:p w14:paraId="2CCF5343">
                  <w:pPr>
                    <w:pStyle w:val="56"/>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lang w:val="en-US" w:eastAsia="zh-CN"/>
                    </w:rPr>
                  </w:pPr>
                  <w:r>
                    <w:rPr>
                      <w:rFonts w:hint="eastAsia" w:cs="Times New Roman"/>
                      <w:color w:val="auto"/>
                      <w:sz w:val="21"/>
                      <w:szCs w:val="24"/>
                      <w:lang w:val="en-US" w:eastAsia="zh-CN"/>
                    </w:rPr>
                    <w:t>排气筒编号</w:t>
                  </w:r>
                </w:p>
              </w:tc>
              <w:tc>
                <w:tcPr>
                  <w:tcW w:w="532"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2374202A">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污染物排放形式</w:t>
                  </w:r>
                </w:p>
              </w:tc>
              <w:tc>
                <w:tcPr>
                  <w:tcW w:w="446"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57D1D526">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污染物种类</w:t>
                  </w:r>
                </w:p>
              </w:tc>
              <w:tc>
                <w:tcPr>
                  <w:tcW w:w="534"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3B2CEE61">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非正常排放原因</w:t>
                  </w:r>
                </w:p>
              </w:tc>
              <w:tc>
                <w:tcPr>
                  <w:tcW w:w="1355" w:type="pct"/>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36FC512C">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非正常排放频次</w:t>
                  </w:r>
                </w:p>
              </w:tc>
              <w:tc>
                <w:tcPr>
                  <w:tcW w:w="1057" w:type="pct"/>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4F8368D">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排放速率和浓度</w:t>
                  </w:r>
                </w:p>
              </w:tc>
              <w:tc>
                <w:tcPr>
                  <w:tcW w:w="542"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2BDA51D5">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控制</w:t>
                  </w:r>
                </w:p>
                <w:p w14:paraId="40E2FD17">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措施</w:t>
                  </w:r>
                </w:p>
              </w:tc>
            </w:tr>
            <w:tr w14:paraId="06646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531" w:type="pct"/>
                  <w:vMerge w:val="continue"/>
                  <w:tcBorders>
                    <w:left w:val="single" w:color="auto" w:sz="4" w:space="0"/>
                    <w:bottom w:val="single" w:color="auto" w:sz="4" w:space="0"/>
                    <w:right w:val="single" w:color="auto" w:sz="4" w:space="0"/>
                    <w:tl2br w:val="nil"/>
                    <w:tr2bl w:val="nil"/>
                  </w:tcBorders>
                  <w:noWrap w:val="0"/>
                  <w:vAlign w:val="center"/>
                </w:tcPr>
                <w:p w14:paraId="2044F4BC">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532"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45697AB9">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446"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AC16EBE">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534"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73D4362">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44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71D60EC">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次数次/年</w:t>
                  </w:r>
                </w:p>
              </w:tc>
              <w:tc>
                <w:tcPr>
                  <w:tcW w:w="44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1FC78D9">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lang w:val="en-US" w:eastAsia="zh-CN"/>
                    </w:rPr>
                  </w:pPr>
                  <w:r>
                    <w:rPr>
                      <w:rFonts w:hint="default" w:ascii="Times New Roman" w:hAnsi="Times New Roman" w:cs="Times New Roman"/>
                      <w:color w:val="auto"/>
                      <w:sz w:val="21"/>
                      <w:szCs w:val="24"/>
                    </w:rPr>
                    <w:t>单次持续时间</w:t>
                  </w:r>
                  <w:r>
                    <w:rPr>
                      <w:rFonts w:hint="default" w:ascii="Times New Roman" w:hAnsi="Times New Roman" w:cs="Times New Roman"/>
                      <w:color w:val="auto"/>
                      <w:sz w:val="21"/>
                      <w:szCs w:val="24"/>
                      <w:lang w:val="en-US" w:eastAsia="zh-CN"/>
                    </w:rPr>
                    <w:t>h</w:t>
                  </w:r>
                </w:p>
              </w:tc>
              <w:tc>
                <w:tcPr>
                  <w:tcW w:w="46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EBAA3F0">
                  <w:pPr>
                    <w:pStyle w:val="56"/>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lang w:val="en-US" w:eastAsia="zh-CN"/>
                    </w:rPr>
                  </w:pPr>
                  <w:r>
                    <w:rPr>
                      <w:rFonts w:hint="default" w:ascii="Times New Roman" w:hAnsi="Times New Roman" w:cs="Times New Roman"/>
                      <w:color w:val="auto"/>
                      <w:sz w:val="21"/>
                      <w:szCs w:val="24"/>
                    </w:rPr>
                    <w:t>总排放时间</w:t>
                  </w:r>
                  <w:r>
                    <w:rPr>
                      <w:rFonts w:hint="default" w:ascii="Times New Roman" w:hAnsi="Times New Roman" w:cs="Times New Roman"/>
                      <w:color w:val="auto"/>
                      <w:sz w:val="21"/>
                      <w:szCs w:val="24"/>
                      <w:lang w:val="en-US" w:eastAsia="zh-CN"/>
                    </w:rPr>
                    <w:t>h</w:t>
                  </w:r>
                </w:p>
              </w:tc>
              <w:tc>
                <w:tcPr>
                  <w:tcW w:w="51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A22EE3B">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排放</w:t>
                  </w:r>
                </w:p>
                <w:p w14:paraId="33779A4E">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浓度mg/</w:t>
                  </w:r>
                  <w:r>
                    <w:rPr>
                      <w:rFonts w:hint="default" w:ascii="Times New Roman" w:hAnsi="Times New Roman" w:cs="Times New Roman"/>
                      <w:color w:val="auto"/>
                      <w:sz w:val="21"/>
                      <w:szCs w:val="24"/>
                      <w:lang w:val="en-GB"/>
                    </w:rPr>
                    <w:t>m³</w:t>
                  </w:r>
                </w:p>
              </w:tc>
              <w:tc>
                <w:tcPr>
                  <w:tcW w:w="540"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E3BB2EA">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排放</w:t>
                  </w:r>
                </w:p>
                <w:p w14:paraId="48C540D7">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速率</w:t>
                  </w:r>
                </w:p>
                <w:p w14:paraId="726CA7B8">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kg/h</w:t>
                  </w:r>
                </w:p>
              </w:tc>
              <w:tc>
                <w:tcPr>
                  <w:tcW w:w="542"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4149D7C">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r>
            <w:tr w14:paraId="0AF3A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2" w:hRule="atLeast"/>
                <w:jc w:val="center"/>
              </w:trPr>
              <w:tc>
                <w:tcPr>
                  <w:tcW w:w="531" w:type="pct"/>
                  <w:vMerge w:val="restart"/>
                  <w:tcBorders>
                    <w:top w:val="single" w:color="auto" w:sz="4" w:space="0"/>
                    <w:left w:val="single" w:color="auto" w:sz="4" w:space="0"/>
                    <w:right w:val="single" w:color="auto" w:sz="4" w:space="0"/>
                    <w:tl2br w:val="nil"/>
                    <w:tr2bl w:val="nil"/>
                  </w:tcBorders>
                  <w:noWrap w:val="0"/>
                  <w:vAlign w:val="center"/>
                </w:tcPr>
                <w:p w14:paraId="4DE61EF8">
                  <w:pPr>
                    <w:pStyle w:val="56"/>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lang w:val="en-US" w:eastAsia="zh-CN"/>
                    </w:rPr>
                  </w:pPr>
                  <w:r>
                    <w:rPr>
                      <w:rFonts w:hint="eastAsia" w:cs="Times New Roman"/>
                      <w:color w:val="auto"/>
                      <w:sz w:val="21"/>
                      <w:szCs w:val="24"/>
                      <w:lang w:val="en-US" w:eastAsia="zh-CN"/>
                    </w:rPr>
                    <w:t>DA001</w:t>
                  </w:r>
                </w:p>
              </w:tc>
              <w:tc>
                <w:tcPr>
                  <w:tcW w:w="532" w:type="pct"/>
                  <w:vMerge w:val="restart"/>
                  <w:tcBorders>
                    <w:top w:val="single" w:color="auto" w:sz="4" w:space="0"/>
                    <w:left w:val="single" w:color="auto" w:sz="4" w:space="0"/>
                    <w:right w:val="single" w:color="auto" w:sz="4" w:space="0"/>
                    <w:tl2br w:val="nil"/>
                    <w:tr2bl w:val="nil"/>
                  </w:tcBorders>
                  <w:noWrap w:val="0"/>
                  <w:vAlign w:val="center"/>
                </w:tcPr>
                <w:p w14:paraId="4B33D27F">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有组织</w:t>
                  </w:r>
                </w:p>
              </w:tc>
              <w:tc>
                <w:tcPr>
                  <w:tcW w:w="446"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F412564">
                  <w:pPr>
                    <w:pStyle w:val="56"/>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rPr>
                  </w:pPr>
                  <w:r>
                    <w:rPr>
                      <w:rFonts w:hint="default" w:ascii="Times New Roman" w:hAnsi="Times New Roman" w:eastAsia="宋体" w:cs="Times New Roman"/>
                      <w:color w:val="auto"/>
                      <w:sz w:val="21"/>
                      <w:szCs w:val="24"/>
                    </w:rPr>
                    <w:t>颗粒物</w:t>
                  </w:r>
                </w:p>
              </w:tc>
              <w:tc>
                <w:tcPr>
                  <w:tcW w:w="534" w:type="pct"/>
                  <w:vMerge w:val="restart"/>
                  <w:tcBorders>
                    <w:top w:val="single" w:color="auto" w:sz="4" w:space="0"/>
                    <w:left w:val="single" w:color="auto" w:sz="4" w:space="0"/>
                    <w:right w:val="single" w:color="auto" w:sz="4" w:space="0"/>
                    <w:tl2br w:val="nil"/>
                    <w:tr2bl w:val="nil"/>
                  </w:tcBorders>
                  <w:noWrap w:val="0"/>
                  <w:vAlign w:val="center"/>
                </w:tcPr>
                <w:p w14:paraId="3DE17DD2">
                  <w:pPr>
                    <w:pStyle w:val="56"/>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rPr>
                  </w:pPr>
                  <w:r>
                    <w:rPr>
                      <w:rFonts w:hint="default" w:ascii="Times New Roman" w:hAnsi="Times New Roman" w:eastAsia="宋体" w:cs="Times New Roman"/>
                      <w:color w:val="auto"/>
                      <w:sz w:val="21"/>
                      <w:szCs w:val="24"/>
                    </w:rPr>
                    <w:t>布袋除尘器损坏</w:t>
                  </w:r>
                </w:p>
              </w:tc>
              <w:tc>
                <w:tcPr>
                  <w:tcW w:w="44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F7A7BD7">
                  <w:pPr>
                    <w:pStyle w:val="56"/>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rPr>
                  </w:pPr>
                  <w:r>
                    <w:rPr>
                      <w:rFonts w:hint="default" w:ascii="Times New Roman" w:hAnsi="Times New Roman" w:eastAsia="宋体" w:cs="Times New Roman"/>
                      <w:color w:val="auto"/>
                      <w:sz w:val="21"/>
                      <w:szCs w:val="24"/>
                    </w:rPr>
                    <w:t>1</w:t>
                  </w:r>
                </w:p>
              </w:tc>
              <w:tc>
                <w:tcPr>
                  <w:tcW w:w="44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556555E">
                  <w:pPr>
                    <w:pStyle w:val="56"/>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rPr>
                  </w:pPr>
                  <w:r>
                    <w:rPr>
                      <w:rFonts w:hint="default" w:ascii="Times New Roman" w:hAnsi="Times New Roman" w:eastAsia="宋体" w:cs="Times New Roman"/>
                      <w:color w:val="auto"/>
                      <w:sz w:val="21"/>
                      <w:szCs w:val="24"/>
                      <w:lang w:val="en-US" w:eastAsia="zh-CN"/>
                    </w:rPr>
                    <w:t>0.</w:t>
                  </w:r>
                  <w:r>
                    <w:rPr>
                      <w:rFonts w:hint="default" w:ascii="Times New Roman" w:hAnsi="Times New Roman" w:eastAsia="宋体" w:cs="Times New Roman"/>
                      <w:color w:val="auto"/>
                      <w:sz w:val="21"/>
                      <w:szCs w:val="24"/>
                    </w:rPr>
                    <w:t>5</w:t>
                  </w:r>
                </w:p>
              </w:tc>
              <w:tc>
                <w:tcPr>
                  <w:tcW w:w="46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7539FA5D">
                  <w:pPr>
                    <w:pStyle w:val="56"/>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rPr>
                  </w:pPr>
                  <w:r>
                    <w:rPr>
                      <w:rFonts w:hint="default" w:ascii="Times New Roman" w:hAnsi="Times New Roman" w:eastAsia="宋体" w:cs="Times New Roman"/>
                      <w:color w:val="auto"/>
                      <w:sz w:val="21"/>
                      <w:szCs w:val="24"/>
                      <w:lang w:val="en-US" w:eastAsia="zh-CN"/>
                    </w:rPr>
                    <w:t>0.</w:t>
                  </w:r>
                  <w:r>
                    <w:rPr>
                      <w:rFonts w:hint="default" w:ascii="Times New Roman" w:hAnsi="Times New Roman" w:eastAsia="宋体" w:cs="Times New Roman"/>
                      <w:color w:val="auto"/>
                      <w:sz w:val="21"/>
                      <w:szCs w:val="24"/>
                    </w:rPr>
                    <w:t>5</w:t>
                  </w:r>
                </w:p>
              </w:tc>
              <w:tc>
                <w:tcPr>
                  <w:tcW w:w="517" w:type="pct"/>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21EF286F">
                  <w:pPr>
                    <w:pStyle w:val="56"/>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lang w:val="en-US" w:eastAsia="zh-CN"/>
                    </w:rPr>
                  </w:pPr>
                  <w:r>
                    <w:rPr>
                      <w:rFonts w:hint="eastAsia" w:ascii="Times New Roman" w:hAnsi="Times New Roman" w:eastAsia="宋体" w:cs="Times New Roman"/>
                      <w:color w:val="auto"/>
                      <w:sz w:val="21"/>
                      <w:szCs w:val="24"/>
                      <w:lang w:val="en-US" w:eastAsia="zh-CN"/>
                    </w:rPr>
                    <w:t>64.13</w:t>
                  </w:r>
                </w:p>
              </w:tc>
              <w:tc>
                <w:tcPr>
                  <w:tcW w:w="540" w:type="pct"/>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59A98AE3">
                  <w:pPr>
                    <w:pStyle w:val="56"/>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lang w:val="en-US" w:eastAsia="zh-CN"/>
                    </w:rPr>
                  </w:pPr>
                  <w:r>
                    <w:rPr>
                      <w:rFonts w:hint="eastAsia" w:ascii="Times New Roman" w:hAnsi="Times New Roman" w:eastAsia="宋体" w:cs="Times New Roman"/>
                      <w:color w:val="auto"/>
                      <w:sz w:val="21"/>
                      <w:szCs w:val="24"/>
                      <w:lang w:val="en-US" w:eastAsia="zh-CN"/>
                    </w:rPr>
                    <w:t>19.24</w:t>
                  </w:r>
                </w:p>
              </w:tc>
              <w:tc>
                <w:tcPr>
                  <w:tcW w:w="542" w:type="pct"/>
                  <w:vMerge w:val="restart"/>
                  <w:tcBorders>
                    <w:top w:val="single" w:color="auto" w:sz="4" w:space="0"/>
                    <w:left w:val="single" w:color="auto" w:sz="4" w:space="0"/>
                    <w:right w:val="single" w:color="auto" w:sz="4" w:space="0"/>
                    <w:tl2br w:val="nil"/>
                    <w:tr2bl w:val="nil"/>
                  </w:tcBorders>
                  <w:noWrap w:val="0"/>
                  <w:vAlign w:val="center"/>
                </w:tcPr>
                <w:p w14:paraId="75FC1E42">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r>
                    <w:rPr>
                      <w:rFonts w:hint="default" w:ascii="Times New Roman" w:hAnsi="Times New Roman" w:cs="Times New Roman"/>
                      <w:color w:val="auto"/>
                      <w:sz w:val="21"/>
                      <w:szCs w:val="24"/>
                    </w:rPr>
                    <w:t>立即停止生产</w:t>
                  </w:r>
                </w:p>
              </w:tc>
            </w:tr>
            <w:tr w14:paraId="3916C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531" w:type="pct"/>
                  <w:vMerge w:val="continue"/>
                  <w:tcBorders>
                    <w:left w:val="single" w:color="auto" w:sz="4" w:space="0"/>
                    <w:right w:val="single" w:color="auto" w:sz="4" w:space="0"/>
                    <w:tl2br w:val="nil"/>
                    <w:tr2bl w:val="nil"/>
                  </w:tcBorders>
                  <w:noWrap w:val="0"/>
                  <w:vAlign w:val="center"/>
                </w:tcPr>
                <w:p w14:paraId="3149892B">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532" w:type="pct"/>
                  <w:vMerge w:val="continue"/>
                  <w:tcBorders>
                    <w:left w:val="single" w:color="auto" w:sz="4" w:space="0"/>
                    <w:right w:val="single" w:color="auto" w:sz="4" w:space="0"/>
                    <w:tl2br w:val="nil"/>
                    <w:tr2bl w:val="nil"/>
                  </w:tcBorders>
                  <w:noWrap w:val="0"/>
                  <w:vAlign w:val="center"/>
                </w:tcPr>
                <w:p w14:paraId="3FCD4378">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c>
                <w:tcPr>
                  <w:tcW w:w="446"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175D59F">
                  <w:pPr>
                    <w:pStyle w:val="56"/>
                    <w:keepNext w:val="0"/>
                    <w:keepLines w:val="0"/>
                    <w:suppressLineNumbers w:val="0"/>
                    <w:spacing w:before="0" w:beforeLines="0" w:beforeAutospacing="0" w:after="0" w:afterLines="0" w:afterAutospacing="0"/>
                    <w:ind w:left="0" w:right="0"/>
                    <w:rPr>
                      <w:rFonts w:hint="eastAsia" w:ascii="Times New Roman" w:hAnsi="Times New Roman" w:eastAsia="宋体" w:cs="Times New Roman"/>
                      <w:color w:val="auto"/>
                      <w:sz w:val="21"/>
                      <w:szCs w:val="24"/>
                      <w:lang w:val="en-US" w:eastAsia="zh-CN"/>
                    </w:rPr>
                  </w:pPr>
                  <w:r>
                    <w:rPr>
                      <w:rFonts w:hint="eastAsia" w:cs="Times New Roman"/>
                      <w:color w:val="auto"/>
                      <w:sz w:val="21"/>
                      <w:szCs w:val="24"/>
                      <w:lang w:val="en-US" w:eastAsia="zh-CN"/>
                    </w:rPr>
                    <w:t>氟化物</w:t>
                  </w:r>
                </w:p>
              </w:tc>
              <w:tc>
                <w:tcPr>
                  <w:tcW w:w="534" w:type="pct"/>
                  <w:vMerge w:val="continue"/>
                  <w:tcBorders>
                    <w:left w:val="single" w:color="auto" w:sz="4" w:space="0"/>
                    <w:bottom w:val="single" w:color="auto" w:sz="4" w:space="0"/>
                    <w:right w:val="single" w:color="auto" w:sz="4" w:space="0"/>
                    <w:tl2br w:val="nil"/>
                    <w:tr2bl w:val="nil"/>
                  </w:tcBorders>
                  <w:noWrap w:val="0"/>
                  <w:vAlign w:val="center"/>
                </w:tcPr>
                <w:p w14:paraId="5782C559">
                  <w:pPr>
                    <w:pStyle w:val="56"/>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rPr>
                  </w:pPr>
                </w:p>
              </w:tc>
              <w:tc>
                <w:tcPr>
                  <w:tcW w:w="44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15C24A5">
                  <w:pPr>
                    <w:pStyle w:val="56"/>
                    <w:keepNext w:val="0"/>
                    <w:keepLines w:val="0"/>
                    <w:suppressLineNumbers w:val="0"/>
                    <w:spacing w:before="0" w:beforeLines="0" w:beforeAutospacing="0" w:after="0" w:afterLines="0" w:afterAutospacing="0"/>
                    <w:ind w:left="0" w:right="0"/>
                    <w:rPr>
                      <w:rFonts w:hint="eastAsia" w:ascii="Times New Roman" w:hAnsi="Times New Roman" w:eastAsia="宋体" w:cs="Times New Roman"/>
                      <w:color w:val="auto"/>
                      <w:sz w:val="21"/>
                      <w:szCs w:val="24"/>
                      <w:lang w:val="en-US" w:eastAsia="zh-CN"/>
                    </w:rPr>
                  </w:pPr>
                  <w:r>
                    <w:rPr>
                      <w:rFonts w:hint="eastAsia" w:cs="Times New Roman"/>
                      <w:color w:val="auto"/>
                      <w:sz w:val="21"/>
                      <w:szCs w:val="24"/>
                      <w:lang w:val="en-US" w:eastAsia="zh-CN"/>
                    </w:rPr>
                    <w:t>1</w:t>
                  </w:r>
                </w:p>
              </w:tc>
              <w:tc>
                <w:tcPr>
                  <w:tcW w:w="44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3A8E81B">
                  <w:pPr>
                    <w:pStyle w:val="56"/>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lang w:val="en-US" w:eastAsia="zh-CN"/>
                    </w:rPr>
                  </w:pPr>
                  <w:r>
                    <w:rPr>
                      <w:rFonts w:hint="eastAsia" w:cs="Times New Roman"/>
                      <w:color w:val="auto"/>
                      <w:sz w:val="21"/>
                      <w:szCs w:val="24"/>
                      <w:lang w:val="en-US" w:eastAsia="zh-CN"/>
                    </w:rPr>
                    <w:t>0.5</w:t>
                  </w:r>
                </w:p>
              </w:tc>
              <w:tc>
                <w:tcPr>
                  <w:tcW w:w="46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F5D9063">
                  <w:pPr>
                    <w:pStyle w:val="56"/>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lang w:val="en-US" w:eastAsia="zh-CN"/>
                    </w:rPr>
                  </w:pPr>
                  <w:r>
                    <w:rPr>
                      <w:rFonts w:hint="eastAsia" w:cs="Times New Roman"/>
                      <w:color w:val="auto"/>
                      <w:sz w:val="21"/>
                      <w:szCs w:val="24"/>
                      <w:lang w:val="en-US" w:eastAsia="zh-CN"/>
                    </w:rPr>
                    <w:t>0.5</w:t>
                  </w:r>
                </w:p>
              </w:tc>
              <w:tc>
                <w:tcPr>
                  <w:tcW w:w="517"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8D83563">
                  <w:pPr>
                    <w:pStyle w:val="56"/>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lang w:val="en-US" w:eastAsia="zh-CN"/>
                    </w:rPr>
                  </w:pPr>
                  <w:r>
                    <w:rPr>
                      <w:rFonts w:hint="eastAsia" w:ascii="Times New Roman" w:hAnsi="Times New Roman" w:eastAsia="宋体" w:cs="Times New Roman"/>
                      <w:color w:val="auto"/>
                      <w:sz w:val="21"/>
                      <w:szCs w:val="24"/>
                      <w:lang w:val="en-US" w:eastAsia="zh-CN"/>
                    </w:rPr>
                    <w:t>4.88</w:t>
                  </w:r>
                </w:p>
              </w:tc>
              <w:tc>
                <w:tcPr>
                  <w:tcW w:w="540" w:type="pct"/>
                  <w:tcBorders>
                    <w:top w:val="single" w:color="auto" w:sz="4" w:space="0"/>
                    <w:left w:val="single" w:color="auto" w:sz="4" w:space="0"/>
                    <w:bottom w:val="single" w:color="auto" w:sz="4" w:space="0"/>
                    <w:right w:val="single" w:color="auto" w:sz="4" w:space="0"/>
                    <w:tl2br w:val="nil"/>
                    <w:tr2bl w:val="nil"/>
                  </w:tcBorders>
                  <w:shd w:val="clear" w:color="auto" w:fill="auto"/>
                  <w:noWrap w:val="0"/>
                  <w:vAlign w:val="center"/>
                </w:tcPr>
                <w:p w14:paraId="225CD776">
                  <w:pPr>
                    <w:pStyle w:val="56"/>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1"/>
                      <w:szCs w:val="24"/>
                      <w:lang w:val="en-US" w:eastAsia="zh-CN"/>
                    </w:rPr>
                  </w:pPr>
                  <w:r>
                    <w:rPr>
                      <w:rFonts w:hint="eastAsia" w:ascii="Times New Roman" w:hAnsi="Times New Roman" w:eastAsia="宋体" w:cs="Times New Roman"/>
                      <w:color w:val="auto"/>
                      <w:sz w:val="21"/>
                      <w:szCs w:val="24"/>
                      <w:lang w:val="en-US" w:eastAsia="zh-CN"/>
                    </w:rPr>
                    <w:t>0.097</w:t>
                  </w:r>
                </w:p>
              </w:tc>
              <w:tc>
                <w:tcPr>
                  <w:tcW w:w="542" w:type="pct"/>
                  <w:vMerge w:val="continue"/>
                  <w:tcBorders>
                    <w:left w:val="single" w:color="auto" w:sz="4" w:space="0"/>
                    <w:right w:val="single" w:color="auto" w:sz="4" w:space="0"/>
                    <w:tl2br w:val="nil"/>
                    <w:tr2bl w:val="nil"/>
                  </w:tcBorders>
                  <w:noWrap w:val="0"/>
                  <w:vAlign w:val="center"/>
                </w:tcPr>
                <w:p w14:paraId="04F115ED">
                  <w:pPr>
                    <w:pStyle w:val="56"/>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1"/>
                      <w:szCs w:val="24"/>
                    </w:rPr>
                  </w:pPr>
                </w:p>
              </w:tc>
            </w:tr>
          </w:tbl>
          <w:p w14:paraId="007EDA96">
            <w:pPr>
              <w:pStyle w:val="79"/>
              <w:keepNext w:val="0"/>
              <w:keepLines w:val="0"/>
              <w:widowControl/>
              <w:suppressLineNumbers w:val="0"/>
              <w:spacing w:before="0" w:beforeAutospacing="0" w:after="0" w:afterAutospacing="0"/>
              <w:ind w:left="0" w:right="0" w:firstLine="480"/>
              <w:rPr>
                <w:rFonts w:hint="default" w:eastAsia="宋体"/>
                <w:snapToGrid w:val="0"/>
                <w:color w:val="auto"/>
                <w:lang w:val="en-US" w:eastAsia="zh-CN"/>
              </w:rPr>
            </w:pPr>
            <w:r>
              <w:rPr>
                <w:rFonts w:hint="eastAsia"/>
                <w:snapToGrid w:val="0"/>
                <w:color w:val="auto"/>
              </w:rPr>
              <w:t>（</w:t>
            </w:r>
            <w:r>
              <w:rPr>
                <w:rFonts w:hint="eastAsia"/>
                <w:snapToGrid w:val="0"/>
                <w:color w:val="auto"/>
                <w:lang w:val="en-US" w:eastAsia="zh-CN"/>
              </w:rPr>
              <w:t>5</w:t>
            </w:r>
            <w:r>
              <w:rPr>
                <w:rFonts w:hint="eastAsia"/>
                <w:snapToGrid w:val="0"/>
                <w:color w:val="auto"/>
              </w:rPr>
              <w:t>）</w:t>
            </w:r>
            <w:r>
              <w:rPr>
                <w:rFonts w:hint="eastAsia"/>
                <w:snapToGrid w:val="0"/>
                <w:color w:val="auto"/>
                <w:lang w:val="en-US" w:eastAsia="zh-CN"/>
              </w:rPr>
              <w:t>自行监测计划</w:t>
            </w:r>
          </w:p>
          <w:p w14:paraId="6C6F1B4E">
            <w:pPr>
              <w:pStyle w:val="79"/>
              <w:keepNext w:val="0"/>
              <w:keepLines w:val="0"/>
              <w:widowControl/>
              <w:suppressLineNumbers w:val="0"/>
              <w:spacing w:before="0" w:beforeAutospacing="0" w:after="0" w:afterAutospacing="0"/>
              <w:ind w:left="0" w:right="0" w:firstLine="480"/>
              <w:rPr>
                <w:rFonts w:hint="eastAsia"/>
                <w:snapToGrid w:val="0"/>
                <w:color w:val="auto"/>
              </w:rPr>
            </w:pPr>
            <w:r>
              <w:rPr>
                <w:rFonts w:hint="eastAsia"/>
                <w:snapToGrid w:val="0"/>
                <w:color w:val="auto"/>
              </w:rPr>
              <w:t>根据</w:t>
            </w:r>
            <w:r>
              <w:rPr>
                <w:rFonts w:hint="eastAsia"/>
                <w:color w:val="auto"/>
                <w:shd w:val="clear" w:color="auto" w:fill="auto"/>
              </w:rPr>
              <w:t>《</w:t>
            </w:r>
            <w:r>
              <w:rPr>
                <w:rFonts w:hint="eastAsia"/>
                <w:color w:val="auto"/>
                <w:shd w:val="clear" w:color="auto" w:fill="auto"/>
                <w:lang w:eastAsia="zh-CN"/>
              </w:rPr>
              <w:t>排污单位自行监测技术指南 工业固体废物和危险废物治理</w:t>
            </w:r>
            <w:r>
              <w:rPr>
                <w:rFonts w:hint="eastAsia"/>
                <w:color w:val="auto"/>
                <w:shd w:val="clear" w:color="auto" w:fill="auto"/>
              </w:rPr>
              <w:t>》（</w:t>
            </w:r>
            <w:r>
              <w:rPr>
                <w:rFonts w:hint="eastAsia"/>
                <w:color w:val="auto"/>
                <w:shd w:val="clear" w:color="auto" w:fill="auto"/>
                <w:lang w:eastAsia="zh-CN"/>
              </w:rPr>
              <w:t>HJ 1250—2022</w:t>
            </w:r>
            <w:r>
              <w:rPr>
                <w:rFonts w:hint="eastAsia"/>
                <w:color w:val="auto"/>
                <w:shd w:val="clear" w:color="auto" w:fill="auto"/>
              </w:rPr>
              <w:t>）</w:t>
            </w:r>
            <w:r>
              <w:rPr>
                <w:rFonts w:hint="eastAsia"/>
                <w:color w:val="auto"/>
                <w:shd w:val="clear" w:color="auto" w:fill="auto"/>
                <w:lang w:val="en-US" w:eastAsia="zh-CN"/>
              </w:rPr>
              <w:t>以及《排污单位自行监测技术指南 砖瓦工业》HJ 1254-2022）</w:t>
            </w:r>
            <w:r>
              <w:rPr>
                <w:rFonts w:hint="eastAsia"/>
                <w:snapToGrid w:val="0"/>
                <w:color w:val="auto"/>
              </w:rPr>
              <w:t>，制定本项目大气监测计划如表4-</w:t>
            </w:r>
            <w:r>
              <w:rPr>
                <w:rFonts w:hint="eastAsia"/>
                <w:snapToGrid w:val="0"/>
                <w:color w:val="auto"/>
                <w:lang w:val="en-US" w:eastAsia="zh-CN"/>
              </w:rPr>
              <w:t>9</w:t>
            </w:r>
            <w:r>
              <w:rPr>
                <w:rFonts w:hint="eastAsia"/>
                <w:snapToGrid w:val="0"/>
                <w:color w:val="auto"/>
              </w:rPr>
              <w:t>所示。</w:t>
            </w:r>
          </w:p>
          <w:p w14:paraId="232C3757">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eastAsia" w:ascii="Times New Roman" w:hAnsi="Times New Roman" w:eastAsia="宋体" w:cs="Times New Roman"/>
                <w:b/>
                <w:bCs/>
                <w:color w:val="auto"/>
                <w:kern w:val="0"/>
                <w:sz w:val="21"/>
                <w:szCs w:val="21"/>
                <w:lang w:val="zh-CN" w:eastAsia="zh-CN" w:bidi="ar"/>
              </w:rPr>
            </w:pPr>
            <w:r>
              <w:rPr>
                <w:rFonts w:hint="eastAsia" w:ascii="Times New Roman" w:hAnsi="Times New Roman" w:eastAsia="宋体" w:cs="Times New Roman"/>
                <w:b/>
                <w:bCs/>
                <w:color w:val="auto"/>
                <w:kern w:val="0"/>
                <w:sz w:val="21"/>
                <w:szCs w:val="21"/>
                <w:lang w:val="zh-CN" w:eastAsia="zh-CN" w:bidi="ar"/>
              </w:rPr>
              <w:t>监测要求及排放标准计划表</w:t>
            </w:r>
          </w:p>
          <w:tbl>
            <w:tblPr>
              <w:tblStyle w:val="28"/>
              <w:tblW w:w="4998"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800"/>
              <w:gridCol w:w="2245"/>
              <w:gridCol w:w="2801"/>
            </w:tblGrid>
            <w:tr w14:paraId="71092A3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1784" w:type="pct"/>
                  <w:tcBorders>
                    <w:tl2br w:val="nil"/>
                    <w:tr2bl w:val="nil"/>
                  </w:tcBorders>
                  <w:noWrap w:val="0"/>
                  <w:vAlign w:val="center"/>
                </w:tcPr>
                <w:p w14:paraId="03F1B9C7">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监测点位</w:t>
                  </w:r>
                </w:p>
              </w:tc>
              <w:tc>
                <w:tcPr>
                  <w:tcW w:w="1430" w:type="pct"/>
                  <w:tcBorders>
                    <w:tl2br w:val="nil"/>
                    <w:tr2bl w:val="nil"/>
                  </w:tcBorders>
                  <w:noWrap w:val="0"/>
                  <w:vAlign w:val="center"/>
                </w:tcPr>
                <w:p w14:paraId="796459F3">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监测</w:t>
                  </w:r>
                </w:p>
                <w:p w14:paraId="5AC7388F">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指标</w:t>
                  </w:r>
                </w:p>
              </w:tc>
              <w:tc>
                <w:tcPr>
                  <w:tcW w:w="1784" w:type="pct"/>
                  <w:tcBorders>
                    <w:tl2br w:val="nil"/>
                    <w:tr2bl w:val="nil"/>
                  </w:tcBorders>
                  <w:noWrap w:val="0"/>
                  <w:vAlign w:val="center"/>
                </w:tcPr>
                <w:p w14:paraId="3886FE66">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监测频次</w:t>
                  </w:r>
                </w:p>
              </w:tc>
            </w:tr>
            <w:tr w14:paraId="62EA926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1784" w:type="pct"/>
                  <w:tcBorders>
                    <w:tl2br w:val="nil"/>
                    <w:tr2bl w:val="nil"/>
                  </w:tcBorders>
                  <w:noWrap w:val="0"/>
                  <w:vAlign w:val="center"/>
                </w:tcPr>
                <w:p w14:paraId="11B89EC8">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DA001</w:t>
                  </w:r>
                </w:p>
              </w:tc>
              <w:tc>
                <w:tcPr>
                  <w:tcW w:w="1430" w:type="pct"/>
                  <w:tcBorders>
                    <w:tl2br w:val="nil"/>
                    <w:tr2bl w:val="nil"/>
                  </w:tcBorders>
                  <w:noWrap w:val="0"/>
                  <w:vAlign w:val="center"/>
                </w:tcPr>
                <w:p w14:paraId="716056F6">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w:t>
                  </w:r>
                  <w:r>
                    <w:rPr>
                      <w:rFonts w:hint="eastAsia" w:ascii="Times New Roman" w:hAnsi="Times New Roman" w:eastAsia="宋体" w:cs="Times New Roman"/>
                      <w:color w:val="auto"/>
                      <w:lang w:val="en-US" w:eastAsia="zh-CN"/>
                    </w:rPr>
                    <w:t>、氟化物</w:t>
                  </w:r>
                </w:p>
              </w:tc>
              <w:tc>
                <w:tcPr>
                  <w:tcW w:w="1784" w:type="pct"/>
                  <w:tcBorders>
                    <w:tl2br w:val="nil"/>
                    <w:tr2bl w:val="nil"/>
                  </w:tcBorders>
                  <w:noWrap w:val="0"/>
                  <w:vAlign w:val="center"/>
                </w:tcPr>
                <w:p w14:paraId="2AF3B7FD">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1次/</w:t>
                  </w:r>
                  <w:r>
                    <w:rPr>
                      <w:rFonts w:hint="eastAsia" w:ascii="Times New Roman" w:hAnsi="Times New Roman" w:eastAsia="宋体" w:cs="Times New Roman"/>
                      <w:color w:val="auto"/>
                      <w:lang w:val="en-US" w:eastAsia="zh-CN"/>
                    </w:rPr>
                    <w:t>年</w:t>
                  </w:r>
                </w:p>
              </w:tc>
            </w:tr>
            <w:tr w14:paraId="5F856E1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1784" w:type="pct"/>
                  <w:tcBorders>
                    <w:tl2br w:val="nil"/>
                    <w:tr2bl w:val="nil"/>
                  </w:tcBorders>
                  <w:noWrap w:val="0"/>
                  <w:vAlign w:val="center"/>
                </w:tcPr>
                <w:p w14:paraId="7D457A7A">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厂界</w:t>
                  </w:r>
                </w:p>
              </w:tc>
              <w:tc>
                <w:tcPr>
                  <w:tcW w:w="1430" w:type="pct"/>
                  <w:tcBorders>
                    <w:tl2br w:val="nil"/>
                    <w:tr2bl w:val="nil"/>
                  </w:tcBorders>
                  <w:noWrap w:val="0"/>
                  <w:vAlign w:val="center"/>
                </w:tcPr>
                <w:p w14:paraId="291F4EAF">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w:t>
                  </w:r>
                  <w:r>
                    <w:rPr>
                      <w:rFonts w:hint="eastAsia" w:ascii="Times New Roman" w:hAnsi="Times New Roman" w:eastAsia="宋体" w:cs="Times New Roman"/>
                      <w:color w:val="auto"/>
                      <w:lang w:val="en-US" w:eastAsia="zh-CN"/>
                    </w:rPr>
                    <w:t>、氟化物</w:t>
                  </w:r>
                </w:p>
              </w:tc>
              <w:tc>
                <w:tcPr>
                  <w:tcW w:w="1784" w:type="pct"/>
                  <w:tcBorders>
                    <w:tl2br w:val="nil"/>
                    <w:tr2bl w:val="nil"/>
                  </w:tcBorders>
                  <w:noWrap w:val="0"/>
                  <w:vAlign w:val="center"/>
                </w:tcPr>
                <w:p w14:paraId="60595D15">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 xml:space="preserve">季度 </w:t>
                  </w:r>
                </w:p>
              </w:tc>
            </w:tr>
          </w:tbl>
          <w:p w14:paraId="2A7AC9F8">
            <w:pPr>
              <w:pStyle w:val="79"/>
              <w:keepNext w:val="0"/>
              <w:keepLines w:val="0"/>
              <w:widowControl/>
              <w:suppressLineNumbers w:val="0"/>
              <w:spacing w:before="0" w:beforeAutospacing="0" w:after="0" w:afterAutospacing="0"/>
              <w:ind w:left="0" w:right="0" w:firstLine="480"/>
              <w:jc w:val="both"/>
              <w:rPr>
                <w:rFonts w:hint="eastAsia" w:eastAsia="宋体"/>
                <w:snapToGrid w:val="0"/>
                <w:color w:val="auto"/>
                <w:lang w:val="en-US" w:eastAsia="zh-CN"/>
              </w:rPr>
            </w:pPr>
            <w:r>
              <w:rPr>
                <w:rFonts w:hint="eastAsia"/>
                <w:snapToGrid w:val="0"/>
                <w:color w:val="auto"/>
              </w:rPr>
              <w:t>（</w:t>
            </w:r>
            <w:r>
              <w:rPr>
                <w:rFonts w:hint="eastAsia"/>
                <w:snapToGrid w:val="0"/>
                <w:color w:val="auto"/>
                <w:lang w:val="en-US" w:eastAsia="zh-CN"/>
              </w:rPr>
              <w:t>6</w:t>
            </w:r>
            <w:r>
              <w:rPr>
                <w:rFonts w:hint="eastAsia"/>
                <w:snapToGrid w:val="0"/>
                <w:color w:val="auto"/>
              </w:rPr>
              <w:t>）</w:t>
            </w:r>
            <w:r>
              <w:rPr>
                <w:rFonts w:hint="eastAsia"/>
                <w:snapToGrid w:val="0"/>
                <w:color w:val="auto"/>
                <w:lang w:val="en-US" w:eastAsia="zh-CN"/>
              </w:rPr>
              <w:t>废气治理措施技术经济可行性分析</w:t>
            </w:r>
          </w:p>
          <w:p w14:paraId="52974A6D">
            <w:pPr>
              <w:pStyle w:val="74"/>
              <w:keepNext w:val="0"/>
              <w:keepLines w:val="0"/>
              <w:suppressLineNumbers w:val="0"/>
              <w:bidi w:val="0"/>
              <w:spacing w:before="0" w:beforeAutospacing="0" w:after="0" w:afterAutospacing="0"/>
              <w:ind w:left="0" w:right="0"/>
              <w:rPr>
                <w:rFonts w:hint="eastAsia" w:eastAsia="宋体" w:cs="Times New Roman"/>
                <w:snapToGrid w:val="0"/>
                <w:color w:val="auto"/>
                <w:lang w:val="en-US" w:eastAsia="zh-CN"/>
              </w:rPr>
            </w:pPr>
            <w:r>
              <w:rPr>
                <w:rFonts w:hint="eastAsia" w:cs="Times New Roman"/>
                <w:snapToGrid w:val="0"/>
                <w:color w:val="auto"/>
              </w:rPr>
              <w:t>布袋除尘器结构相对简单，这使得它在日常运行和维护中更具成本效益。相比于其他类型的除尘器，它需要的维护工作更少、更简便。研究表明，布袋除尘器整体的维护费用约为一般除尘器的70%左右。同时，其高效的清灰技术（如脉冲清灰）和低阻力设计，能有效降低运行时的能耗，节省电费</w:t>
            </w:r>
            <w:r>
              <w:rPr>
                <w:rFonts w:hint="eastAsia" w:cs="Times New Roman"/>
                <w:snapToGrid w:val="0"/>
                <w:color w:val="auto"/>
                <w:lang w:val="en-US" w:eastAsia="zh-CN"/>
              </w:rPr>
              <w:t>.</w:t>
            </w:r>
          </w:p>
          <w:p w14:paraId="4DDD956B">
            <w:pPr>
              <w:pStyle w:val="74"/>
              <w:keepNext w:val="0"/>
              <w:keepLines w:val="0"/>
              <w:numPr>
                <w:ilvl w:val="0"/>
                <w:numId w:val="13"/>
              </w:numPr>
              <w:suppressLineNumbers w:val="0"/>
              <w:bidi w:val="0"/>
              <w:spacing w:before="0" w:beforeAutospacing="0" w:after="0" w:afterAutospacing="0"/>
              <w:ind w:left="280" w:leftChars="0" w:right="0" w:firstLineChars="0"/>
              <w:rPr>
                <w:rFonts w:hint="default" w:cs="Times New Roman"/>
                <w:b/>
                <w:bCs/>
                <w:color w:val="auto"/>
              </w:rPr>
            </w:pPr>
            <w:r>
              <w:rPr>
                <w:rFonts w:hint="default" w:cs="Times New Roman"/>
                <w:b/>
                <w:bCs/>
                <w:color w:val="auto"/>
              </w:rPr>
              <w:t>废水</w:t>
            </w:r>
          </w:p>
          <w:p w14:paraId="4E16702E">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项目营运期产生废水主要为运输车辆冲洗废水</w:t>
            </w:r>
            <w:r>
              <w:rPr>
                <w:rFonts w:hint="eastAsia" w:cs="Times New Roman"/>
                <w:color w:val="auto"/>
                <w:lang w:val="en-US" w:eastAsia="zh-CN"/>
              </w:rPr>
              <w:t>、</w:t>
            </w:r>
            <w:r>
              <w:rPr>
                <w:rFonts w:hint="eastAsia" w:ascii="Times New Roman" w:hAnsi="Times New Roman" w:eastAsia="宋体" w:cs="Times New Roman"/>
                <w:color w:val="auto"/>
                <w:lang w:val="en-US" w:eastAsia="zh-CN"/>
              </w:rPr>
              <w:t>喷淋用水及道路抑尘用水，员工生活污水</w:t>
            </w:r>
            <w:r>
              <w:rPr>
                <w:rFonts w:hint="eastAsia" w:cs="Times New Roman"/>
                <w:color w:val="auto"/>
                <w:lang w:val="en-US" w:eastAsia="zh-CN"/>
              </w:rPr>
              <w:t>，初期雨水需严格按照要求进行分类收集，废水之间不可相混。</w:t>
            </w:r>
          </w:p>
          <w:p w14:paraId="355C32F3">
            <w:pPr>
              <w:pStyle w:val="74"/>
              <w:keepNext w:val="0"/>
              <w:keepLines w:val="0"/>
              <w:numPr>
                <w:ilvl w:val="0"/>
                <w:numId w:val="0"/>
              </w:numPr>
              <w:suppressLineNumbers w:val="0"/>
              <w:bidi w:val="0"/>
              <w:spacing w:before="0" w:beforeAutospacing="0" w:after="0" w:afterAutospacing="0"/>
              <w:ind w:left="480" w:leftChars="200" w:right="0" w:rightChars="0"/>
              <w:rPr>
                <w:rFonts w:hint="default" w:eastAsia="宋体" w:cs="Times New Roman"/>
                <w:b/>
                <w:bCs/>
                <w:color w:val="auto"/>
                <w:lang w:val="en-US" w:eastAsia="zh-CN"/>
              </w:rPr>
            </w:pPr>
            <w:r>
              <w:rPr>
                <w:rFonts w:hint="eastAsia" w:cs="Times New Roman"/>
                <w:b/>
                <w:bCs/>
                <w:color w:val="auto"/>
                <w:lang w:val="en-US" w:eastAsia="zh-CN"/>
              </w:rPr>
              <w:t>1）生活污水</w:t>
            </w:r>
          </w:p>
          <w:p w14:paraId="148D49DB">
            <w:pPr>
              <w:pStyle w:val="74"/>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eastAsia="zh-CN"/>
              </w:rPr>
              <w:t>项目员工人数为50人，均不在厂内住宿</w:t>
            </w:r>
            <w:r>
              <w:rPr>
                <w:rFonts w:hint="eastAsia" w:cs="Times New Roman"/>
                <w:color w:val="auto"/>
                <w:lang w:val="en-US" w:eastAsia="zh-CN"/>
              </w:rPr>
              <w:t>，生活用水量参考江西省地方标准《生活及服务业用水定额第1部分：公共机构》（DB36/T1827.1-2023），机关单位无食堂生活用水量按18m/a·人计，</w:t>
            </w:r>
            <w:r>
              <w:rPr>
                <w:rFonts w:hint="default" w:cs="Times New Roman"/>
                <w:color w:val="auto"/>
              </w:rPr>
              <w:t>则全年生活用水量为</w:t>
            </w:r>
            <w:r>
              <w:rPr>
                <w:rFonts w:hint="eastAsia" w:cs="Times New Roman"/>
                <w:color w:val="auto"/>
                <w:lang w:val="en-US" w:eastAsia="zh-CN"/>
              </w:rPr>
              <w:t>900</w:t>
            </w:r>
            <w:r>
              <w:rPr>
                <w:rFonts w:hint="eastAsia" w:cs="Times New Roman"/>
                <w:color w:val="auto"/>
                <w:lang w:eastAsia="zh-CN"/>
              </w:rPr>
              <w:t>m³</w:t>
            </w:r>
            <w:r>
              <w:rPr>
                <w:rFonts w:hint="eastAsia" w:cs="Times New Roman"/>
                <w:color w:val="auto"/>
                <w:lang w:val="en-US" w:eastAsia="zh-CN"/>
              </w:rPr>
              <w:t>/a，</w:t>
            </w:r>
            <w:r>
              <w:rPr>
                <w:rFonts w:hint="default" w:cs="Times New Roman"/>
                <w:color w:val="auto"/>
              </w:rPr>
              <w:t>本项目折污系数为0.8</w:t>
            </w:r>
            <w:r>
              <w:rPr>
                <w:rFonts w:hint="eastAsia" w:cs="Times New Roman"/>
                <w:color w:val="auto"/>
                <w:lang w:val="en-US" w:eastAsia="zh-CN"/>
              </w:rPr>
              <w:t>计</w:t>
            </w:r>
            <w:r>
              <w:rPr>
                <w:rFonts w:hint="default" w:cs="Times New Roman"/>
                <w:color w:val="auto"/>
              </w:rPr>
              <w:t>，则生活污水产生量为</w:t>
            </w:r>
            <w:r>
              <w:rPr>
                <w:rFonts w:hint="eastAsia" w:cs="Times New Roman"/>
                <w:color w:val="auto"/>
                <w:lang w:val="en-US" w:eastAsia="zh-CN"/>
              </w:rPr>
              <w:t>720</w:t>
            </w:r>
            <w:r>
              <w:rPr>
                <w:rFonts w:hint="eastAsia" w:cs="Times New Roman"/>
                <w:color w:val="auto"/>
                <w:lang w:eastAsia="zh-CN"/>
              </w:rPr>
              <w:t>m³</w:t>
            </w:r>
            <w:r>
              <w:rPr>
                <w:rFonts w:hint="default" w:cs="Times New Roman"/>
                <w:color w:val="auto"/>
              </w:rPr>
              <w:t>/a</w:t>
            </w:r>
            <w:r>
              <w:rPr>
                <w:rFonts w:hint="eastAsia" w:cs="Times New Roman"/>
                <w:color w:val="auto"/>
                <w:lang w:eastAsia="zh-CN"/>
              </w:rPr>
              <w:t>，</w:t>
            </w:r>
            <w:r>
              <w:rPr>
                <w:rFonts w:hint="default" w:cs="Times New Roman"/>
                <w:color w:val="auto"/>
                <w:lang w:val="zh-CN" w:eastAsia="zh-CN"/>
              </w:rPr>
              <w:t>其主要污染指标为CODcr、BOD</w:t>
            </w:r>
            <w:r>
              <w:rPr>
                <w:rFonts w:hint="default" w:cs="Times New Roman"/>
                <w:color w:val="auto"/>
                <w:vertAlign w:val="subscript"/>
                <w:lang w:val="zh-CN" w:eastAsia="zh-CN"/>
              </w:rPr>
              <w:t>5</w:t>
            </w:r>
            <w:r>
              <w:rPr>
                <w:rFonts w:hint="default" w:cs="Times New Roman"/>
                <w:color w:val="auto"/>
                <w:lang w:val="zh-CN" w:eastAsia="zh-CN"/>
              </w:rPr>
              <w:t>、SS、氨氮、TP，浓度参照《城市污水处理技术及工程实例》（化学工业出版社）中低等浓度水质，则对应浓度分别为250mg/L、140mg/L、200mg/L、25mg/L、4mg/L</w:t>
            </w:r>
            <w:r>
              <w:rPr>
                <w:rFonts w:hint="eastAsia" w:cs="Times New Roman"/>
                <w:color w:val="auto"/>
                <w:lang w:val="zh-CN" w:eastAsia="zh-CN"/>
              </w:rPr>
              <w:t>。</w:t>
            </w:r>
            <w:r>
              <w:rPr>
                <w:rFonts w:hint="eastAsia" w:cs="Times New Roman"/>
                <w:color w:val="auto"/>
                <w:lang w:val="en-US" w:eastAsia="zh-CN"/>
              </w:rPr>
              <w:t>本项目生活污水经化粪池预处理后，达到建筑陶瓷产业园污水处理厂接管标准后，通过市政污水管网排入建筑陶瓷产业园污水处理厂处理达《城镇污水处理厂污染物排放标准》（GB18918-2002）一级A标准后排入肖江。</w:t>
            </w:r>
          </w:p>
          <w:p w14:paraId="0B7985F6">
            <w:pPr>
              <w:pStyle w:val="74"/>
              <w:keepNext w:val="0"/>
              <w:keepLines w:val="0"/>
              <w:numPr>
                <w:ilvl w:val="0"/>
                <w:numId w:val="0"/>
              </w:numPr>
              <w:suppressLineNumbers w:val="0"/>
              <w:bidi w:val="0"/>
              <w:spacing w:before="0" w:beforeAutospacing="0" w:after="0" w:afterAutospacing="0"/>
              <w:ind w:left="0" w:leftChars="0" w:right="0" w:rightChars="0" w:firstLine="482" w:firstLineChars="200"/>
              <w:rPr>
                <w:rFonts w:hint="eastAsia" w:cs="Times New Roman"/>
                <w:b/>
                <w:bCs/>
                <w:color w:val="auto"/>
                <w:lang w:val="en-US" w:eastAsia="zh-CN"/>
              </w:rPr>
            </w:pPr>
            <w:r>
              <w:rPr>
                <w:rFonts w:hint="eastAsia" w:cs="Times New Roman"/>
                <w:b/>
                <w:bCs/>
                <w:color w:val="auto"/>
                <w:kern w:val="2"/>
                <w:sz w:val="24"/>
                <w:szCs w:val="24"/>
                <w:lang w:val="en-US" w:eastAsia="zh-CN" w:bidi="ar-SA"/>
              </w:rPr>
              <w:t>2</w:t>
            </w:r>
            <w:r>
              <w:rPr>
                <w:rFonts w:hint="eastAsia" w:ascii="Times New Roman" w:hAnsi="Times New Roman" w:eastAsia="宋体" w:cs="Times New Roman"/>
                <w:b/>
                <w:bCs/>
                <w:color w:val="auto"/>
                <w:kern w:val="2"/>
                <w:sz w:val="24"/>
                <w:szCs w:val="24"/>
                <w:lang w:val="en-US" w:eastAsia="zh-CN" w:bidi="ar-SA"/>
              </w:rPr>
              <w:t>）</w:t>
            </w:r>
            <w:r>
              <w:rPr>
                <w:rFonts w:hint="eastAsia" w:cs="Times New Roman"/>
                <w:b/>
                <w:bCs/>
                <w:color w:val="auto"/>
                <w:lang w:val="en-US" w:eastAsia="zh-CN"/>
              </w:rPr>
              <w:t>喷淋用水及道路抑尘用水</w:t>
            </w:r>
          </w:p>
          <w:p w14:paraId="50029D25">
            <w:pPr>
              <w:pStyle w:val="74"/>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原料堆料场需要喷水降尘，采用喷雾除尘装置抑尘，道路需要定期洒水抑尘，以减少起尘量。用水量按照14</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s="Times New Roman"/>
                <w:color w:val="auto"/>
                <w:lang w:val="en-US" w:eastAsia="zh-CN"/>
              </w:rPr>
              <w:t>/d计，项目年工作300天，项目用水量为4200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s="Times New Roman"/>
                <w:color w:val="auto"/>
                <w:lang w:val="en-US" w:eastAsia="zh-CN"/>
              </w:rPr>
              <w:t>/a。喷雾除尘用水全部蒸发，不产生外排废水。</w:t>
            </w:r>
          </w:p>
          <w:p w14:paraId="2ECA5DE4">
            <w:pPr>
              <w:pStyle w:val="74"/>
              <w:keepNext w:val="0"/>
              <w:keepLines w:val="0"/>
              <w:suppressLineNumbers w:val="0"/>
              <w:bidi w:val="0"/>
              <w:spacing w:before="0" w:beforeAutospacing="0" w:after="0" w:afterAutospacing="0"/>
              <w:ind w:left="0" w:right="0"/>
              <w:rPr>
                <w:rFonts w:hint="eastAsia" w:cs="Times New Roman"/>
                <w:b/>
                <w:bCs/>
                <w:color w:val="auto"/>
                <w:lang w:val="en-US" w:eastAsia="zh-CN"/>
              </w:rPr>
            </w:pPr>
            <w:r>
              <w:rPr>
                <w:rFonts w:hint="eastAsia" w:cs="Times New Roman"/>
                <w:b/>
                <w:bCs/>
                <w:color w:val="auto"/>
                <w:lang w:val="en-US" w:eastAsia="zh-CN"/>
              </w:rPr>
              <w:t>3）运输车辆冲洗废水</w:t>
            </w:r>
          </w:p>
          <w:p w14:paraId="3C43EBBC">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企业运输量约</w:t>
            </w:r>
            <w:r>
              <w:rPr>
                <w:rFonts w:hint="eastAsia" w:cs="Times New Roman"/>
                <w:color w:val="auto"/>
                <w:lang w:val="en-US" w:eastAsia="zh-CN"/>
              </w:rPr>
              <w:t>18</w:t>
            </w:r>
            <w:r>
              <w:rPr>
                <w:rFonts w:hint="eastAsia" w:ascii="Times New Roman" w:hAnsi="Times New Roman" w:eastAsia="宋体" w:cs="Times New Roman"/>
                <w:color w:val="auto"/>
                <w:lang w:val="en-US" w:eastAsia="zh-CN"/>
              </w:rPr>
              <w:t>0</w:t>
            </w:r>
            <w:r>
              <w:rPr>
                <w:rFonts w:hint="default" w:ascii="Times New Roman" w:hAnsi="Times New Roman" w:eastAsia="宋体" w:cs="Times New Roman"/>
                <w:color w:val="auto"/>
                <w:lang w:val="en-US" w:eastAsia="zh-CN"/>
              </w:rPr>
              <w:t>万吨，</w:t>
            </w:r>
            <w:r>
              <w:rPr>
                <w:rFonts w:hint="eastAsia" w:cs="Times New Roman"/>
                <w:color w:val="auto"/>
                <w:lang w:val="en-US" w:eastAsia="zh-CN"/>
              </w:rPr>
              <w:t>每辆可运输40吨货物，</w:t>
            </w:r>
            <w:r>
              <w:rPr>
                <w:rFonts w:hint="default" w:ascii="Times New Roman" w:hAnsi="Times New Roman" w:eastAsia="宋体" w:cs="Times New Roman"/>
                <w:color w:val="auto"/>
                <w:lang w:val="en-US" w:eastAsia="zh-CN"/>
              </w:rPr>
              <w:t>运输车出厂次数</w:t>
            </w:r>
            <w:r>
              <w:rPr>
                <w:rFonts w:hint="eastAsia" w:cs="Times New Roman"/>
                <w:color w:val="auto"/>
                <w:lang w:val="en-US" w:eastAsia="zh-CN"/>
              </w:rPr>
              <w:t>约</w:t>
            </w:r>
            <w:r>
              <w:rPr>
                <w:rFonts w:hint="default" w:ascii="Times New Roman" w:hAnsi="Times New Roman" w:eastAsia="宋体" w:cs="Times New Roman"/>
                <w:color w:val="auto"/>
                <w:lang w:val="en-US" w:eastAsia="zh-CN"/>
              </w:rPr>
              <w:t>为</w:t>
            </w:r>
            <w:r>
              <w:rPr>
                <w:rFonts w:hint="eastAsia" w:cs="Times New Roman"/>
                <w:color w:val="auto"/>
                <w:lang w:val="en-US" w:eastAsia="zh-CN"/>
              </w:rPr>
              <w:t>150</w:t>
            </w:r>
            <w:r>
              <w:rPr>
                <w:rFonts w:hint="default" w:ascii="Times New Roman" w:hAnsi="Times New Roman" w:eastAsia="宋体" w:cs="Times New Roman"/>
                <w:color w:val="auto"/>
                <w:lang w:val="en-US" w:eastAsia="zh-CN"/>
              </w:rPr>
              <w:t>辆次/1天，每车用喷淋水约</w:t>
            </w:r>
            <w:r>
              <w:rPr>
                <w:rFonts w:hint="eastAsia" w:cs="Times New Roman"/>
                <w:color w:val="auto"/>
                <w:lang w:val="en-US" w:eastAsia="zh-CN"/>
              </w:rPr>
              <w:t>100</w:t>
            </w:r>
            <w:r>
              <w:rPr>
                <w:rFonts w:hint="default" w:ascii="Times New Roman" w:hAnsi="Times New Roman" w:eastAsia="宋体" w:cs="Times New Roman"/>
                <w:color w:val="auto"/>
                <w:lang w:val="en-US" w:eastAsia="zh-CN"/>
              </w:rPr>
              <w:t>L/辆・次。全天车身冲洗水量为</w:t>
            </w:r>
            <w:r>
              <w:rPr>
                <w:rFonts w:hint="eastAsia" w:cs="Times New Roman"/>
                <w:color w:val="auto"/>
                <w:lang w:val="en-US" w:eastAsia="zh-CN"/>
              </w:rPr>
              <w:t>15</w:t>
            </w:r>
            <w:r>
              <w:rPr>
                <w:rFonts w:hint="eastAsia" w:ascii="Times New Roman" w:hAnsi="Times New Roman" w:eastAsia="宋体" w:cs="Times New Roman"/>
                <w:color w:val="auto"/>
                <w:lang w:val="en-US" w:eastAsia="zh-CN"/>
              </w:rPr>
              <w:t>t</w:t>
            </w:r>
            <w:r>
              <w:rPr>
                <w:rFonts w:hint="default" w:ascii="Times New Roman" w:hAnsi="Times New Roman" w:eastAsia="宋体" w:cs="Times New Roman"/>
                <w:color w:val="auto"/>
                <w:lang w:val="en-US" w:eastAsia="zh-CN"/>
              </w:rPr>
              <w:t>/d，年用水量为</w:t>
            </w:r>
            <w:r>
              <w:rPr>
                <w:rFonts w:hint="eastAsia" w:cs="Times New Roman"/>
                <w:color w:val="auto"/>
                <w:lang w:val="en-US" w:eastAsia="zh-CN"/>
              </w:rPr>
              <w:t>3000</w:t>
            </w:r>
            <w:r>
              <w:rPr>
                <w:rFonts w:hint="default" w:ascii="Times New Roman" w:hAnsi="Times New Roman" w:eastAsia="宋体" w:cs="Times New Roman"/>
                <w:color w:val="auto"/>
                <w:lang w:val="en-US" w:eastAsia="zh-CN"/>
              </w:rPr>
              <w:t>t/a（按200天晴天计）。废水排放系数按0.9计，则运输车辆冲洗废水产生量为</w:t>
            </w:r>
            <w:r>
              <w:rPr>
                <w:rFonts w:hint="eastAsia" w:cs="Times New Roman"/>
                <w:color w:val="auto"/>
                <w:lang w:val="en-US" w:eastAsia="zh-CN"/>
              </w:rPr>
              <w:t>2700</w:t>
            </w:r>
            <w:r>
              <w:rPr>
                <w:rFonts w:hint="default" w:ascii="Times New Roman" w:hAnsi="Times New Roman" w:eastAsia="宋体" w:cs="Times New Roman"/>
                <w:color w:val="auto"/>
                <w:lang w:val="en-US" w:eastAsia="zh-CN"/>
              </w:rPr>
              <w:t>t/a。运输车辆冲洗废水收集</w:t>
            </w:r>
            <w:r>
              <w:rPr>
                <w:rFonts w:hint="eastAsia" w:cs="Times New Roman"/>
                <w:color w:val="auto"/>
                <w:lang w:val="en-US" w:eastAsia="zh-CN"/>
              </w:rPr>
              <w:t>后</w:t>
            </w:r>
            <w:r>
              <w:rPr>
                <w:rFonts w:hint="default" w:ascii="Times New Roman" w:hAnsi="Times New Roman" w:eastAsia="宋体" w:cs="Times New Roman"/>
                <w:color w:val="auto"/>
                <w:lang w:val="en-US" w:eastAsia="zh-CN"/>
              </w:rPr>
              <w:t>经沉淀池</w:t>
            </w:r>
            <w:r>
              <w:rPr>
                <w:rFonts w:hint="eastAsia" w:cs="Times New Roman"/>
                <w:color w:val="auto"/>
                <w:lang w:val="en-US" w:eastAsia="zh-CN"/>
              </w:rPr>
              <w:t>（50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s="Times New Roman"/>
                <w:color w:val="auto"/>
                <w:lang w:val="en-US" w:eastAsia="zh-CN"/>
              </w:rPr>
              <w:t>）</w:t>
            </w:r>
            <w:r>
              <w:rPr>
                <w:rFonts w:hint="default" w:ascii="Times New Roman" w:hAnsi="Times New Roman" w:eastAsia="宋体" w:cs="Times New Roman"/>
                <w:color w:val="auto"/>
                <w:lang w:val="en-US" w:eastAsia="zh-CN"/>
              </w:rPr>
              <w:t>处理后回用于运输车辆冲洗</w:t>
            </w:r>
            <w:r>
              <w:rPr>
                <w:rFonts w:hint="eastAsia" w:ascii="Times New Roman" w:hAnsi="Times New Roman" w:eastAsia="宋体" w:cs="Times New Roman"/>
                <w:color w:val="auto"/>
                <w:lang w:val="en-US" w:eastAsia="zh-CN"/>
              </w:rPr>
              <w:t>。</w:t>
            </w:r>
          </w:p>
          <w:p w14:paraId="5E2B74E1">
            <w:pPr>
              <w:pStyle w:val="74"/>
              <w:keepNext w:val="0"/>
              <w:keepLines w:val="0"/>
              <w:numPr>
                <w:ilvl w:val="0"/>
                <w:numId w:val="0"/>
              </w:numPr>
              <w:suppressLineNumbers w:val="0"/>
              <w:bidi w:val="0"/>
              <w:spacing w:before="0" w:beforeAutospacing="0" w:after="0" w:afterAutospacing="0"/>
              <w:ind w:left="0" w:leftChars="0" w:right="0" w:rightChars="0" w:firstLine="482" w:firstLineChars="200"/>
              <w:rPr>
                <w:rFonts w:hint="eastAsia" w:cs="Times New Roman"/>
                <w:b/>
                <w:bCs/>
                <w:color w:val="auto"/>
                <w:lang w:val="en-US" w:eastAsia="zh-CN"/>
              </w:rPr>
            </w:pPr>
            <w:r>
              <w:rPr>
                <w:rFonts w:hint="eastAsia" w:cs="Times New Roman"/>
                <w:b/>
                <w:bCs/>
                <w:color w:val="auto"/>
                <w:kern w:val="2"/>
                <w:sz w:val="24"/>
                <w:szCs w:val="24"/>
                <w:lang w:val="en-US" w:eastAsia="zh-CN" w:bidi="ar-SA"/>
              </w:rPr>
              <w:t>4</w:t>
            </w:r>
            <w:r>
              <w:rPr>
                <w:rFonts w:hint="eastAsia" w:ascii="Times New Roman" w:hAnsi="Times New Roman" w:eastAsia="宋体" w:cs="Times New Roman"/>
                <w:b/>
                <w:bCs/>
                <w:color w:val="auto"/>
                <w:kern w:val="2"/>
                <w:sz w:val="24"/>
                <w:szCs w:val="24"/>
                <w:lang w:val="en-US" w:eastAsia="zh-CN" w:bidi="ar-SA"/>
              </w:rPr>
              <w:t>）</w:t>
            </w:r>
            <w:r>
              <w:rPr>
                <w:rFonts w:hint="eastAsia" w:cs="Times New Roman"/>
                <w:b/>
                <w:bCs/>
                <w:color w:val="auto"/>
                <w:lang w:val="en-US" w:eastAsia="zh-CN"/>
              </w:rPr>
              <w:t>初期雨水</w:t>
            </w:r>
          </w:p>
          <w:p w14:paraId="47D00A56">
            <w:pPr>
              <w:pStyle w:val="74"/>
              <w:keepNext w:val="0"/>
              <w:keepLines w:val="0"/>
              <w:numPr>
                <w:ilvl w:val="0"/>
                <w:numId w:val="0"/>
              </w:numPr>
              <w:suppressLineNumbers w:val="0"/>
              <w:bidi w:val="0"/>
              <w:spacing w:before="0" w:beforeAutospacing="0" w:after="0" w:afterAutospacing="0"/>
              <w:ind w:left="0" w:leftChars="0" w:right="0" w:rightChars="0" w:firstLine="480" w:firstLineChars="200"/>
              <w:rPr>
                <w:rFonts w:hint="eastAsia" w:cs="Times New Roman"/>
                <w:color w:val="auto"/>
                <w:lang w:val="en-US" w:eastAsia="zh-CN"/>
              </w:rPr>
            </w:pPr>
            <w:r>
              <w:rPr>
                <w:rFonts w:hint="eastAsia" w:cs="Times New Roman"/>
                <w:color w:val="auto"/>
                <w:lang w:val="en-US" w:eastAsia="zh-CN"/>
              </w:rPr>
              <w:t>本环评考虑生产区域收集初期雨水，厂区占地面积约为12000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eastAsia" w:cs="Times New Roman"/>
                <w:color w:val="auto"/>
                <w:lang w:val="en-US" w:eastAsia="zh-CN"/>
              </w:rPr>
              <w:t>，参考《石油化工给水排水系统设计规范》（SH/T3015-2019），本项目初期雨水产生量按30mm计算，初期雨水一次产生量为360m</w:t>
            </w:r>
            <w:r>
              <w:rPr>
                <w:rFonts w:hint="eastAsia" w:cs="Times New Roman"/>
                <w:color w:val="auto"/>
                <w:vertAlign w:val="superscript"/>
                <w:lang w:val="en-US" w:eastAsia="zh-CN"/>
              </w:rPr>
              <w:t>3</w:t>
            </w:r>
            <w:r>
              <w:rPr>
                <w:rFonts w:hint="eastAsia" w:cs="Times New Roman"/>
                <w:color w:val="auto"/>
                <w:lang w:val="en-US" w:eastAsia="zh-CN"/>
              </w:rPr>
              <w:t>，全年按10次计算，初期雨水产生量3600m</w:t>
            </w:r>
            <w:r>
              <w:rPr>
                <w:rFonts w:hint="eastAsia" w:cs="Times New Roman"/>
                <w:color w:val="auto"/>
                <w:vertAlign w:val="superscript"/>
                <w:lang w:val="en-US" w:eastAsia="zh-CN"/>
              </w:rPr>
              <w:t>3</w:t>
            </w:r>
            <w:r>
              <w:rPr>
                <w:rFonts w:hint="eastAsia" w:cs="Times New Roman"/>
                <w:color w:val="auto"/>
                <w:lang w:val="en-US" w:eastAsia="zh-CN"/>
              </w:rPr>
              <w:t>/a（12m</w:t>
            </w:r>
            <w:r>
              <w:rPr>
                <w:rFonts w:hint="eastAsia" w:cs="Times New Roman"/>
                <w:color w:val="auto"/>
                <w:vertAlign w:val="superscript"/>
                <w:lang w:val="en-US" w:eastAsia="zh-CN"/>
              </w:rPr>
              <w:t>3</w:t>
            </w:r>
            <w:r>
              <w:rPr>
                <w:rFonts w:hint="eastAsia" w:cs="Times New Roman"/>
                <w:color w:val="auto"/>
                <w:lang w:val="en-US" w:eastAsia="zh-CN"/>
              </w:rPr>
              <w:t>/d）。参考同类型建设项目，初期雨水的污染物浓度为CODCr：40mg/L、SS：400mg/L、NH3-N：0.5mg/L、总铍：0.01mg/L、总铊：0.02mg/L和氟化物：5mg/L。本项目依托现有项目的初期雨水池一座，容积为960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s="Times New Roman"/>
                <w:color w:val="auto"/>
                <w:lang w:val="en-US" w:eastAsia="zh-CN"/>
              </w:rPr>
              <w:t>，建设单位需对初期雨水进行收集和处理，以减少对周围地表水的不利影响，通过对租赁厂房四周设置围堰仅收集租赁厂房初期雨水，再经氧化+除铊除氟+絮凝沉淀处理后达到《城市污水再生利用工业用水水质》（GB/T19923-2024）、《无机化学工业污染物排放标准》（GB31573-2015）和《工业废水铊污染物排放标准》（DB36/1149-2019）标准中的较严值后，回用于抑尘用水。</w:t>
            </w:r>
          </w:p>
          <w:p w14:paraId="5A2B6640">
            <w:pPr>
              <w:pStyle w:val="74"/>
              <w:keepNext w:val="0"/>
              <w:keepLines w:val="0"/>
              <w:numPr>
                <w:ilvl w:val="0"/>
                <w:numId w:val="0"/>
              </w:numPr>
              <w:suppressLineNumbers w:val="0"/>
              <w:bidi w:val="0"/>
              <w:spacing w:before="0" w:beforeAutospacing="0" w:after="0" w:afterAutospacing="0"/>
              <w:ind w:left="0" w:leftChars="0" w:right="0" w:rightChars="0" w:firstLine="480" w:firstLineChars="200"/>
              <w:rPr>
                <w:rFonts w:hint="default" w:cs="Times New Roman"/>
                <w:color w:val="auto"/>
                <w:lang w:val="en-US" w:eastAsia="zh-CN"/>
              </w:rPr>
            </w:pPr>
            <w:r>
              <w:rPr>
                <w:rFonts w:hint="default" w:cs="Times New Roman"/>
                <w:color w:val="auto"/>
                <w:lang w:val="en-US" w:eastAsia="zh-CN"/>
              </w:rPr>
              <w:t>根据宜春市生态环境保护委员会办公室出具了《碳酸锂生产行业生态环境监管标准（试行）》（宜环委办字〔2023〕2号）文，初期雨水收集池按照厂区面积不低于每公顷300立方米的标准建设，本项目占地面积1.2公顷，在满足一次收集量的情况下，需要建设不低于360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cs="Times New Roman"/>
                <w:color w:val="auto"/>
                <w:lang w:val="en-US" w:eastAsia="zh-CN"/>
              </w:rPr>
              <w:t>的初期雨水池。本项目依托现有工程初期雨水收集池（960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cs="Times New Roman"/>
                <w:color w:val="auto"/>
                <w:lang w:val="en-US" w:eastAsia="zh-CN"/>
              </w:rPr>
              <w:t>），能满足要求。本项目采取雨污分流，沿厂界设置围堰及雨水沟，以保证仅租赁厂房初期雨水能顺利引入沉淀池，初期雨水池设置阀门，待收集完</w:t>
            </w:r>
            <w:r>
              <w:rPr>
                <w:rFonts w:hint="eastAsia" w:cs="Times New Roman"/>
                <w:color w:val="auto"/>
                <w:lang w:val="en-US" w:eastAsia="zh-CN"/>
              </w:rPr>
              <w:t>3</w:t>
            </w:r>
            <w:r>
              <w:rPr>
                <w:rFonts w:hint="default" w:cs="Times New Roman"/>
                <w:color w:val="auto"/>
                <w:lang w:val="en-US" w:eastAsia="zh-CN"/>
              </w:rPr>
              <w:t>0mm降雨量后阀门自动关闭。雨水排放口安装氟化物、铊在线监测设备，并与市、县两级在线监控管理平台联网。</w:t>
            </w:r>
          </w:p>
          <w:p w14:paraId="159CF70C">
            <w:pPr>
              <w:pStyle w:val="74"/>
              <w:keepNext w:val="0"/>
              <w:keepLines w:val="0"/>
              <w:numPr>
                <w:ilvl w:val="0"/>
                <w:numId w:val="0"/>
              </w:numPr>
              <w:suppressLineNumbers w:val="0"/>
              <w:bidi w:val="0"/>
              <w:spacing w:before="0" w:beforeAutospacing="0" w:after="0" w:afterAutospacing="0"/>
              <w:ind w:left="0" w:leftChars="0" w:right="0" w:rightChars="0" w:firstLine="480" w:firstLineChars="200"/>
              <w:rPr>
                <w:rFonts w:hint="default" w:cs="Times New Roman"/>
                <w:color w:val="auto"/>
                <w:lang w:val="en-US" w:eastAsia="zh-CN"/>
              </w:rPr>
            </w:pPr>
            <w:r>
              <w:rPr>
                <w:rFonts w:hint="default" w:cs="Times New Roman"/>
                <w:color w:val="auto"/>
                <w:lang w:val="en-US" w:eastAsia="zh-CN"/>
              </w:rPr>
              <w:t>项目排水实行雨污分流制。项目后期雨水排放时自动监测铊、氟化物含量，排入园区雨水管网后排入项目西边水库，铊预警限值浓度为5μg/L（参照《工业废水铊污染物排放标准》（DB36/1149-2019）标准限值），氟化物预警限值浓度为2mg/L（参照《无机化学工业污染物排放标准》（GB31573-2015）的水污染物排放限值），超过预警限值浓度后立即停止排放；生活污水经隔油池、化粪池处理达到建筑陶瓷产业园污水处理厂接管标准要求后经市政污水管网纳入建筑陶瓷产业园污水处理厂处理，处理达标后尾水执行《城镇污水处理厂污染物排放标准》（GB18918-2002）中一级A标准排放至肖江。</w:t>
            </w:r>
          </w:p>
          <w:p w14:paraId="512C11B1">
            <w:pPr>
              <w:pStyle w:val="74"/>
              <w:keepNext w:val="0"/>
              <w:keepLines w:val="0"/>
              <w:numPr>
                <w:ilvl w:val="0"/>
                <w:numId w:val="0"/>
              </w:numPr>
              <w:suppressLineNumbers w:val="0"/>
              <w:bidi w:val="0"/>
              <w:spacing w:before="0" w:beforeAutospacing="0" w:after="0" w:afterAutospacing="0"/>
              <w:ind w:left="0" w:leftChars="0" w:right="0" w:rightChars="0" w:firstLine="482" w:firstLineChars="200"/>
              <w:rPr>
                <w:rFonts w:hint="eastAsia" w:cs="Times New Roman"/>
                <w:b/>
                <w:bCs/>
                <w:color w:val="auto"/>
                <w:lang w:val="en-US" w:eastAsia="zh-CN"/>
              </w:rPr>
            </w:pPr>
            <w:r>
              <w:rPr>
                <w:rFonts w:hint="eastAsia" w:cs="Times New Roman"/>
                <w:b/>
                <w:bCs/>
                <w:color w:val="auto"/>
                <w:lang w:val="en-US" w:eastAsia="zh-CN"/>
              </w:rPr>
              <w:t>5）设备清洗与地面清洗用水</w:t>
            </w:r>
          </w:p>
          <w:p w14:paraId="06B4BC8E">
            <w:pPr>
              <w:pStyle w:val="74"/>
              <w:keepNext w:val="0"/>
              <w:keepLines w:val="0"/>
              <w:numPr>
                <w:ilvl w:val="0"/>
                <w:numId w:val="0"/>
              </w:numPr>
              <w:suppressLineNumbers w:val="0"/>
              <w:bidi w:val="0"/>
              <w:spacing w:before="0" w:beforeAutospacing="0" w:after="0" w:afterAutospacing="0"/>
              <w:ind w:left="0" w:leftChars="0" w:right="0" w:rightChars="0" w:firstLine="480" w:firstLineChars="200"/>
              <w:rPr>
                <w:rFonts w:hint="eastAsia" w:cs="Times New Roman"/>
                <w:color w:val="auto"/>
                <w:lang w:val="en-US" w:eastAsia="zh-CN"/>
              </w:rPr>
            </w:pPr>
            <w:r>
              <w:rPr>
                <w:rFonts w:hint="eastAsia" w:cs="Times New Roman"/>
                <w:color w:val="auto"/>
                <w:lang w:val="en-US" w:eastAsia="zh-CN"/>
              </w:rPr>
              <w:t>项目拟对厂区进出道路与设备进行冲洗，频率为3天一次，每次约为4t，用水量约400t/a，排水系数按0.8计算，产生量约为1.07t/d。道路冲洗废水收集至沉淀池经絮凝沉淀处理后与洗车废水一起回用。</w:t>
            </w:r>
          </w:p>
          <w:p w14:paraId="09464229">
            <w:pPr>
              <w:pStyle w:val="74"/>
              <w:keepNext w:val="0"/>
              <w:keepLines w:val="0"/>
              <w:numPr>
                <w:ilvl w:val="0"/>
                <w:numId w:val="0"/>
              </w:numPr>
              <w:suppressLineNumbers w:val="0"/>
              <w:bidi w:val="0"/>
              <w:spacing w:before="0" w:beforeAutospacing="0" w:after="0" w:afterAutospacing="0"/>
              <w:ind w:left="0" w:leftChars="0" w:right="0" w:rightChars="0" w:firstLine="480" w:firstLineChars="200"/>
              <w:rPr>
                <w:rFonts w:hint="default" w:cs="Times New Roman"/>
                <w:color w:val="auto"/>
                <w:lang w:val="en-US" w:eastAsia="zh-CN"/>
              </w:rPr>
            </w:pPr>
            <w:r>
              <w:rPr>
                <w:rFonts w:hint="default" w:cs="Times New Roman"/>
                <w:color w:val="auto"/>
                <w:lang w:val="en-US" w:eastAsia="zh-CN"/>
              </w:rPr>
              <w:t>6）渗滤液（原料带入）</w:t>
            </w:r>
          </w:p>
          <w:p w14:paraId="4C0816C4">
            <w:pPr>
              <w:pStyle w:val="74"/>
              <w:keepNext w:val="0"/>
              <w:keepLines w:val="0"/>
              <w:numPr>
                <w:ilvl w:val="0"/>
                <w:numId w:val="0"/>
              </w:numPr>
              <w:suppressLineNumbers w:val="0"/>
              <w:bidi w:val="0"/>
              <w:spacing w:before="0" w:beforeAutospacing="0" w:after="0" w:afterAutospacing="0"/>
              <w:ind w:left="0" w:leftChars="0" w:right="0" w:rightChars="0" w:firstLine="480" w:firstLineChars="200"/>
              <w:rPr>
                <w:rFonts w:hint="default" w:cs="Times New Roman"/>
                <w:color w:val="auto"/>
                <w:lang w:val="en-US" w:eastAsia="zh-CN"/>
              </w:rPr>
            </w:pPr>
            <w:r>
              <w:rPr>
                <w:rFonts w:hint="default" w:cs="Times New Roman"/>
                <w:color w:val="auto"/>
                <w:lang w:val="en-US" w:eastAsia="zh-CN"/>
              </w:rPr>
              <w:t>本项目锂渣在仓库堆放自然晾干时会产生渗滤液，根据业主提供资料，在仓库自然晾干的锂渣含水率由14%降至10%，本项目锂渣的年用量为280000t/a，则渗滤液的产生量为28000t/a（93.33t/d），其中20%损耗，80%由导流槽收集至渗滤液池，随后回用于产品生产，则渗滤液收集量为22400t/a（74.67t/d），本项目设置容积为90m3的渗滤液池一个，位于锂渣仓库西南角，锂渣仓库四周设导流槽，渗滤液通过导流槽进入渗滤液池然后回用于搅拌用水，渗滤液池防渗要求依据《危险废物贮存污染控制标准》GB18597-2023要求，渗透系数≤10-10cm/s；本项目渗滤液收集量为74.67t/d，因此渗滤液池容积可行。</w:t>
            </w:r>
          </w:p>
          <w:p w14:paraId="06890D90">
            <w:pPr>
              <w:pStyle w:val="74"/>
              <w:keepNext w:val="0"/>
              <w:keepLines w:val="0"/>
              <w:numPr>
                <w:ilvl w:val="0"/>
                <w:numId w:val="0"/>
              </w:numPr>
              <w:suppressLineNumbers w:val="0"/>
              <w:bidi w:val="0"/>
              <w:spacing w:before="0" w:beforeAutospacing="0" w:after="0" w:afterAutospacing="0"/>
              <w:ind w:left="0" w:leftChars="0" w:right="0" w:rightChars="0" w:firstLine="480" w:firstLineChars="200"/>
              <w:rPr>
                <w:rFonts w:hint="default" w:cs="Times New Roman"/>
                <w:color w:val="auto"/>
                <w:lang w:val="en-US" w:eastAsia="zh-CN"/>
              </w:rPr>
            </w:pPr>
            <w:r>
              <w:rPr>
                <w:rFonts w:hint="default" w:cs="Times New Roman"/>
                <w:color w:val="auto"/>
                <w:lang w:val="en-US" w:eastAsia="zh-CN"/>
              </w:rPr>
              <w:t>7）养护用水：环保免烧砖养护过程需要养护用水，根据业主提供资料，养护用水量约为240m</w:t>
            </w:r>
            <w:r>
              <w:rPr>
                <w:rFonts w:hint="default" w:cs="Times New Roman"/>
                <w:color w:val="auto"/>
                <w:vertAlign w:val="superscript"/>
                <w:lang w:val="en-US" w:eastAsia="zh-CN"/>
              </w:rPr>
              <w:t>3</w:t>
            </w:r>
            <w:r>
              <w:rPr>
                <w:rFonts w:hint="default" w:cs="Times New Roman"/>
                <w:color w:val="auto"/>
                <w:lang w:val="en-US" w:eastAsia="zh-CN"/>
              </w:rPr>
              <w:t>/a（0.8m</w:t>
            </w:r>
            <w:r>
              <w:rPr>
                <w:rFonts w:hint="default" w:cs="Times New Roman"/>
                <w:color w:val="auto"/>
                <w:vertAlign w:val="superscript"/>
                <w:lang w:val="en-US" w:eastAsia="zh-CN"/>
              </w:rPr>
              <w:t>3</w:t>
            </w:r>
            <w:r>
              <w:rPr>
                <w:rFonts w:hint="default" w:cs="Times New Roman"/>
                <w:color w:val="auto"/>
                <w:lang w:val="en-US" w:eastAsia="zh-CN"/>
              </w:rPr>
              <w:t>/d），养护过程中约80%的水蒸发损耗，约产生20%的养护废水48m</w:t>
            </w:r>
            <w:r>
              <w:rPr>
                <w:rFonts w:hint="default" w:cs="Times New Roman"/>
                <w:color w:val="auto"/>
                <w:vertAlign w:val="superscript"/>
                <w:lang w:val="en-US" w:eastAsia="zh-CN"/>
              </w:rPr>
              <w:t>3</w:t>
            </w:r>
            <w:r>
              <w:rPr>
                <w:rFonts w:hint="default" w:cs="Times New Roman"/>
                <w:color w:val="auto"/>
                <w:lang w:val="en-US" w:eastAsia="zh-CN"/>
              </w:rPr>
              <w:t>/a（0.16m</w:t>
            </w:r>
            <w:r>
              <w:rPr>
                <w:rFonts w:hint="default" w:cs="Times New Roman"/>
                <w:color w:val="auto"/>
                <w:vertAlign w:val="superscript"/>
                <w:lang w:val="en-US" w:eastAsia="zh-CN"/>
              </w:rPr>
              <w:t>3</w:t>
            </w:r>
            <w:r>
              <w:rPr>
                <w:rFonts w:hint="default" w:cs="Times New Roman"/>
                <w:color w:val="auto"/>
                <w:lang w:val="en-US" w:eastAsia="zh-CN"/>
              </w:rPr>
              <w:t>/d），养护区四周设有导流槽，养护废水通过导流槽进入沉淀池沉淀，沉淀后达《城市污水再生利用工业用水水质》（GB/T19923-2024）中洗涤水标准、《无机化学工业污染物排放标准》（GB31573-2015）和《工业废水铊污染物排放标准》（DB36/1149-2019）标准中较严值后，回用于抑尘用水不外排。</w:t>
            </w:r>
          </w:p>
          <w:p w14:paraId="560C4578">
            <w:pPr>
              <w:pStyle w:val="74"/>
              <w:keepNext w:val="0"/>
              <w:keepLines w:val="0"/>
              <w:numPr>
                <w:ilvl w:val="0"/>
                <w:numId w:val="0"/>
              </w:numPr>
              <w:suppressLineNumbers w:val="0"/>
              <w:bidi w:val="0"/>
              <w:spacing w:before="0" w:beforeAutospacing="0" w:after="0" w:afterAutospacing="0"/>
              <w:ind w:left="0" w:leftChars="0" w:right="0" w:rightChars="0" w:firstLine="480" w:firstLineChars="200"/>
              <w:rPr>
                <w:rFonts w:hint="default" w:cs="Times New Roman"/>
                <w:color w:val="auto"/>
                <w:lang w:val="en-US" w:eastAsia="zh-CN"/>
              </w:rPr>
            </w:pPr>
          </w:p>
        </w:tc>
      </w:tr>
    </w:tbl>
    <w:p w14:paraId="050CF760">
      <w:pPr>
        <w:pStyle w:val="24"/>
        <w:adjustRightInd w:val="0"/>
        <w:snapToGrid w:val="0"/>
        <w:spacing w:before="0" w:beforeAutospacing="0" w:after="0" w:afterAutospacing="0"/>
        <w:jc w:val="center"/>
        <w:outlineLvl w:val="0"/>
        <w:rPr>
          <w:rFonts w:cs="宋体"/>
          <w:color w:val="auto"/>
          <w:kern w:val="2"/>
          <w:szCs w:val="24"/>
        </w:rPr>
        <w:sectPr>
          <w:pgSz w:w="11907" w:h="16840"/>
          <w:pgMar w:top="1440" w:right="1800" w:bottom="1440" w:left="1800" w:header="851" w:footer="851" w:gutter="0"/>
          <w:pgBorders w:offsetFrom="page">
            <w:top w:val="none" w:sz="0" w:space="0"/>
            <w:left w:val="none" w:sz="0" w:space="0"/>
            <w:bottom w:val="none" w:sz="0" w:space="0"/>
            <w:right w:val="none" w:sz="0" w:space="0"/>
          </w:pgBorders>
          <w:cols w:space="720" w:num="1"/>
          <w:docGrid w:linePitch="312" w:charSpace="0"/>
        </w:sectPr>
      </w:pPr>
    </w:p>
    <w:tbl>
      <w:tblPr>
        <w:tblStyle w:val="2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
        <w:gridCol w:w="13760"/>
      </w:tblGrid>
      <w:tr w14:paraId="6399C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0" w:hRule="atLeast"/>
        </w:trPr>
        <w:tc>
          <w:tcPr>
            <w:tcW w:w="143" w:type="pct"/>
            <w:noWrap w:val="0"/>
            <w:vAlign w:val="center"/>
          </w:tcPr>
          <w:p w14:paraId="0D68AD2F">
            <w:pPr>
              <w:pStyle w:val="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outlineLvl w:val="9"/>
              <w:rPr>
                <w:rFonts w:hint="default" w:cs="宋体"/>
                <w:color w:val="auto"/>
                <w:kern w:val="2"/>
                <w:szCs w:val="24"/>
                <w:vertAlign w:val="baseline"/>
              </w:rPr>
            </w:pPr>
            <w:r>
              <w:rPr>
                <w:rFonts w:hint="eastAsia" w:cs="宋体"/>
                <w:color w:val="auto"/>
                <w:kern w:val="2"/>
                <w:szCs w:val="24"/>
              </w:rPr>
              <w:t>运营期环境影响</w:t>
            </w:r>
            <w:r>
              <w:rPr>
                <w:rFonts w:hint="default" w:cs="宋体"/>
                <w:color w:val="auto"/>
                <w:kern w:val="2"/>
                <w:szCs w:val="24"/>
              </w:rPr>
              <w:t>和</w:t>
            </w:r>
            <w:r>
              <w:rPr>
                <w:rFonts w:hint="eastAsia" w:cs="宋体"/>
                <w:color w:val="auto"/>
                <w:kern w:val="2"/>
                <w:szCs w:val="24"/>
              </w:rPr>
              <w:t>保护措施</w:t>
            </w:r>
          </w:p>
        </w:tc>
        <w:tc>
          <w:tcPr>
            <w:tcW w:w="4856" w:type="pct"/>
            <w:noWrap w:val="0"/>
            <w:vAlign w:val="top"/>
          </w:tcPr>
          <w:p w14:paraId="715532AC">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default" w:ascii="Times New Roman" w:hAnsi="Times New Roman" w:eastAsia="宋体" w:cs="Times New Roman"/>
                <w:b/>
                <w:bCs/>
                <w:color w:val="auto"/>
                <w:kern w:val="0"/>
                <w:sz w:val="21"/>
                <w:szCs w:val="21"/>
                <w:lang w:val="zh-CN" w:eastAsia="zh-CN" w:bidi="ar"/>
              </w:rPr>
            </w:pPr>
            <w:r>
              <w:rPr>
                <w:rFonts w:hint="eastAsia" w:ascii="Times New Roman" w:hAnsi="Times New Roman" w:eastAsia="宋体" w:cs="Times New Roman"/>
                <w:b/>
                <w:bCs/>
                <w:color w:val="auto"/>
                <w:kern w:val="0"/>
                <w:sz w:val="21"/>
                <w:szCs w:val="21"/>
                <w:lang w:val="zh-CN" w:eastAsia="zh-CN" w:bidi="ar"/>
              </w:rPr>
              <w:t>本项目生活污水主要污染物核算结果及相关参数一览表</w:t>
            </w:r>
          </w:p>
          <w:tbl>
            <w:tblPr>
              <w:tblStyle w:val="28"/>
              <w:tblW w:w="4991"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435"/>
              <w:gridCol w:w="1045"/>
              <w:gridCol w:w="881"/>
              <w:gridCol w:w="1117"/>
              <w:gridCol w:w="1869"/>
              <w:gridCol w:w="1242"/>
              <w:gridCol w:w="1347"/>
              <w:gridCol w:w="1528"/>
              <w:gridCol w:w="1117"/>
              <w:gridCol w:w="1377"/>
              <w:gridCol w:w="1558"/>
            </w:tblGrid>
            <w:tr w14:paraId="0CA2785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160" w:type="pct"/>
                  <w:vMerge w:val="restart"/>
                  <w:tcBorders>
                    <w:tl2br w:val="nil"/>
                    <w:tr2bl w:val="nil"/>
                  </w:tcBorders>
                  <w:noWrap w:val="0"/>
                  <w:vAlign w:val="center"/>
                </w:tcPr>
                <w:p w14:paraId="70E93AB7">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工序</w:t>
                  </w:r>
                </w:p>
              </w:tc>
              <w:tc>
                <w:tcPr>
                  <w:tcW w:w="386" w:type="pct"/>
                  <w:vMerge w:val="restart"/>
                  <w:tcBorders>
                    <w:tl2br w:val="nil"/>
                    <w:tr2bl w:val="nil"/>
                  </w:tcBorders>
                  <w:noWrap w:val="0"/>
                  <w:vAlign w:val="center"/>
                </w:tcPr>
                <w:p w14:paraId="4CED972E">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污染物</w:t>
                  </w:r>
                </w:p>
              </w:tc>
              <w:tc>
                <w:tcPr>
                  <w:tcW w:w="1430" w:type="pct"/>
                  <w:gridSpan w:val="3"/>
                  <w:tcBorders>
                    <w:tl2br w:val="nil"/>
                    <w:tr2bl w:val="nil"/>
                  </w:tcBorders>
                  <w:noWrap w:val="0"/>
                  <w:vAlign w:val="center"/>
                </w:tcPr>
                <w:p w14:paraId="0B6363CC">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污染物产生情况</w:t>
                  </w:r>
                </w:p>
              </w:tc>
              <w:tc>
                <w:tcPr>
                  <w:tcW w:w="1523" w:type="pct"/>
                  <w:gridSpan w:val="3"/>
                  <w:tcBorders>
                    <w:tl2br w:val="nil"/>
                    <w:tr2bl w:val="nil"/>
                  </w:tcBorders>
                  <w:noWrap w:val="0"/>
                  <w:vAlign w:val="center"/>
                </w:tcPr>
                <w:p w14:paraId="47603847">
                  <w:pPr>
                    <w:pStyle w:val="56"/>
                    <w:keepNext w:val="0"/>
                    <w:keepLines w:val="0"/>
                    <w:suppressLineNumbers w:val="0"/>
                    <w:bidi w:val="0"/>
                    <w:spacing w:before="0" w:beforeAutospacing="0" w:after="0" w:afterAutospacing="0"/>
                    <w:ind w:left="0" w:right="0"/>
                    <w:rPr>
                      <w:rFonts w:hint="eastAsia" w:eastAsia="宋体" w:cs="Times New Roman"/>
                      <w:color w:val="auto"/>
                      <w:lang w:val="en-US" w:eastAsia="zh-CN"/>
                    </w:rPr>
                  </w:pPr>
                  <w:r>
                    <w:rPr>
                      <w:rFonts w:hint="default" w:cs="Times New Roman"/>
                      <w:color w:val="auto"/>
                    </w:rPr>
                    <w:t>治理</w:t>
                  </w:r>
                  <w:r>
                    <w:rPr>
                      <w:rFonts w:hint="eastAsia" w:cs="Times New Roman"/>
                      <w:color w:val="auto"/>
                      <w:lang w:val="en-US" w:eastAsia="zh-CN"/>
                    </w:rPr>
                    <w:t>设备</w:t>
                  </w:r>
                </w:p>
              </w:tc>
              <w:tc>
                <w:tcPr>
                  <w:tcW w:w="1498" w:type="pct"/>
                  <w:gridSpan w:val="3"/>
                  <w:tcBorders>
                    <w:tl2br w:val="nil"/>
                    <w:tr2bl w:val="nil"/>
                  </w:tcBorders>
                  <w:noWrap w:val="0"/>
                  <w:vAlign w:val="center"/>
                </w:tcPr>
                <w:p w14:paraId="24FEF78E">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污染</w:t>
                  </w:r>
                  <w:r>
                    <w:rPr>
                      <w:rFonts w:hint="eastAsia" w:cs="Times New Roman"/>
                      <w:color w:val="auto"/>
                      <w:lang w:eastAsia="zh-CN"/>
                    </w:rPr>
                    <w:t>物排放</w:t>
                  </w:r>
                  <w:r>
                    <w:rPr>
                      <w:rFonts w:hint="default" w:cs="Times New Roman"/>
                      <w:color w:val="auto"/>
                    </w:rPr>
                    <w:t>情况</w:t>
                  </w:r>
                </w:p>
              </w:tc>
            </w:tr>
            <w:tr w14:paraId="61EEAB8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160" w:type="pct"/>
                  <w:vMerge w:val="continue"/>
                  <w:tcBorders>
                    <w:tl2br w:val="nil"/>
                    <w:tr2bl w:val="nil"/>
                  </w:tcBorders>
                  <w:noWrap w:val="0"/>
                  <w:vAlign w:val="center"/>
                </w:tcPr>
                <w:p w14:paraId="1C5E9822">
                  <w:pPr>
                    <w:pStyle w:val="56"/>
                    <w:keepNext w:val="0"/>
                    <w:keepLines w:val="0"/>
                    <w:suppressLineNumbers w:val="0"/>
                    <w:bidi w:val="0"/>
                    <w:spacing w:before="0" w:beforeAutospacing="0" w:after="0" w:afterAutospacing="0"/>
                    <w:ind w:left="0" w:right="0"/>
                    <w:rPr>
                      <w:rFonts w:hint="default" w:cs="Times New Roman"/>
                      <w:color w:val="auto"/>
                    </w:rPr>
                  </w:pPr>
                </w:p>
              </w:tc>
              <w:tc>
                <w:tcPr>
                  <w:tcW w:w="386" w:type="pct"/>
                  <w:vMerge w:val="continue"/>
                  <w:tcBorders>
                    <w:tl2br w:val="nil"/>
                    <w:tr2bl w:val="nil"/>
                  </w:tcBorders>
                  <w:noWrap w:val="0"/>
                  <w:vAlign w:val="center"/>
                </w:tcPr>
                <w:p w14:paraId="4111545B">
                  <w:pPr>
                    <w:pStyle w:val="56"/>
                    <w:keepNext w:val="0"/>
                    <w:keepLines w:val="0"/>
                    <w:suppressLineNumbers w:val="0"/>
                    <w:bidi w:val="0"/>
                    <w:spacing w:before="0" w:beforeAutospacing="0" w:after="0" w:afterAutospacing="0"/>
                    <w:ind w:left="0" w:right="0"/>
                    <w:rPr>
                      <w:rFonts w:hint="default" w:cs="Times New Roman"/>
                      <w:color w:val="auto"/>
                    </w:rPr>
                  </w:pPr>
                </w:p>
              </w:tc>
              <w:tc>
                <w:tcPr>
                  <w:tcW w:w="325" w:type="pct"/>
                  <w:tcBorders>
                    <w:tl2br w:val="nil"/>
                    <w:tr2bl w:val="nil"/>
                  </w:tcBorders>
                  <w:noWrap w:val="0"/>
                  <w:vAlign w:val="center"/>
                </w:tcPr>
                <w:p w14:paraId="5B417CE0">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产生废水量（</w:t>
                  </w:r>
                  <w:r>
                    <w:rPr>
                      <w:rFonts w:hint="eastAsia" w:cs="Times New Roman"/>
                      <w:color w:val="auto"/>
                      <w:lang w:eastAsia="zh-CN"/>
                    </w:rPr>
                    <w:t>m³</w:t>
                  </w:r>
                  <w:r>
                    <w:rPr>
                      <w:rFonts w:hint="default" w:cs="Times New Roman"/>
                      <w:color w:val="auto"/>
                    </w:rPr>
                    <w:t>/</w:t>
                  </w:r>
                  <w:r>
                    <w:rPr>
                      <w:rFonts w:hint="eastAsia" w:cs="Times New Roman"/>
                      <w:color w:val="auto"/>
                      <w:lang w:val="en-US" w:eastAsia="zh-CN"/>
                    </w:rPr>
                    <w:t>a</w:t>
                  </w:r>
                  <w:r>
                    <w:rPr>
                      <w:rFonts w:hint="default" w:cs="Times New Roman"/>
                      <w:color w:val="auto"/>
                    </w:rPr>
                    <w:t>）</w:t>
                  </w:r>
                </w:p>
              </w:tc>
              <w:tc>
                <w:tcPr>
                  <w:tcW w:w="413" w:type="pct"/>
                  <w:tcBorders>
                    <w:tl2br w:val="nil"/>
                    <w:tr2bl w:val="nil"/>
                  </w:tcBorders>
                  <w:noWrap w:val="0"/>
                  <w:vAlign w:val="center"/>
                </w:tcPr>
                <w:p w14:paraId="281CC05A">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产生浓度（mg/L）</w:t>
                  </w:r>
                </w:p>
              </w:tc>
              <w:tc>
                <w:tcPr>
                  <w:tcW w:w="691" w:type="pct"/>
                  <w:tcBorders>
                    <w:tl2br w:val="nil"/>
                    <w:tr2bl w:val="nil"/>
                  </w:tcBorders>
                  <w:noWrap w:val="0"/>
                  <w:vAlign w:val="center"/>
                </w:tcPr>
                <w:p w14:paraId="5F044BE2">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产生量（</w:t>
                  </w:r>
                  <w:r>
                    <w:rPr>
                      <w:rFonts w:hint="eastAsia" w:cs="Times New Roman"/>
                      <w:color w:val="auto"/>
                      <w:lang w:val="en-US" w:eastAsia="zh-CN"/>
                    </w:rPr>
                    <w:t>t</w:t>
                  </w:r>
                  <w:r>
                    <w:rPr>
                      <w:rFonts w:hint="default" w:cs="Times New Roman"/>
                      <w:color w:val="auto"/>
                    </w:rPr>
                    <w:t>/</w:t>
                  </w:r>
                  <w:r>
                    <w:rPr>
                      <w:rFonts w:hint="eastAsia" w:cs="Times New Roman"/>
                      <w:color w:val="auto"/>
                      <w:lang w:val="en-US" w:eastAsia="zh-CN"/>
                    </w:rPr>
                    <w:t>a</w:t>
                  </w:r>
                  <w:r>
                    <w:rPr>
                      <w:rFonts w:hint="default" w:cs="Times New Roman"/>
                      <w:color w:val="auto"/>
                    </w:rPr>
                    <w:t>）</w:t>
                  </w:r>
                </w:p>
              </w:tc>
              <w:tc>
                <w:tcPr>
                  <w:tcW w:w="459" w:type="pct"/>
                  <w:tcBorders>
                    <w:tl2br w:val="nil"/>
                    <w:tr2bl w:val="nil"/>
                  </w:tcBorders>
                  <w:noWrap w:val="0"/>
                  <w:vAlign w:val="center"/>
                </w:tcPr>
                <w:p w14:paraId="7CCA9F32">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治理措施</w:t>
                  </w:r>
                </w:p>
              </w:tc>
              <w:tc>
                <w:tcPr>
                  <w:tcW w:w="498" w:type="pct"/>
                  <w:tcBorders>
                    <w:tl2br w:val="nil"/>
                    <w:tr2bl w:val="nil"/>
                  </w:tcBorders>
                  <w:noWrap w:val="0"/>
                  <w:vAlign w:val="center"/>
                </w:tcPr>
                <w:p w14:paraId="009E78D0">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处理能力</w:t>
                  </w:r>
                </w:p>
              </w:tc>
              <w:tc>
                <w:tcPr>
                  <w:tcW w:w="565" w:type="pct"/>
                  <w:tcBorders>
                    <w:tl2br w:val="nil"/>
                    <w:tr2bl w:val="nil"/>
                  </w:tcBorders>
                  <w:noWrap w:val="0"/>
                  <w:vAlign w:val="center"/>
                </w:tcPr>
                <w:p w14:paraId="46DE5840">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处理效率（%）</w:t>
                  </w:r>
                </w:p>
              </w:tc>
              <w:tc>
                <w:tcPr>
                  <w:tcW w:w="413" w:type="pct"/>
                  <w:tcBorders>
                    <w:tl2br w:val="nil"/>
                    <w:tr2bl w:val="nil"/>
                  </w:tcBorders>
                  <w:noWrap w:val="0"/>
                  <w:vAlign w:val="center"/>
                </w:tcPr>
                <w:p w14:paraId="14B51434">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排放浓度（mg/L）</w:t>
                  </w:r>
                </w:p>
              </w:tc>
              <w:tc>
                <w:tcPr>
                  <w:tcW w:w="509" w:type="pct"/>
                  <w:tcBorders>
                    <w:tl2br w:val="nil"/>
                    <w:tr2bl w:val="nil"/>
                  </w:tcBorders>
                  <w:noWrap w:val="0"/>
                  <w:vAlign w:val="center"/>
                </w:tcPr>
                <w:p w14:paraId="50B3A1A9">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排放量</w:t>
                  </w:r>
                </w:p>
                <w:p w14:paraId="717FE4BA">
                  <w:pPr>
                    <w:keepNext w:val="0"/>
                    <w:keepLines w:val="0"/>
                    <w:suppressLineNumbers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(t/a)</w:t>
                  </w:r>
                </w:p>
              </w:tc>
              <w:tc>
                <w:tcPr>
                  <w:tcW w:w="576" w:type="pct"/>
                  <w:tcBorders>
                    <w:tl2br w:val="nil"/>
                    <w:tr2bl w:val="nil"/>
                  </w:tcBorders>
                  <w:noWrap w:val="0"/>
                  <w:vAlign w:val="center"/>
                </w:tcPr>
                <w:p w14:paraId="4D1D8187">
                  <w:pPr>
                    <w:pStyle w:val="56"/>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lang w:val="en-US" w:eastAsia="zh-CN"/>
                    </w:rPr>
                    <w:t>标准</w:t>
                  </w:r>
                  <w:r>
                    <w:rPr>
                      <w:rFonts w:hint="default" w:cs="Times New Roman"/>
                      <w:color w:val="auto"/>
                    </w:rPr>
                    <w:t>（mg/L）</w:t>
                  </w:r>
                </w:p>
              </w:tc>
            </w:tr>
            <w:tr w14:paraId="52B2C70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72" w:hRule="atLeast"/>
                <w:jc w:val="center"/>
              </w:trPr>
              <w:tc>
                <w:tcPr>
                  <w:tcW w:w="160" w:type="pct"/>
                  <w:vMerge w:val="restart"/>
                  <w:tcBorders>
                    <w:tl2br w:val="nil"/>
                    <w:tr2bl w:val="nil"/>
                  </w:tcBorders>
                  <w:noWrap w:val="0"/>
                  <w:vAlign w:val="center"/>
                </w:tcPr>
                <w:p w14:paraId="7945249F">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生活污水</w:t>
                  </w:r>
                </w:p>
              </w:tc>
              <w:tc>
                <w:tcPr>
                  <w:tcW w:w="386" w:type="pct"/>
                  <w:tcBorders>
                    <w:tl2br w:val="nil"/>
                    <w:tr2bl w:val="nil"/>
                  </w:tcBorders>
                  <w:noWrap w:val="0"/>
                  <w:vAlign w:val="center"/>
                </w:tcPr>
                <w:p w14:paraId="56111D55">
                  <w:pPr>
                    <w:pStyle w:val="56"/>
                    <w:keepNext w:val="0"/>
                    <w:keepLines w:val="0"/>
                    <w:suppressLineNumbers w:val="0"/>
                    <w:bidi w:val="0"/>
                    <w:spacing w:before="0" w:beforeAutospacing="0" w:after="0" w:afterAutospacing="0"/>
                    <w:ind w:left="0" w:right="0"/>
                    <w:rPr>
                      <w:rFonts w:hint="eastAsia" w:eastAsia="宋体" w:cs="Times New Roman"/>
                      <w:color w:val="auto"/>
                      <w:lang w:val="en-US" w:eastAsia="zh-CN"/>
                    </w:rPr>
                  </w:pPr>
                  <w:r>
                    <w:rPr>
                      <w:rFonts w:hint="eastAsia" w:cs="Times New Roman"/>
                      <w:color w:val="auto"/>
                      <w:lang w:val="en-US" w:eastAsia="zh-CN"/>
                    </w:rPr>
                    <w:t>pH</w:t>
                  </w:r>
                </w:p>
              </w:tc>
              <w:tc>
                <w:tcPr>
                  <w:tcW w:w="325" w:type="pct"/>
                  <w:vMerge w:val="restart"/>
                  <w:tcBorders>
                    <w:tl2br w:val="nil"/>
                    <w:tr2bl w:val="nil"/>
                  </w:tcBorders>
                  <w:noWrap w:val="0"/>
                  <w:vAlign w:val="center"/>
                </w:tcPr>
                <w:p w14:paraId="1151EF0C">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720</w:t>
                  </w:r>
                </w:p>
              </w:tc>
              <w:tc>
                <w:tcPr>
                  <w:tcW w:w="413" w:type="pct"/>
                  <w:tcBorders>
                    <w:tl2br w:val="nil"/>
                    <w:tr2bl w:val="nil"/>
                  </w:tcBorders>
                  <w:noWrap w:val="0"/>
                  <w:vAlign w:val="center"/>
                </w:tcPr>
                <w:p w14:paraId="187EB930">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6~9</w:t>
                  </w:r>
                </w:p>
              </w:tc>
              <w:tc>
                <w:tcPr>
                  <w:tcW w:w="691" w:type="pct"/>
                  <w:tcBorders>
                    <w:tl2br w:val="nil"/>
                    <w:tr2bl w:val="nil"/>
                  </w:tcBorders>
                  <w:noWrap w:val="0"/>
                  <w:vAlign w:val="center"/>
                </w:tcPr>
                <w:p w14:paraId="782F5727">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w:t>
                  </w:r>
                </w:p>
              </w:tc>
              <w:tc>
                <w:tcPr>
                  <w:tcW w:w="459" w:type="pct"/>
                  <w:vMerge w:val="restart"/>
                  <w:tcBorders>
                    <w:tl2br w:val="nil"/>
                    <w:tr2bl w:val="nil"/>
                  </w:tcBorders>
                  <w:noWrap w:val="0"/>
                  <w:vAlign w:val="center"/>
                </w:tcPr>
                <w:p w14:paraId="2A44436F">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化粪池</w:t>
                  </w:r>
                </w:p>
              </w:tc>
              <w:tc>
                <w:tcPr>
                  <w:tcW w:w="498" w:type="pct"/>
                  <w:vMerge w:val="restart"/>
                  <w:tcBorders>
                    <w:tl2br w:val="nil"/>
                    <w:tr2bl w:val="nil"/>
                  </w:tcBorders>
                  <w:noWrap w:val="0"/>
                  <w:vAlign w:val="center"/>
                </w:tcPr>
                <w:p w14:paraId="0DBD291C">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s="Times New Roman"/>
                      <w:color w:val="auto"/>
                      <w:lang w:val="en-US" w:eastAsia="zh-CN"/>
                    </w:rPr>
                    <w:t>10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s="Times New Roman"/>
                      <w:color w:val="auto"/>
                      <w:lang w:val="en-US" w:eastAsia="zh-CN"/>
                    </w:rPr>
                    <w:t>/d</w:t>
                  </w:r>
                </w:p>
              </w:tc>
              <w:tc>
                <w:tcPr>
                  <w:tcW w:w="565" w:type="pct"/>
                  <w:tcBorders>
                    <w:tl2br w:val="nil"/>
                    <w:tr2bl w:val="nil"/>
                  </w:tcBorders>
                  <w:noWrap w:val="0"/>
                  <w:vAlign w:val="center"/>
                </w:tcPr>
                <w:p w14:paraId="5EE76E5D">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w:t>
                  </w:r>
                </w:p>
              </w:tc>
              <w:tc>
                <w:tcPr>
                  <w:tcW w:w="413" w:type="pct"/>
                  <w:tcBorders>
                    <w:tl2br w:val="nil"/>
                    <w:tr2bl w:val="nil"/>
                  </w:tcBorders>
                  <w:noWrap w:val="0"/>
                  <w:vAlign w:val="center"/>
                </w:tcPr>
                <w:p w14:paraId="221A3C3D">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6~9</w:t>
                  </w:r>
                </w:p>
              </w:tc>
              <w:tc>
                <w:tcPr>
                  <w:tcW w:w="509" w:type="pct"/>
                  <w:tcBorders>
                    <w:tl2br w:val="nil"/>
                    <w:tr2bl w:val="nil"/>
                  </w:tcBorders>
                  <w:noWrap w:val="0"/>
                  <w:vAlign w:val="center"/>
                </w:tcPr>
                <w:p w14:paraId="359BC803">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w:t>
                  </w:r>
                </w:p>
              </w:tc>
              <w:tc>
                <w:tcPr>
                  <w:tcW w:w="576" w:type="pct"/>
                  <w:tcBorders>
                    <w:tl2br w:val="nil"/>
                    <w:tr2bl w:val="nil"/>
                  </w:tcBorders>
                  <w:noWrap w:val="0"/>
                  <w:vAlign w:val="center"/>
                </w:tcPr>
                <w:p w14:paraId="57D1D6B0">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6~9</w:t>
                  </w:r>
                </w:p>
              </w:tc>
            </w:tr>
            <w:tr w14:paraId="41F8329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160" w:type="pct"/>
                  <w:vMerge w:val="continue"/>
                  <w:tcBorders>
                    <w:tl2br w:val="nil"/>
                    <w:tr2bl w:val="nil"/>
                  </w:tcBorders>
                  <w:noWrap w:val="0"/>
                  <w:vAlign w:val="center"/>
                </w:tcPr>
                <w:p w14:paraId="3E06BE4D">
                  <w:pPr>
                    <w:pStyle w:val="56"/>
                    <w:keepNext w:val="0"/>
                    <w:keepLines w:val="0"/>
                    <w:suppressLineNumbers w:val="0"/>
                    <w:bidi w:val="0"/>
                    <w:spacing w:before="0" w:beforeAutospacing="0" w:after="0" w:afterAutospacing="0"/>
                    <w:ind w:left="0" w:right="0"/>
                    <w:rPr>
                      <w:rFonts w:hint="default" w:cs="Times New Roman"/>
                      <w:color w:val="auto"/>
                    </w:rPr>
                  </w:pPr>
                </w:p>
              </w:tc>
              <w:tc>
                <w:tcPr>
                  <w:tcW w:w="386" w:type="pct"/>
                  <w:tcBorders>
                    <w:tl2br w:val="nil"/>
                    <w:tr2bl w:val="nil"/>
                  </w:tcBorders>
                  <w:noWrap w:val="0"/>
                  <w:vAlign w:val="center"/>
                </w:tcPr>
                <w:p w14:paraId="033B5968">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CODcr</w:t>
                  </w:r>
                </w:p>
              </w:tc>
              <w:tc>
                <w:tcPr>
                  <w:tcW w:w="325" w:type="pct"/>
                  <w:vMerge w:val="continue"/>
                  <w:tcBorders>
                    <w:tl2br w:val="nil"/>
                    <w:tr2bl w:val="nil"/>
                  </w:tcBorders>
                  <w:noWrap w:val="0"/>
                  <w:vAlign w:val="center"/>
                </w:tcPr>
                <w:p w14:paraId="458C3032">
                  <w:pPr>
                    <w:pStyle w:val="56"/>
                    <w:keepNext w:val="0"/>
                    <w:keepLines w:val="0"/>
                    <w:suppressLineNumbers w:val="0"/>
                    <w:bidi w:val="0"/>
                    <w:spacing w:before="0" w:beforeAutospacing="0" w:after="0" w:afterAutospacing="0"/>
                    <w:ind w:left="0" w:right="0"/>
                    <w:rPr>
                      <w:rFonts w:hint="default" w:cs="Times New Roman"/>
                      <w:color w:val="auto"/>
                    </w:rPr>
                  </w:pPr>
                </w:p>
              </w:tc>
              <w:tc>
                <w:tcPr>
                  <w:tcW w:w="413" w:type="pct"/>
                  <w:tcBorders>
                    <w:tl2br w:val="nil"/>
                    <w:tr2bl w:val="nil"/>
                  </w:tcBorders>
                  <w:noWrap w:val="0"/>
                  <w:vAlign w:val="center"/>
                </w:tcPr>
                <w:p w14:paraId="17DB1FC9">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250</w:t>
                  </w:r>
                </w:p>
              </w:tc>
              <w:tc>
                <w:tcPr>
                  <w:tcW w:w="691" w:type="pct"/>
                  <w:tcBorders>
                    <w:tl2br w:val="nil"/>
                    <w:tr2bl w:val="nil"/>
                  </w:tcBorders>
                  <w:noWrap w:val="0"/>
                  <w:vAlign w:val="center"/>
                </w:tcPr>
                <w:p w14:paraId="633156FC">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cs="Times New Roman"/>
                      <w:color w:val="auto"/>
                      <w:lang w:val="en-US" w:eastAsia="zh-CN"/>
                    </w:rPr>
                    <w:t>0.18</w:t>
                  </w:r>
                </w:p>
              </w:tc>
              <w:tc>
                <w:tcPr>
                  <w:tcW w:w="459" w:type="pct"/>
                  <w:vMerge w:val="continue"/>
                  <w:tcBorders>
                    <w:tl2br w:val="nil"/>
                    <w:tr2bl w:val="nil"/>
                  </w:tcBorders>
                  <w:noWrap w:val="0"/>
                  <w:vAlign w:val="center"/>
                </w:tcPr>
                <w:p w14:paraId="4AC1277C">
                  <w:pPr>
                    <w:pStyle w:val="56"/>
                    <w:keepNext w:val="0"/>
                    <w:keepLines w:val="0"/>
                    <w:suppressLineNumbers w:val="0"/>
                    <w:bidi w:val="0"/>
                    <w:spacing w:before="0" w:beforeAutospacing="0" w:after="0" w:afterAutospacing="0"/>
                    <w:ind w:left="0" w:right="0"/>
                    <w:rPr>
                      <w:rFonts w:hint="default" w:cs="Times New Roman"/>
                      <w:color w:val="auto"/>
                    </w:rPr>
                  </w:pPr>
                </w:p>
              </w:tc>
              <w:tc>
                <w:tcPr>
                  <w:tcW w:w="498" w:type="pct"/>
                  <w:vMerge w:val="continue"/>
                  <w:tcBorders>
                    <w:tl2br w:val="nil"/>
                    <w:tr2bl w:val="nil"/>
                  </w:tcBorders>
                  <w:noWrap w:val="0"/>
                  <w:vAlign w:val="center"/>
                </w:tcPr>
                <w:p w14:paraId="60FCA7AE">
                  <w:pPr>
                    <w:pStyle w:val="56"/>
                    <w:keepNext w:val="0"/>
                    <w:keepLines w:val="0"/>
                    <w:suppressLineNumbers w:val="0"/>
                    <w:bidi w:val="0"/>
                    <w:spacing w:before="0" w:beforeAutospacing="0" w:after="0" w:afterAutospacing="0"/>
                    <w:ind w:left="0" w:right="0"/>
                    <w:rPr>
                      <w:rFonts w:hint="default" w:cs="Times New Roman"/>
                      <w:color w:val="auto"/>
                    </w:rPr>
                  </w:pPr>
                </w:p>
              </w:tc>
              <w:tc>
                <w:tcPr>
                  <w:tcW w:w="565" w:type="pct"/>
                  <w:tcBorders>
                    <w:tl2br w:val="nil"/>
                    <w:tr2bl w:val="nil"/>
                  </w:tcBorders>
                  <w:noWrap w:val="0"/>
                  <w:vAlign w:val="center"/>
                </w:tcPr>
                <w:p w14:paraId="6C9B20BA">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20</w:t>
                  </w:r>
                </w:p>
              </w:tc>
              <w:tc>
                <w:tcPr>
                  <w:tcW w:w="413" w:type="pct"/>
                  <w:tcBorders>
                    <w:tl2br w:val="nil"/>
                    <w:tr2bl w:val="nil"/>
                  </w:tcBorders>
                  <w:noWrap w:val="0"/>
                  <w:vAlign w:val="center"/>
                </w:tcPr>
                <w:p w14:paraId="6C81BDA7">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cs="Times New Roman"/>
                      <w:color w:val="auto"/>
                      <w:lang w:val="en-US" w:eastAsia="zh-CN"/>
                    </w:rPr>
                    <w:t>200</w:t>
                  </w:r>
                </w:p>
              </w:tc>
              <w:tc>
                <w:tcPr>
                  <w:tcW w:w="509" w:type="pct"/>
                  <w:tcBorders>
                    <w:tl2br w:val="nil"/>
                    <w:tr2bl w:val="nil"/>
                  </w:tcBorders>
                  <w:noWrap w:val="0"/>
                  <w:vAlign w:val="center"/>
                </w:tcPr>
                <w:p w14:paraId="6183DD93">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0.144.</w:t>
                  </w:r>
                </w:p>
              </w:tc>
              <w:tc>
                <w:tcPr>
                  <w:tcW w:w="576" w:type="pct"/>
                  <w:tcBorders>
                    <w:tl2br w:val="nil"/>
                    <w:tr2bl w:val="nil"/>
                  </w:tcBorders>
                  <w:noWrap w:val="0"/>
                  <w:vAlign w:val="center"/>
                </w:tcPr>
                <w:p w14:paraId="4FFB0CFA">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500</w:t>
                  </w:r>
                </w:p>
              </w:tc>
            </w:tr>
            <w:tr w14:paraId="132FB41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160" w:type="pct"/>
                  <w:vMerge w:val="continue"/>
                  <w:tcBorders>
                    <w:tl2br w:val="nil"/>
                    <w:tr2bl w:val="nil"/>
                  </w:tcBorders>
                  <w:noWrap w:val="0"/>
                  <w:vAlign w:val="center"/>
                </w:tcPr>
                <w:p w14:paraId="2B9B26E9">
                  <w:pPr>
                    <w:pStyle w:val="56"/>
                    <w:keepNext w:val="0"/>
                    <w:keepLines w:val="0"/>
                    <w:suppressLineNumbers w:val="0"/>
                    <w:bidi w:val="0"/>
                    <w:spacing w:before="0" w:beforeAutospacing="0" w:after="0" w:afterAutospacing="0"/>
                    <w:ind w:left="0" w:right="0"/>
                    <w:rPr>
                      <w:rFonts w:hint="default" w:cs="Times New Roman"/>
                      <w:color w:val="auto"/>
                    </w:rPr>
                  </w:pPr>
                </w:p>
              </w:tc>
              <w:tc>
                <w:tcPr>
                  <w:tcW w:w="386" w:type="pct"/>
                  <w:tcBorders>
                    <w:tl2br w:val="nil"/>
                    <w:tr2bl w:val="nil"/>
                  </w:tcBorders>
                  <w:noWrap w:val="0"/>
                  <w:vAlign w:val="center"/>
                </w:tcPr>
                <w:p w14:paraId="1AB2EB06">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s="Times New Roman"/>
                      <w:color w:val="auto"/>
                      <w:lang w:val="en-US" w:eastAsia="zh-CN"/>
                    </w:rPr>
                    <w:t>BOD</w:t>
                  </w:r>
                  <w:r>
                    <w:rPr>
                      <w:rFonts w:hint="eastAsia" w:cs="Times New Roman"/>
                      <w:color w:val="auto"/>
                      <w:vertAlign w:val="subscript"/>
                      <w:lang w:val="en-US" w:eastAsia="zh-CN"/>
                    </w:rPr>
                    <w:t>5</w:t>
                  </w:r>
                </w:p>
              </w:tc>
              <w:tc>
                <w:tcPr>
                  <w:tcW w:w="325" w:type="pct"/>
                  <w:vMerge w:val="continue"/>
                  <w:tcBorders>
                    <w:tl2br w:val="nil"/>
                    <w:tr2bl w:val="nil"/>
                  </w:tcBorders>
                  <w:noWrap w:val="0"/>
                  <w:vAlign w:val="center"/>
                </w:tcPr>
                <w:p w14:paraId="45710264">
                  <w:pPr>
                    <w:pStyle w:val="56"/>
                    <w:keepNext w:val="0"/>
                    <w:keepLines w:val="0"/>
                    <w:suppressLineNumbers w:val="0"/>
                    <w:bidi w:val="0"/>
                    <w:spacing w:before="0" w:beforeAutospacing="0" w:after="0" w:afterAutospacing="0"/>
                    <w:ind w:left="0" w:right="0"/>
                    <w:rPr>
                      <w:rFonts w:hint="default" w:cs="Times New Roman"/>
                      <w:color w:val="auto"/>
                    </w:rPr>
                  </w:pPr>
                </w:p>
              </w:tc>
              <w:tc>
                <w:tcPr>
                  <w:tcW w:w="413" w:type="pct"/>
                  <w:tcBorders>
                    <w:tl2br w:val="nil"/>
                    <w:tr2bl w:val="nil"/>
                  </w:tcBorders>
                  <w:noWrap w:val="0"/>
                  <w:vAlign w:val="center"/>
                </w:tcPr>
                <w:p w14:paraId="60D602B1">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140</w:t>
                  </w:r>
                </w:p>
              </w:tc>
              <w:tc>
                <w:tcPr>
                  <w:tcW w:w="691" w:type="pct"/>
                  <w:tcBorders>
                    <w:tl2br w:val="nil"/>
                    <w:tr2bl w:val="nil"/>
                  </w:tcBorders>
                  <w:noWrap w:val="0"/>
                  <w:vAlign w:val="center"/>
                </w:tcPr>
                <w:p w14:paraId="44C0363B">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cs="Times New Roman"/>
                      <w:color w:val="auto"/>
                      <w:lang w:val="en-US" w:eastAsia="zh-CN"/>
                    </w:rPr>
                    <w:t>0.1</w:t>
                  </w:r>
                </w:p>
              </w:tc>
              <w:tc>
                <w:tcPr>
                  <w:tcW w:w="459" w:type="pct"/>
                  <w:vMerge w:val="continue"/>
                  <w:tcBorders>
                    <w:tl2br w:val="nil"/>
                    <w:tr2bl w:val="nil"/>
                  </w:tcBorders>
                  <w:noWrap w:val="0"/>
                  <w:vAlign w:val="center"/>
                </w:tcPr>
                <w:p w14:paraId="626D9905">
                  <w:pPr>
                    <w:pStyle w:val="56"/>
                    <w:keepNext w:val="0"/>
                    <w:keepLines w:val="0"/>
                    <w:suppressLineNumbers w:val="0"/>
                    <w:bidi w:val="0"/>
                    <w:spacing w:before="0" w:beforeAutospacing="0" w:after="0" w:afterAutospacing="0"/>
                    <w:ind w:left="0" w:right="0"/>
                    <w:rPr>
                      <w:rFonts w:hint="default" w:cs="Times New Roman"/>
                      <w:color w:val="auto"/>
                    </w:rPr>
                  </w:pPr>
                </w:p>
              </w:tc>
              <w:tc>
                <w:tcPr>
                  <w:tcW w:w="498" w:type="pct"/>
                  <w:vMerge w:val="continue"/>
                  <w:tcBorders>
                    <w:tl2br w:val="nil"/>
                    <w:tr2bl w:val="nil"/>
                  </w:tcBorders>
                  <w:noWrap w:val="0"/>
                  <w:vAlign w:val="center"/>
                </w:tcPr>
                <w:p w14:paraId="08DE781C">
                  <w:pPr>
                    <w:pStyle w:val="56"/>
                    <w:keepNext w:val="0"/>
                    <w:keepLines w:val="0"/>
                    <w:suppressLineNumbers w:val="0"/>
                    <w:bidi w:val="0"/>
                    <w:spacing w:before="0" w:beforeAutospacing="0" w:after="0" w:afterAutospacing="0"/>
                    <w:ind w:left="0" w:right="0"/>
                    <w:rPr>
                      <w:rFonts w:hint="default" w:cs="Times New Roman"/>
                      <w:color w:val="auto"/>
                    </w:rPr>
                  </w:pPr>
                </w:p>
              </w:tc>
              <w:tc>
                <w:tcPr>
                  <w:tcW w:w="565" w:type="pct"/>
                  <w:tcBorders>
                    <w:tl2br w:val="nil"/>
                    <w:tr2bl w:val="nil"/>
                  </w:tcBorders>
                  <w:noWrap w:val="0"/>
                  <w:vAlign w:val="center"/>
                </w:tcPr>
                <w:p w14:paraId="5E2B0083">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20</w:t>
                  </w:r>
                </w:p>
              </w:tc>
              <w:tc>
                <w:tcPr>
                  <w:tcW w:w="413" w:type="pct"/>
                  <w:tcBorders>
                    <w:tl2br w:val="nil"/>
                    <w:tr2bl w:val="nil"/>
                  </w:tcBorders>
                  <w:noWrap w:val="0"/>
                  <w:vAlign w:val="center"/>
                </w:tcPr>
                <w:p w14:paraId="0EFAA4EB">
                  <w:pPr>
                    <w:pStyle w:val="56"/>
                    <w:keepNext w:val="0"/>
                    <w:keepLines w:val="0"/>
                    <w:suppressLineNumbers w:val="0"/>
                    <w:bidi w:val="0"/>
                    <w:spacing w:before="0" w:beforeAutospacing="0" w:after="0" w:afterAutospacing="0"/>
                    <w:ind w:left="0" w:leftChars="0" w:right="0" w:rightChars="0" w:firstLine="0" w:firstLineChars="0"/>
                    <w:rPr>
                      <w:rFonts w:hint="default" w:eastAsia="宋体" w:cs="Times New Roman"/>
                      <w:color w:val="auto"/>
                      <w:lang w:val="en-US" w:eastAsia="zh-CN"/>
                    </w:rPr>
                  </w:pPr>
                  <w:r>
                    <w:rPr>
                      <w:rFonts w:hint="eastAsia" w:cs="Times New Roman"/>
                      <w:color w:val="auto"/>
                      <w:lang w:val="en-US" w:eastAsia="zh-CN"/>
                    </w:rPr>
                    <w:t>112</w:t>
                  </w:r>
                </w:p>
              </w:tc>
              <w:tc>
                <w:tcPr>
                  <w:tcW w:w="509" w:type="pct"/>
                  <w:tcBorders>
                    <w:tl2br w:val="nil"/>
                    <w:tr2bl w:val="nil"/>
                  </w:tcBorders>
                  <w:noWrap w:val="0"/>
                  <w:vAlign w:val="center"/>
                </w:tcPr>
                <w:p w14:paraId="69FEEDD1">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0.081</w:t>
                  </w:r>
                </w:p>
              </w:tc>
              <w:tc>
                <w:tcPr>
                  <w:tcW w:w="576" w:type="pct"/>
                  <w:tcBorders>
                    <w:tl2br w:val="nil"/>
                    <w:tr2bl w:val="nil"/>
                  </w:tcBorders>
                  <w:noWrap w:val="0"/>
                  <w:vAlign w:val="center"/>
                </w:tcPr>
                <w:p w14:paraId="76E0EF85">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300</w:t>
                  </w:r>
                </w:p>
              </w:tc>
            </w:tr>
            <w:tr w14:paraId="103491C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160" w:type="pct"/>
                  <w:vMerge w:val="continue"/>
                  <w:tcBorders>
                    <w:tl2br w:val="nil"/>
                    <w:tr2bl w:val="nil"/>
                  </w:tcBorders>
                  <w:noWrap w:val="0"/>
                  <w:vAlign w:val="center"/>
                </w:tcPr>
                <w:p w14:paraId="2C822DBF">
                  <w:pPr>
                    <w:pStyle w:val="56"/>
                    <w:keepNext w:val="0"/>
                    <w:keepLines w:val="0"/>
                    <w:suppressLineNumbers w:val="0"/>
                    <w:bidi w:val="0"/>
                    <w:spacing w:before="0" w:beforeAutospacing="0" w:after="0" w:afterAutospacing="0"/>
                    <w:ind w:left="0" w:right="0"/>
                    <w:rPr>
                      <w:rFonts w:hint="default" w:cs="Times New Roman"/>
                      <w:color w:val="auto"/>
                    </w:rPr>
                  </w:pPr>
                </w:p>
              </w:tc>
              <w:tc>
                <w:tcPr>
                  <w:tcW w:w="386" w:type="pct"/>
                  <w:tcBorders>
                    <w:tl2br w:val="nil"/>
                    <w:tr2bl w:val="nil"/>
                  </w:tcBorders>
                  <w:noWrap w:val="0"/>
                  <w:vAlign w:val="center"/>
                </w:tcPr>
                <w:p w14:paraId="2CB27E79">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NH</w:t>
                  </w:r>
                  <w:r>
                    <w:rPr>
                      <w:rFonts w:hint="eastAsia" w:cs="Times New Roman"/>
                      <w:color w:val="auto"/>
                      <w:vertAlign w:val="subscript"/>
                      <w:lang w:val="en-US" w:eastAsia="zh-CN"/>
                    </w:rPr>
                    <w:t>3</w:t>
                  </w:r>
                  <w:r>
                    <w:rPr>
                      <w:rFonts w:hint="eastAsia" w:cs="Times New Roman"/>
                      <w:color w:val="auto"/>
                      <w:lang w:val="en-US" w:eastAsia="zh-CN"/>
                    </w:rPr>
                    <w:t>-N</w:t>
                  </w:r>
                </w:p>
              </w:tc>
              <w:tc>
                <w:tcPr>
                  <w:tcW w:w="325" w:type="pct"/>
                  <w:vMerge w:val="continue"/>
                  <w:tcBorders>
                    <w:tl2br w:val="nil"/>
                    <w:tr2bl w:val="nil"/>
                  </w:tcBorders>
                  <w:noWrap w:val="0"/>
                  <w:vAlign w:val="center"/>
                </w:tcPr>
                <w:p w14:paraId="09824893">
                  <w:pPr>
                    <w:pStyle w:val="56"/>
                    <w:keepNext w:val="0"/>
                    <w:keepLines w:val="0"/>
                    <w:suppressLineNumbers w:val="0"/>
                    <w:bidi w:val="0"/>
                    <w:spacing w:before="0" w:beforeAutospacing="0" w:after="0" w:afterAutospacing="0"/>
                    <w:ind w:left="0" w:right="0"/>
                    <w:rPr>
                      <w:rFonts w:hint="default" w:cs="Times New Roman"/>
                      <w:color w:val="auto"/>
                    </w:rPr>
                  </w:pPr>
                </w:p>
              </w:tc>
              <w:tc>
                <w:tcPr>
                  <w:tcW w:w="413" w:type="pct"/>
                  <w:tcBorders>
                    <w:tl2br w:val="nil"/>
                    <w:tr2bl w:val="nil"/>
                  </w:tcBorders>
                  <w:noWrap w:val="0"/>
                  <w:vAlign w:val="center"/>
                </w:tcPr>
                <w:p w14:paraId="76C9D209">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25</w:t>
                  </w:r>
                </w:p>
              </w:tc>
              <w:tc>
                <w:tcPr>
                  <w:tcW w:w="691" w:type="pct"/>
                  <w:tcBorders>
                    <w:tl2br w:val="nil"/>
                    <w:tr2bl w:val="nil"/>
                  </w:tcBorders>
                  <w:noWrap w:val="0"/>
                  <w:vAlign w:val="center"/>
                </w:tcPr>
                <w:p w14:paraId="05A6D8FC">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cs="Times New Roman"/>
                      <w:color w:val="auto"/>
                      <w:lang w:val="en-US" w:eastAsia="zh-CN"/>
                    </w:rPr>
                    <w:t>0.018</w:t>
                  </w:r>
                </w:p>
              </w:tc>
              <w:tc>
                <w:tcPr>
                  <w:tcW w:w="459" w:type="pct"/>
                  <w:vMerge w:val="continue"/>
                  <w:tcBorders>
                    <w:tl2br w:val="nil"/>
                    <w:tr2bl w:val="nil"/>
                  </w:tcBorders>
                  <w:noWrap w:val="0"/>
                  <w:vAlign w:val="center"/>
                </w:tcPr>
                <w:p w14:paraId="272AE13C">
                  <w:pPr>
                    <w:pStyle w:val="56"/>
                    <w:keepNext w:val="0"/>
                    <w:keepLines w:val="0"/>
                    <w:suppressLineNumbers w:val="0"/>
                    <w:bidi w:val="0"/>
                    <w:spacing w:before="0" w:beforeAutospacing="0" w:after="0" w:afterAutospacing="0"/>
                    <w:ind w:left="0" w:right="0"/>
                    <w:rPr>
                      <w:rFonts w:hint="default" w:cs="Times New Roman"/>
                      <w:color w:val="auto"/>
                    </w:rPr>
                  </w:pPr>
                </w:p>
              </w:tc>
              <w:tc>
                <w:tcPr>
                  <w:tcW w:w="498" w:type="pct"/>
                  <w:vMerge w:val="continue"/>
                  <w:tcBorders>
                    <w:tl2br w:val="nil"/>
                    <w:tr2bl w:val="nil"/>
                  </w:tcBorders>
                  <w:noWrap w:val="0"/>
                  <w:vAlign w:val="center"/>
                </w:tcPr>
                <w:p w14:paraId="38F876A3">
                  <w:pPr>
                    <w:pStyle w:val="56"/>
                    <w:keepNext w:val="0"/>
                    <w:keepLines w:val="0"/>
                    <w:suppressLineNumbers w:val="0"/>
                    <w:bidi w:val="0"/>
                    <w:spacing w:before="0" w:beforeAutospacing="0" w:after="0" w:afterAutospacing="0"/>
                    <w:ind w:left="0" w:right="0"/>
                    <w:rPr>
                      <w:rFonts w:hint="default" w:cs="Times New Roman"/>
                      <w:color w:val="auto"/>
                    </w:rPr>
                  </w:pPr>
                </w:p>
              </w:tc>
              <w:tc>
                <w:tcPr>
                  <w:tcW w:w="565" w:type="pct"/>
                  <w:tcBorders>
                    <w:tl2br w:val="nil"/>
                    <w:tr2bl w:val="nil"/>
                  </w:tcBorders>
                  <w:noWrap w:val="0"/>
                  <w:vAlign w:val="center"/>
                </w:tcPr>
                <w:p w14:paraId="04FC119C">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20</w:t>
                  </w:r>
                </w:p>
              </w:tc>
              <w:tc>
                <w:tcPr>
                  <w:tcW w:w="413" w:type="pct"/>
                  <w:tcBorders>
                    <w:tl2br w:val="nil"/>
                    <w:tr2bl w:val="nil"/>
                  </w:tcBorders>
                  <w:noWrap w:val="0"/>
                  <w:vAlign w:val="center"/>
                </w:tcPr>
                <w:p w14:paraId="22AB51D6">
                  <w:pPr>
                    <w:pStyle w:val="56"/>
                    <w:keepNext w:val="0"/>
                    <w:keepLines w:val="0"/>
                    <w:suppressLineNumbers w:val="0"/>
                    <w:bidi w:val="0"/>
                    <w:spacing w:before="0" w:beforeAutospacing="0" w:after="0" w:afterAutospacing="0"/>
                    <w:ind w:left="0" w:leftChars="0" w:right="0" w:rightChars="0" w:firstLine="0" w:firstLineChars="0"/>
                    <w:rPr>
                      <w:rFonts w:hint="default" w:eastAsia="宋体" w:cs="Times New Roman"/>
                      <w:color w:val="auto"/>
                      <w:lang w:val="en-US" w:eastAsia="zh-CN"/>
                    </w:rPr>
                  </w:pPr>
                  <w:r>
                    <w:rPr>
                      <w:rFonts w:hint="eastAsia" w:cs="Times New Roman"/>
                      <w:color w:val="auto"/>
                      <w:lang w:val="en-US" w:eastAsia="zh-CN"/>
                    </w:rPr>
                    <w:t>20</w:t>
                  </w:r>
                </w:p>
              </w:tc>
              <w:tc>
                <w:tcPr>
                  <w:tcW w:w="509" w:type="pct"/>
                  <w:tcBorders>
                    <w:tl2br w:val="nil"/>
                    <w:tr2bl w:val="nil"/>
                  </w:tcBorders>
                  <w:noWrap w:val="0"/>
                  <w:vAlign w:val="center"/>
                </w:tcPr>
                <w:p w14:paraId="78E3BD91">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0.014</w:t>
                  </w:r>
                </w:p>
              </w:tc>
              <w:tc>
                <w:tcPr>
                  <w:tcW w:w="576" w:type="pct"/>
                  <w:tcBorders>
                    <w:tl2br w:val="nil"/>
                    <w:tr2bl w:val="nil"/>
                  </w:tcBorders>
                  <w:noWrap w:val="0"/>
                  <w:vAlign w:val="center"/>
                </w:tcPr>
                <w:p w14:paraId="10259C7D">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50</w:t>
                  </w:r>
                </w:p>
              </w:tc>
            </w:tr>
            <w:tr w14:paraId="4B2268F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160" w:type="pct"/>
                  <w:vMerge w:val="continue"/>
                  <w:tcBorders>
                    <w:tl2br w:val="nil"/>
                    <w:tr2bl w:val="nil"/>
                  </w:tcBorders>
                  <w:noWrap w:val="0"/>
                  <w:vAlign w:val="center"/>
                </w:tcPr>
                <w:p w14:paraId="22EA686D">
                  <w:pPr>
                    <w:pStyle w:val="56"/>
                    <w:keepNext w:val="0"/>
                    <w:keepLines w:val="0"/>
                    <w:suppressLineNumbers w:val="0"/>
                    <w:bidi w:val="0"/>
                    <w:spacing w:before="0" w:beforeAutospacing="0" w:after="0" w:afterAutospacing="0"/>
                    <w:ind w:left="0" w:right="0"/>
                    <w:rPr>
                      <w:rFonts w:hint="default" w:cs="Times New Roman"/>
                      <w:color w:val="auto"/>
                    </w:rPr>
                  </w:pPr>
                </w:p>
              </w:tc>
              <w:tc>
                <w:tcPr>
                  <w:tcW w:w="386" w:type="pct"/>
                  <w:tcBorders>
                    <w:tl2br w:val="nil"/>
                    <w:tr2bl w:val="nil"/>
                  </w:tcBorders>
                  <w:noWrap w:val="0"/>
                  <w:vAlign w:val="center"/>
                </w:tcPr>
                <w:p w14:paraId="4BE70D98">
                  <w:pPr>
                    <w:pStyle w:val="56"/>
                    <w:keepNext w:val="0"/>
                    <w:keepLines w:val="0"/>
                    <w:suppressLineNumbers w:val="0"/>
                    <w:bidi w:val="0"/>
                    <w:spacing w:before="0" w:beforeAutospacing="0" w:after="0" w:afterAutospacing="0"/>
                    <w:ind w:left="0" w:right="0"/>
                    <w:rPr>
                      <w:rFonts w:hint="eastAsia" w:eastAsia="宋体" w:cs="Times New Roman"/>
                      <w:color w:val="auto"/>
                      <w:lang w:val="en-US" w:eastAsia="zh-CN"/>
                    </w:rPr>
                  </w:pPr>
                  <w:r>
                    <w:rPr>
                      <w:rFonts w:hint="eastAsia" w:cs="Times New Roman"/>
                      <w:color w:val="auto"/>
                      <w:lang w:val="en-US" w:eastAsia="zh-CN"/>
                    </w:rPr>
                    <w:t>SS</w:t>
                  </w:r>
                </w:p>
              </w:tc>
              <w:tc>
                <w:tcPr>
                  <w:tcW w:w="325" w:type="pct"/>
                  <w:vMerge w:val="continue"/>
                  <w:tcBorders>
                    <w:tl2br w:val="nil"/>
                    <w:tr2bl w:val="nil"/>
                  </w:tcBorders>
                  <w:noWrap w:val="0"/>
                  <w:vAlign w:val="center"/>
                </w:tcPr>
                <w:p w14:paraId="04D864FC">
                  <w:pPr>
                    <w:pStyle w:val="56"/>
                    <w:keepNext w:val="0"/>
                    <w:keepLines w:val="0"/>
                    <w:suppressLineNumbers w:val="0"/>
                    <w:bidi w:val="0"/>
                    <w:spacing w:before="0" w:beforeAutospacing="0" w:after="0" w:afterAutospacing="0"/>
                    <w:ind w:left="0" w:right="0"/>
                    <w:rPr>
                      <w:rFonts w:hint="default" w:cs="Times New Roman"/>
                      <w:color w:val="auto"/>
                    </w:rPr>
                  </w:pPr>
                </w:p>
              </w:tc>
              <w:tc>
                <w:tcPr>
                  <w:tcW w:w="413" w:type="pct"/>
                  <w:tcBorders>
                    <w:tl2br w:val="nil"/>
                    <w:tr2bl w:val="nil"/>
                  </w:tcBorders>
                  <w:noWrap w:val="0"/>
                  <w:vAlign w:val="center"/>
                </w:tcPr>
                <w:p w14:paraId="1FA7D6D8">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200</w:t>
                  </w:r>
                </w:p>
              </w:tc>
              <w:tc>
                <w:tcPr>
                  <w:tcW w:w="691" w:type="pct"/>
                  <w:tcBorders>
                    <w:tl2br w:val="nil"/>
                    <w:tr2bl w:val="nil"/>
                  </w:tcBorders>
                  <w:noWrap w:val="0"/>
                  <w:vAlign w:val="center"/>
                </w:tcPr>
                <w:p w14:paraId="69DEE8D5">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cs="Times New Roman"/>
                      <w:color w:val="auto"/>
                      <w:lang w:val="en-US" w:eastAsia="zh-CN"/>
                    </w:rPr>
                    <w:t>0.144</w:t>
                  </w:r>
                </w:p>
              </w:tc>
              <w:tc>
                <w:tcPr>
                  <w:tcW w:w="459" w:type="pct"/>
                  <w:vMerge w:val="continue"/>
                  <w:tcBorders>
                    <w:tl2br w:val="nil"/>
                    <w:tr2bl w:val="nil"/>
                  </w:tcBorders>
                  <w:noWrap w:val="0"/>
                  <w:vAlign w:val="center"/>
                </w:tcPr>
                <w:p w14:paraId="53782EC2">
                  <w:pPr>
                    <w:pStyle w:val="56"/>
                    <w:keepNext w:val="0"/>
                    <w:keepLines w:val="0"/>
                    <w:suppressLineNumbers w:val="0"/>
                    <w:bidi w:val="0"/>
                    <w:spacing w:before="0" w:beforeAutospacing="0" w:after="0" w:afterAutospacing="0"/>
                    <w:ind w:left="0" w:right="0"/>
                    <w:rPr>
                      <w:rFonts w:hint="default" w:cs="Times New Roman"/>
                      <w:color w:val="auto"/>
                    </w:rPr>
                  </w:pPr>
                </w:p>
              </w:tc>
              <w:tc>
                <w:tcPr>
                  <w:tcW w:w="498" w:type="pct"/>
                  <w:vMerge w:val="continue"/>
                  <w:tcBorders>
                    <w:tl2br w:val="nil"/>
                    <w:tr2bl w:val="nil"/>
                  </w:tcBorders>
                  <w:noWrap w:val="0"/>
                  <w:vAlign w:val="center"/>
                </w:tcPr>
                <w:p w14:paraId="00E3BBD3">
                  <w:pPr>
                    <w:pStyle w:val="56"/>
                    <w:keepNext w:val="0"/>
                    <w:keepLines w:val="0"/>
                    <w:suppressLineNumbers w:val="0"/>
                    <w:bidi w:val="0"/>
                    <w:spacing w:before="0" w:beforeAutospacing="0" w:after="0" w:afterAutospacing="0"/>
                    <w:ind w:left="0" w:right="0"/>
                    <w:rPr>
                      <w:rFonts w:hint="default" w:cs="Times New Roman"/>
                      <w:color w:val="auto"/>
                    </w:rPr>
                  </w:pPr>
                </w:p>
              </w:tc>
              <w:tc>
                <w:tcPr>
                  <w:tcW w:w="565" w:type="pct"/>
                  <w:tcBorders>
                    <w:tl2br w:val="nil"/>
                    <w:tr2bl w:val="nil"/>
                  </w:tcBorders>
                  <w:noWrap w:val="0"/>
                  <w:vAlign w:val="center"/>
                </w:tcPr>
                <w:p w14:paraId="2932C3EF">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25</w:t>
                  </w:r>
                </w:p>
              </w:tc>
              <w:tc>
                <w:tcPr>
                  <w:tcW w:w="413" w:type="pct"/>
                  <w:tcBorders>
                    <w:tl2br w:val="nil"/>
                    <w:tr2bl w:val="nil"/>
                  </w:tcBorders>
                  <w:noWrap w:val="0"/>
                  <w:vAlign w:val="center"/>
                </w:tcPr>
                <w:p w14:paraId="062E3E93">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cs="Times New Roman"/>
                      <w:color w:val="auto"/>
                      <w:lang w:val="en-US" w:eastAsia="zh-CN"/>
                    </w:rPr>
                    <w:t>150</w:t>
                  </w:r>
                </w:p>
              </w:tc>
              <w:tc>
                <w:tcPr>
                  <w:tcW w:w="509" w:type="pct"/>
                  <w:tcBorders>
                    <w:tl2br w:val="nil"/>
                    <w:tr2bl w:val="nil"/>
                  </w:tcBorders>
                  <w:noWrap w:val="0"/>
                  <w:vAlign w:val="center"/>
                </w:tcPr>
                <w:p w14:paraId="2196503A">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0.108</w:t>
                  </w:r>
                </w:p>
              </w:tc>
              <w:tc>
                <w:tcPr>
                  <w:tcW w:w="576" w:type="pct"/>
                  <w:tcBorders>
                    <w:tl2br w:val="nil"/>
                    <w:tr2bl w:val="nil"/>
                  </w:tcBorders>
                  <w:noWrap w:val="0"/>
                  <w:vAlign w:val="center"/>
                </w:tcPr>
                <w:p w14:paraId="22E84794">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400</w:t>
                  </w:r>
                </w:p>
              </w:tc>
            </w:tr>
            <w:tr w14:paraId="48C3B97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jc w:val="center"/>
              </w:trPr>
              <w:tc>
                <w:tcPr>
                  <w:tcW w:w="160" w:type="pct"/>
                  <w:vMerge w:val="continue"/>
                  <w:tcBorders>
                    <w:tl2br w:val="nil"/>
                    <w:tr2bl w:val="nil"/>
                  </w:tcBorders>
                  <w:noWrap w:val="0"/>
                  <w:vAlign w:val="center"/>
                </w:tcPr>
                <w:p w14:paraId="0DD18D08">
                  <w:pPr>
                    <w:pStyle w:val="56"/>
                    <w:keepNext w:val="0"/>
                    <w:keepLines w:val="0"/>
                    <w:suppressLineNumbers w:val="0"/>
                    <w:bidi w:val="0"/>
                    <w:spacing w:before="0" w:beforeAutospacing="0" w:after="0" w:afterAutospacing="0"/>
                    <w:ind w:left="0" w:right="0"/>
                    <w:rPr>
                      <w:rFonts w:hint="default" w:cs="Times New Roman"/>
                      <w:color w:val="auto"/>
                    </w:rPr>
                  </w:pPr>
                </w:p>
              </w:tc>
              <w:tc>
                <w:tcPr>
                  <w:tcW w:w="386" w:type="pct"/>
                  <w:tcBorders>
                    <w:tl2br w:val="nil"/>
                    <w:tr2bl w:val="nil"/>
                  </w:tcBorders>
                  <w:noWrap w:val="0"/>
                  <w:vAlign w:val="center"/>
                </w:tcPr>
                <w:p w14:paraId="6688987C">
                  <w:pPr>
                    <w:pStyle w:val="56"/>
                    <w:keepNext w:val="0"/>
                    <w:keepLines w:val="0"/>
                    <w:suppressLineNumbers w:val="0"/>
                    <w:bidi w:val="0"/>
                    <w:spacing w:before="0" w:beforeAutospacing="0" w:after="0" w:afterAutospacing="0"/>
                    <w:ind w:left="0" w:right="0"/>
                    <w:rPr>
                      <w:rFonts w:hint="eastAsia" w:eastAsia="宋体" w:cs="Times New Roman"/>
                      <w:color w:val="auto"/>
                      <w:lang w:val="en-US" w:eastAsia="zh-CN"/>
                    </w:rPr>
                  </w:pPr>
                  <w:r>
                    <w:rPr>
                      <w:rFonts w:hint="eastAsia" w:cs="Times New Roman"/>
                      <w:color w:val="auto"/>
                      <w:lang w:val="en-US" w:eastAsia="zh-CN"/>
                    </w:rPr>
                    <w:t>TP</w:t>
                  </w:r>
                </w:p>
              </w:tc>
              <w:tc>
                <w:tcPr>
                  <w:tcW w:w="325" w:type="pct"/>
                  <w:vMerge w:val="continue"/>
                  <w:tcBorders>
                    <w:tl2br w:val="nil"/>
                    <w:tr2bl w:val="nil"/>
                  </w:tcBorders>
                  <w:noWrap w:val="0"/>
                  <w:vAlign w:val="center"/>
                </w:tcPr>
                <w:p w14:paraId="48BABBF8">
                  <w:pPr>
                    <w:pStyle w:val="56"/>
                    <w:keepNext w:val="0"/>
                    <w:keepLines w:val="0"/>
                    <w:suppressLineNumbers w:val="0"/>
                    <w:bidi w:val="0"/>
                    <w:spacing w:before="0" w:beforeAutospacing="0" w:after="0" w:afterAutospacing="0"/>
                    <w:ind w:left="0" w:right="0"/>
                    <w:rPr>
                      <w:rFonts w:hint="default" w:cs="Times New Roman"/>
                      <w:color w:val="auto"/>
                    </w:rPr>
                  </w:pPr>
                </w:p>
              </w:tc>
              <w:tc>
                <w:tcPr>
                  <w:tcW w:w="413" w:type="pct"/>
                  <w:tcBorders>
                    <w:tl2br w:val="nil"/>
                    <w:tr2bl w:val="nil"/>
                  </w:tcBorders>
                  <w:noWrap w:val="0"/>
                  <w:vAlign w:val="center"/>
                </w:tcPr>
                <w:p w14:paraId="5DB31B54">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4</w:t>
                  </w:r>
                </w:p>
              </w:tc>
              <w:tc>
                <w:tcPr>
                  <w:tcW w:w="691" w:type="pct"/>
                  <w:tcBorders>
                    <w:tl2br w:val="nil"/>
                    <w:tr2bl w:val="nil"/>
                  </w:tcBorders>
                  <w:noWrap w:val="0"/>
                  <w:vAlign w:val="center"/>
                </w:tcPr>
                <w:p w14:paraId="51054BC5">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cs="Times New Roman"/>
                      <w:color w:val="auto"/>
                      <w:lang w:val="en-US" w:eastAsia="zh-CN"/>
                    </w:rPr>
                    <w:t>0.003</w:t>
                  </w:r>
                </w:p>
              </w:tc>
              <w:tc>
                <w:tcPr>
                  <w:tcW w:w="459" w:type="pct"/>
                  <w:vMerge w:val="continue"/>
                  <w:tcBorders>
                    <w:tl2br w:val="nil"/>
                    <w:tr2bl w:val="nil"/>
                  </w:tcBorders>
                  <w:noWrap w:val="0"/>
                  <w:vAlign w:val="center"/>
                </w:tcPr>
                <w:p w14:paraId="4B900245">
                  <w:pPr>
                    <w:pStyle w:val="56"/>
                    <w:keepNext w:val="0"/>
                    <w:keepLines w:val="0"/>
                    <w:suppressLineNumbers w:val="0"/>
                    <w:bidi w:val="0"/>
                    <w:spacing w:before="0" w:beforeAutospacing="0" w:after="0" w:afterAutospacing="0"/>
                    <w:ind w:left="0" w:right="0"/>
                    <w:rPr>
                      <w:rFonts w:hint="default" w:cs="Times New Roman"/>
                      <w:color w:val="auto"/>
                    </w:rPr>
                  </w:pPr>
                </w:p>
              </w:tc>
              <w:tc>
                <w:tcPr>
                  <w:tcW w:w="498" w:type="pct"/>
                  <w:vMerge w:val="continue"/>
                  <w:tcBorders>
                    <w:tl2br w:val="nil"/>
                    <w:tr2bl w:val="nil"/>
                  </w:tcBorders>
                  <w:noWrap w:val="0"/>
                  <w:vAlign w:val="center"/>
                </w:tcPr>
                <w:p w14:paraId="7C39E2A7">
                  <w:pPr>
                    <w:pStyle w:val="56"/>
                    <w:keepNext w:val="0"/>
                    <w:keepLines w:val="0"/>
                    <w:suppressLineNumbers w:val="0"/>
                    <w:bidi w:val="0"/>
                    <w:spacing w:before="0" w:beforeAutospacing="0" w:after="0" w:afterAutospacing="0"/>
                    <w:ind w:left="0" w:right="0"/>
                    <w:rPr>
                      <w:rFonts w:hint="default" w:cs="Times New Roman"/>
                      <w:color w:val="auto"/>
                    </w:rPr>
                  </w:pPr>
                </w:p>
              </w:tc>
              <w:tc>
                <w:tcPr>
                  <w:tcW w:w="565" w:type="pct"/>
                  <w:tcBorders>
                    <w:tl2br w:val="nil"/>
                    <w:tr2bl w:val="nil"/>
                  </w:tcBorders>
                  <w:noWrap w:val="0"/>
                  <w:vAlign w:val="center"/>
                </w:tcPr>
                <w:p w14:paraId="69730F0C">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20</w:t>
                  </w:r>
                </w:p>
              </w:tc>
              <w:tc>
                <w:tcPr>
                  <w:tcW w:w="413" w:type="pct"/>
                  <w:tcBorders>
                    <w:tl2br w:val="nil"/>
                    <w:tr2bl w:val="nil"/>
                  </w:tcBorders>
                  <w:noWrap w:val="0"/>
                  <w:vAlign w:val="center"/>
                </w:tcPr>
                <w:p w14:paraId="7D43E9D3">
                  <w:pPr>
                    <w:pStyle w:val="56"/>
                    <w:keepNext w:val="0"/>
                    <w:keepLines w:val="0"/>
                    <w:suppressLineNumbers w:val="0"/>
                    <w:bidi w:val="0"/>
                    <w:spacing w:before="0" w:beforeAutospacing="0" w:after="0" w:afterAutospacing="0"/>
                    <w:ind w:left="0" w:leftChars="0" w:right="0" w:rightChars="0" w:firstLine="0" w:firstLineChars="0"/>
                    <w:rPr>
                      <w:rFonts w:hint="default" w:eastAsia="宋体" w:cs="Times New Roman"/>
                      <w:color w:val="auto"/>
                      <w:lang w:val="en-US" w:eastAsia="zh-CN"/>
                    </w:rPr>
                  </w:pPr>
                  <w:r>
                    <w:rPr>
                      <w:rFonts w:hint="eastAsia" w:cs="Times New Roman"/>
                      <w:color w:val="auto"/>
                      <w:lang w:val="en-US" w:eastAsia="zh-CN"/>
                    </w:rPr>
                    <w:t>3.2</w:t>
                  </w:r>
                </w:p>
              </w:tc>
              <w:tc>
                <w:tcPr>
                  <w:tcW w:w="509" w:type="pct"/>
                  <w:tcBorders>
                    <w:tl2br w:val="nil"/>
                    <w:tr2bl w:val="nil"/>
                  </w:tcBorders>
                  <w:noWrap w:val="0"/>
                  <w:vAlign w:val="center"/>
                </w:tcPr>
                <w:p w14:paraId="27CB1FD6">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0.002</w:t>
                  </w:r>
                </w:p>
              </w:tc>
              <w:tc>
                <w:tcPr>
                  <w:tcW w:w="576" w:type="pct"/>
                  <w:tcBorders>
                    <w:tl2br w:val="nil"/>
                    <w:tr2bl w:val="nil"/>
                  </w:tcBorders>
                  <w:noWrap w:val="0"/>
                  <w:vAlign w:val="center"/>
                </w:tcPr>
                <w:p w14:paraId="556B1F59">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8</w:t>
                  </w:r>
                </w:p>
              </w:tc>
            </w:tr>
          </w:tbl>
          <w:p w14:paraId="6366A2F1">
            <w:pPr>
              <w:pStyle w:val="24"/>
              <w:keepNext w:val="0"/>
              <w:keepLines w:val="0"/>
              <w:numPr>
                <w:ilvl w:val="0"/>
                <w:numId w:val="0"/>
              </w:numPr>
              <w:suppressLineNumbers w:val="0"/>
              <w:adjustRightInd w:val="0"/>
              <w:snapToGrid w:val="0"/>
              <w:spacing w:before="0" w:beforeAutospacing="0" w:after="0" w:afterAutospacing="0"/>
              <w:ind w:left="0" w:leftChars="0" w:right="0" w:rightChars="0" w:firstLine="482" w:firstLineChars="200"/>
              <w:jc w:val="both"/>
              <w:outlineLvl w:val="9"/>
              <w:rPr>
                <w:rFonts w:hint="eastAsia" w:ascii="Times New Roman" w:hAnsi="Times New Roman" w:eastAsia="宋体" w:cs="Times New Roman"/>
                <w:b/>
                <w:bCs/>
                <w:snapToGrid w:val="0"/>
                <w:color w:val="auto"/>
                <w:kern w:val="2"/>
                <w:sz w:val="24"/>
                <w:szCs w:val="24"/>
                <w:lang w:val="en-US" w:eastAsia="zh-CN" w:bidi="ar-SA"/>
              </w:rPr>
            </w:pPr>
          </w:p>
          <w:p w14:paraId="397E93F4">
            <w:pPr>
              <w:pStyle w:val="24"/>
              <w:keepNext w:val="0"/>
              <w:keepLines w:val="0"/>
              <w:numPr>
                <w:ilvl w:val="0"/>
                <w:numId w:val="0"/>
              </w:numPr>
              <w:suppressLineNumbers w:val="0"/>
              <w:adjustRightInd w:val="0"/>
              <w:snapToGrid w:val="0"/>
              <w:spacing w:before="0" w:beforeAutospacing="0" w:after="0" w:afterAutospacing="0"/>
              <w:ind w:left="0" w:leftChars="0" w:right="0" w:rightChars="0" w:firstLine="482" w:firstLineChars="200"/>
              <w:jc w:val="both"/>
              <w:outlineLvl w:val="9"/>
              <w:rPr>
                <w:rFonts w:hint="eastAsia" w:ascii="Times New Roman" w:hAnsi="Times New Roman" w:eastAsia="宋体" w:cs="Times New Roman"/>
                <w:b/>
                <w:bCs/>
                <w:snapToGrid w:val="0"/>
                <w:color w:val="auto"/>
                <w:kern w:val="2"/>
                <w:sz w:val="24"/>
                <w:szCs w:val="24"/>
                <w:lang w:val="en-US" w:eastAsia="zh-CN" w:bidi="ar-SA"/>
              </w:rPr>
            </w:pPr>
          </w:p>
          <w:p w14:paraId="476E0ED9">
            <w:pPr>
              <w:pStyle w:val="24"/>
              <w:keepNext w:val="0"/>
              <w:keepLines w:val="0"/>
              <w:numPr>
                <w:ilvl w:val="0"/>
                <w:numId w:val="0"/>
              </w:numPr>
              <w:suppressLineNumbers w:val="0"/>
              <w:adjustRightInd w:val="0"/>
              <w:snapToGrid w:val="0"/>
              <w:spacing w:before="0" w:beforeAutospacing="0" w:after="0" w:afterAutospacing="0"/>
              <w:ind w:left="0" w:leftChars="0" w:right="0" w:rightChars="0" w:firstLine="482" w:firstLineChars="200"/>
              <w:jc w:val="both"/>
              <w:outlineLvl w:val="9"/>
              <w:rPr>
                <w:rFonts w:hint="eastAsia" w:ascii="Times New Roman" w:hAnsi="Times New Roman" w:eastAsia="宋体" w:cs="Times New Roman"/>
                <w:b/>
                <w:bCs/>
                <w:snapToGrid w:val="0"/>
                <w:color w:val="auto"/>
                <w:kern w:val="2"/>
                <w:sz w:val="24"/>
                <w:szCs w:val="24"/>
                <w:lang w:val="en-US" w:eastAsia="zh-CN" w:bidi="ar-SA"/>
              </w:rPr>
            </w:pPr>
          </w:p>
          <w:p w14:paraId="3D6D2511">
            <w:pPr>
              <w:pStyle w:val="24"/>
              <w:keepNext w:val="0"/>
              <w:keepLines w:val="0"/>
              <w:numPr>
                <w:ilvl w:val="0"/>
                <w:numId w:val="0"/>
              </w:numPr>
              <w:suppressLineNumbers w:val="0"/>
              <w:adjustRightInd w:val="0"/>
              <w:snapToGrid w:val="0"/>
              <w:spacing w:before="0" w:beforeAutospacing="0" w:after="0" w:afterAutospacing="0"/>
              <w:ind w:left="0" w:leftChars="0" w:right="0" w:rightChars="0" w:firstLine="482" w:firstLineChars="200"/>
              <w:jc w:val="both"/>
              <w:outlineLvl w:val="9"/>
              <w:rPr>
                <w:rFonts w:hint="eastAsia" w:ascii="Times New Roman" w:hAnsi="Times New Roman" w:eastAsia="宋体" w:cs="Times New Roman"/>
                <w:b/>
                <w:bCs/>
                <w:snapToGrid w:val="0"/>
                <w:color w:val="auto"/>
                <w:kern w:val="2"/>
                <w:sz w:val="24"/>
                <w:szCs w:val="24"/>
                <w:lang w:val="en-US" w:eastAsia="zh-CN" w:bidi="ar-SA"/>
              </w:rPr>
            </w:pPr>
          </w:p>
          <w:p w14:paraId="226CA26A">
            <w:pPr>
              <w:pStyle w:val="24"/>
              <w:keepNext w:val="0"/>
              <w:keepLines w:val="0"/>
              <w:numPr>
                <w:ilvl w:val="0"/>
                <w:numId w:val="0"/>
              </w:numPr>
              <w:suppressLineNumbers w:val="0"/>
              <w:adjustRightInd w:val="0"/>
              <w:snapToGrid w:val="0"/>
              <w:spacing w:before="0" w:beforeAutospacing="0" w:after="0" w:afterAutospacing="0"/>
              <w:ind w:left="0" w:leftChars="0" w:right="0" w:rightChars="0" w:firstLine="482" w:firstLineChars="200"/>
              <w:jc w:val="both"/>
              <w:outlineLvl w:val="9"/>
              <w:rPr>
                <w:rFonts w:hint="eastAsia" w:ascii="Times New Roman" w:hAnsi="Times New Roman" w:eastAsia="宋体" w:cs="Times New Roman"/>
                <w:b/>
                <w:bCs/>
                <w:snapToGrid w:val="0"/>
                <w:color w:val="auto"/>
                <w:kern w:val="2"/>
                <w:sz w:val="24"/>
                <w:szCs w:val="24"/>
                <w:lang w:val="en-US" w:eastAsia="zh-CN" w:bidi="ar-SA"/>
              </w:rPr>
            </w:pPr>
          </w:p>
          <w:p w14:paraId="01D9DA38">
            <w:pPr>
              <w:pStyle w:val="24"/>
              <w:keepNext w:val="0"/>
              <w:keepLines w:val="0"/>
              <w:numPr>
                <w:ilvl w:val="0"/>
                <w:numId w:val="0"/>
              </w:numPr>
              <w:suppressLineNumbers w:val="0"/>
              <w:adjustRightInd w:val="0"/>
              <w:snapToGrid w:val="0"/>
              <w:spacing w:before="0" w:beforeAutospacing="0" w:after="0" w:afterAutospacing="0"/>
              <w:ind w:left="0" w:leftChars="0" w:right="0" w:rightChars="0" w:firstLine="482" w:firstLineChars="200"/>
              <w:jc w:val="both"/>
              <w:outlineLvl w:val="9"/>
              <w:rPr>
                <w:rFonts w:hint="eastAsia" w:ascii="Times New Roman" w:hAnsi="Times New Roman" w:eastAsia="宋体" w:cs="Times New Roman"/>
                <w:b/>
                <w:bCs/>
                <w:snapToGrid w:val="0"/>
                <w:color w:val="auto"/>
                <w:kern w:val="2"/>
                <w:sz w:val="24"/>
                <w:szCs w:val="24"/>
                <w:lang w:val="en-US" w:eastAsia="zh-CN" w:bidi="ar-SA"/>
              </w:rPr>
            </w:pPr>
          </w:p>
          <w:p w14:paraId="4113F867">
            <w:pPr>
              <w:pStyle w:val="24"/>
              <w:keepNext w:val="0"/>
              <w:keepLines w:val="0"/>
              <w:numPr>
                <w:ilvl w:val="0"/>
                <w:numId w:val="0"/>
              </w:numPr>
              <w:suppressLineNumbers w:val="0"/>
              <w:adjustRightInd w:val="0"/>
              <w:snapToGrid w:val="0"/>
              <w:spacing w:before="0" w:beforeAutospacing="0" w:after="0" w:afterAutospacing="0"/>
              <w:ind w:left="0" w:leftChars="0" w:right="0" w:rightChars="0" w:firstLine="482" w:firstLineChars="200"/>
              <w:jc w:val="both"/>
              <w:outlineLvl w:val="9"/>
              <w:rPr>
                <w:rFonts w:hint="eastAsia" w:ascii="Times New Roman" w:hAnsi="Times New Roman" w:eastAsia="宋体" w:cs="Times New Roman"/>
                <w:b/>
                <w:bCs/>
                <w:snapToGrid w:val="0"/>
                <w:color w:val="auto"/>
                <w:kern w:val="2"/>
                <w:sz w:val="24"/>
                <w:szCs w:val="24"/>
                <w:lang w:val="en-US" w:eastAsia="zh-CN" w:bidi="ar-SA"/>
              </w:rPr>
            </w:pPr>
          </w:p>
          <w:p w14:paraId="4E9EC17D">
            <w:pPr>
              <w:pStyle w:val="24"/>
              <w:keepNext w:val="0"/>
              <w:keepLines w:val="0"/>
              <w:numPr>
                <w:ilvl w:val="0"/>
                <w:numId w:val="0"/>
              </w:numPr>
              <w:suppressLineNumbers w:val="0"/>
              <w:adjustRightInd w:val="0"/>
              <w:snapToGrid w:val="0"/>
              <w:spacing w:before="0" w:beforeAutospacing="0" w:after="0" w:afterAutospacing="0"/>
              <w:ind w:left="0" w:leftChars="0" w:right="0" w:rightChars="0" w:firstLine="482" w:firstLineChars="200"/>
              <w:jc w:val="both"/>
              <w:outlineLvl w:val="9"/>
              <w:rPr>
                <w:rFonts w:hint="eastAsia" w:ascii="Times New Roman" w:hAnsi="Times New Roman" w:eastAsia="宋体" w:cs="Times New Roman"/>
                <w:b/>
                <w:bCs/>
                <w:snapToGrid w:val="0"/>
                <w:color w:val="auto"/>
                <w:kern w:val="2"/>
                <w:sz w:val="24"/>
                <w:szCs w:val="24"/>
                <w:lang w:val="en-US" w:eastAsia="zh-CN" w:bidi="ar-SA"/>
              </w:rPr>
            </w:pPr>
          </w:p>
          <w:p w14:paraId="69FBD254">
            <w:pPr>
              <w:pStyle w:val="24"/>
              <w:keepNext w:val="0"/>
              <w:keepLines w:val="0"/>
              <w:numPr>
                <w:ilvl w:val="0"/>
                <w:numId w:val="0"/>
              </w:numPr>
              <w:suppressLineNumbers w:val="0"/>
              <w:adjustRightInd w:val="0"/>
              <w:snapToGrid w:val="0"/>
              <w:spacing w:before="0" w:beforeAutospacing="0" w:after="0" w:afterAutospacing="0"/>
              <w:ind w:left="0" w:leftChars="0" w:right="0" w:rightChars="0" w:firstLine="482" w:firstLineChars="200"/>
              <w:jc w:val="both"/>
              <w:outlineLvl w:val="9"/>
              <w:rPr>
                <w:rFonts w:hint="eastAsia" w:ascii="Times New Roman" w:hAnsi="Times New Roman" w:eastAsia="宋体" w:cs="Times New Roman"/>
                <w:b/>
                <w:bCs/>
                <w:snapToGrid w:val="0"/>
                <w:color w:val="auto"/>
                <w:kern w:val="2"/>
                <w:sz w:val="24"/>
                <w:szCs w:val="24"/>
                <w:lang w:val="en-US" w:eastAsia="zh-CN" w:bidi="ar-SA"/>
              </w:rPr>
            </w:pPr>
            <w:r>
              <w:rPr>
                <w:rFonts w:hint="eastAsia" w:ascii="Times New Roman" w:hAnsi="Times New Roman" w:eastAsia="宋体" w:cs="Times New Roman"/>
                <w:b/>
                <w:bCs/>
                <w:snapToGrid w:val="0"/>
                <w:color w:val="auto"/>
                <w:kern w:val="2"/>
                <w:sz w:val="24"/>
                <w:szCs w:val="24"/>
                <w:lang w:val="en-US" w:eastAsia="zh-CN" w:bidi="ar-SA"/>
              </w:rPr>
              <w:t>4）依托集中污水处理厂可行性分析</w:t>
            </w:r>
          </w:p>
          <w:p w14:paraId="7139901F">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依托集中污水处理厂可行性分析（pH无量纲）</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
              <w:gridCol w:w="2973"/>
              <w:gridCol w:w="1727"/>
              <w:gridCol w:w="2764"/>
              <w:gridCol w:w="1303"/>
              <w:gridCol w:w="1736"/>
              <w:gridCol w:w="1738"/>
            </w:tblGrid>
            <w:tr w14:paraId="1765D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dxa"/>
                  <w:vMerge w:val="restart"/>
                  <w:vAlign w:val="center"/>
                </w:tcPr>
                <w:p w14:paraId="1B2F7665">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污染物种类</w:t>
                  </w:r>
                </w:p>
              </w:tc>
              <w:tc>
                <w:tcPr>
                  <w:tcW w:w="4700" w:type="dxa"/>
                  <w:gridSpan w:val="2"/>
                  <w:vAlign w:val="center"/>
                </w:tcPr>
                <w:p w14:paraId="2C65C5C6">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处理能力</w:t>
                  </w:r>
                </w:p>
              </w:tc>
              <w:tc>
                <w:tcPr>
                  <w:tcW w:w="2764" w:type="dxa"/>
                  <w:vAlign w:val="center"/>
                </w:tcPr>
                <w:p w14:paraId="26128775">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受纳污水处理厂处理工艺</w:t>
                  </w:r>
                </w:p>
              </w:tc>
              <w:tc>
                <w:tcPr>
                  <w:tcW w:w="4777" w:type="dxa"/>
                  <w:gridSpan w:val="3"/>
                  <w:vAlign w:val="center"/>
                </w:tcPr>
                <w:p w14:paraId="4183B322">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default" w:cs="Times New Roman"/>
                      <w:color w:val="auto"/>
                      <w:lang w:val="en-US" w:eastAsia="zh-CN"/>
                    </w:rPr>
                    <w:t>本项目、受纳污水处理厂进出水要求</w:t>
                  </w:r>
                  <w:r>
                    <w:rPr>
                      <w:rFonts w:hint="eastAsia" w:cs="Times New Roman"/>
                      <w:color w:val="auto"/>
                      <w:lang w:val="en-US" w:eastAsia="zh-CN"/>
                    </w:rPr>
                    <w:t>（mg/L）</w:t>
                  </w:r>
                </w:p>
              </w:tc>
            </w:tr>
            <w:tr w14:paraId="27F8F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dxa"/>
                  <w:vMerge w:val="continue"/>
                  <w:vAlign w:val="center"/>
                </w:tcPr>
                <w:p w14:paraId="55787A0E">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p>
              </w:tc>
              <w:tc>
                <w:tcPr>
                  <w:tcW w:w="2973" w:type="dxa"/>
                  <w:vAlign w:val="center"/>
                </w:tcPr>
                <w:p w14:paraId="421AB76B">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default" w:cs="Times New Roman"/>
                      <w:color w:val="auto"/>
                      <w:lang w:val="en-US" w:eastAsia="zh-CN"/>
                    </w:rPr>
                    <w:t>集中污水处理厂现有处理能力</w:t>
                  </w:r>
                </w:p>
              </w:tc>
              <w:tc>
                <w:tcPr>
                  <w:tcW w:w="1727" w:type="dxa"/>
                  <w:vAlign w:val="center"/>
                </w:tcPr>
                <w:p w14:paraId="76BDDA38">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default" w:cs="Times New Roman"/>
                      <w:color w:val="auto"/>
                      <w:lang w:val="en-US" w:eastAsia="zh-CN"/>
                    </w:rPr>
                    <w:t>本项目排水量</w:t>
                  </w:r>
                </w:p>
              </w:tc>
              <w:tc>
                <w:tcPr>
                  <w:tcW w:w="2764" w:type="dxa"/>
                  <w:vMerge w:val="restart"/>
                  <w:vAlign w:val="center"/>
                </w:tcPr>
                <w:p w14:paraId="46E4B8EE">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default" w:cs="Times New Roman"/>
                      <w:color w:val="auto"/>
                      <w:lang w:val="en-US" w:eastAsia="zh-CN"/>
                    </w:rPr>
                    <w:t>“粗细格栅+调节池+生化池+配水井+二沉池+调节池+高密度沉淀池+V型滤池+除氟系统+消毒计量池”组合工艺</w:t>
                  </w:r>
                </w:p>
              </w:tc>
              <w:tc>
                <w:tcPr>
                  <w:tcW w:w="1303" w:type="dxa"/>
                  <w:vAlign w:val="center"/>
                </w:tcPr>
                <w:p w14:paraId="08264FF7">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本项目出水</w:t>
                  </w:r>
                </w:p>
              </w:tc>
              <w:tc>
                <w:tcPr>
                  <w:tcW w:w="1736" w:type="dxa"/>
                  <w:vAlign w:val="center"/>
                </w:tcPr>
                <w:p w14:paraId="0A790BD1">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污水处理厂进水要求</w:t>
                  </w:r>
                </w:p>
              </w:tc>
              <w:tc>
                <w:tcPr>
                  <w:tcW w:w="1738" w:type="dxa"/>
                  <w:vAlign w:val="center"/>
                </w:tcPr>
                <w:p w14:paraId="0DD84948">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污水处理厂出水要求</w:t>
                  </w:r>
                </w:p>
              </w:tc>
            </w:tr>
            <w:tr w14:paraId="66FE7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dxa"/>
                  <w:vAlign w:val="center"/>
                </w:tcPr>
                <w:p w14:paraId="44024F9F">
                  <w:pPr>
                    <w:pStyle w:val="56"/>
                    <w:keepNext w:val="0"/>
                    <w:keepLines w:val="0"/>
                    <w:suppressLineNumbers w:val="0"/>
                    <w:bidi w:val="0"/>
                    <w:spacing w:before="0" w:beforeAutospacing="0" w:after="0" w:afterAutospacing="0"/>
                    <w:ind w:left="0" w:right="0"/>
                    <w:jc w:val="center"/>
                    <w:rPr>
                      <w:rFonts w:hint="default"/>
                      <w:color w:val="auto"/>
                      <w:lang w:val="en-US" w:eastAsia="zh-CN"/>
                    </w:rPr>
                  </w:pPr>
                  <w:r>
                    <w:rPr>
                      <w:rFonts w:hint="eastAsia"/>
                      <w:color w:val="auto"/>
                      <w:lang w:val="en-US" w:eastAsia="zh-CN"/>
                    </w:rPr>
                    <w:t>pH</w:t>
                  </w:r>
                </w:p>
              </w:tc>
              <w:tc>
                <w:tcPr>
                  <w:tcW w:w="2973" w:type="dxa"/>
                  <w:vMerge w:val="restart"/>
                  <w:vAlign w:val="center"/>
                </w:tcPr>
                <w:p w14:paraId="1CFE10BC">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30000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s="Times New Roman"/>
                      <w:color w:val="auto"/>
                      <w:lang w:val="en-US" w:eastAsia="zh-CN"/>
                    </w:rPr>
                    <w:t>/d</w:t>
                  </w:r>
                </w:p>
              </w:tc>
              <w:tc>
                <w:tcPr>
                  <w:tcW w:w="1727" w:type="dxa"/>
                  <w:vMerge w:val="restart"/>
                  <w:vAlign w:val="center"/>
                </w:tcPr>
                <w:p w14:paraId="4CD17F63">
                  <w:pPr>
                    <w:pStyle w:val="56"/>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s="Times New Roman"/>
                      <w:color w:val="auto"/>
                      <w:lang w:val="en-US" w:eastAsia="zh-CN"/>
                    </w:rPr>
                    <w:t>720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s="Times New Roman"/>
                      <w:color w:val="auto"/>
                      <w:lang w:val="en-US" w:eastAsia="zh-CN"/>
                    </w:rPr>
                    <w:t>/a</w:t>
                  </w:r>
                </w:p>
                <w:p w14:paraId="32B62861">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(3</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s="Times New Roman"/>
                      <w:color w:val="auto"/>
                      <w:lang w:val="en-US" w:eastAsia="zh-CN"/>
                    </w:rPr>
                    <w:t>/d)</w:t>
                  </w:r>
                </w:p>
              </w:tc>
              <w:tc>
                <w:tcPr>
                  <w:tcW w:w="2764" w:type="dxa"/>
                  <w:vMerge w:val="continue"/>
                  <w:vAlign w:val="center"/>
                </w:tcPr>
                <w:p w14:paraId="4A595E1D">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p>
              </w:tc>
              <w:tc>
                <w:tcPr>
                  <w:tcW w:w="1303" w:type="dxa"/>
                  <w:vAlign w:val="center"/>
                </w:tcPr>
                <w:p w14:paraId="05E588AA">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6~9</w:t>
                  </w:r>
                </w:p>
              </w:tc>
              <w:tc>
                <w:tcPr>
                  <w:tcW w:w="1736" w:type="dxa"/>
                  <w:vAlign w:val="center"/>
                </w:tcPr>
                <w:p w14:paraId="59E9B102">
                  <w:pPr>
                    <w:keepNext w:val="0"/>
                    <w:keepLines w:val="0"/>
                    <w:suppressLineNumbers w:val="0"/>
                    <w:bidi w:val="0"/>
                    <w:spacing w:before="0" w:beforeAutospacing="0" w:after="0" w:afterAutospacing="0"/>
                    <w:ind w:left="0" w:leftChars="0" w:right="0" w:firstLine="0" w:firstLineChars="0"/>
                    <w:jc w:val="center"/>
                    <w:rPr>
                      <w:rFonts w:hint="default" w:cs="Times New Roman"/>
                      <w:color w:val="auto"/>
                      <w:lang w:val="en-US" w:eastAsia="zh-CN"/>
                    </w:rPr>
                  </w:pPr>
                  <w:r>
                    <w:rPr>
                      <w:rFonts w:hint="eastAsia" w:cs="Times New Roman"/>
                      <w:color w:val="auto"/>
                      <w:lang w:val="en-US" w:eastAsia="zh-CN"/>
                    </w:rPr>
                    <w:t>6~9</w:t>
                  </w:r>
                </w:p>
              </w:tc>
              <w:tc>
                <w:tcPr>
                  <w:tcW w:w="1738" w:type="dxa"/>
                  <w:vAlign w:val="center"/>
                </w:tcPr>
                <w:p w14:paraId="56CDEC24">
                  <w:pPr>
                    <w:keepNext w:val="0"/>
                    <w:keepLines w:val="0"/>
                    <w:suppressLineNumbers w:val="0"/>
                    <w:bidi w:val="0"/>
                    <w:spacing w:before="0" w:beforeAutospacing="0" w:after="0" w:afterAutospacing="0"/>
                    <w:ind w:left="0" w:leftChars="0" w:right="0" w:firstLine="0" w:firstLineChars="0"/>
                    <w:jc w:val="center"/>
                    <w:rPr>
                      <w:rFonts w:hint="default" w:cs="Times New Roman"/>
                      <w:color w:val="auto"/>
                      <w:lang w:val="en-US" w:eastAsia="zh-CN"/>
                    </w:rPr>
                  </w:pPr>
                  <w:r>
                    <w:rPr>
                      <w:rFonts w:hint="eastAsia" w:cs="Times New Roman"/>
                      <w:color w:val="auto"/>
                      <w:lang w:val="en-US" w:eastAsia="zh-CN"/>
                    </w:rPr>
                    <w:t>6~9</w:t>
                  </w:r>
                </w:p>
              </w:tc>
            </w:tr>
            <w:tr w14:paraId="3C95A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55" w:type="dxa"/>
                  <w:vAlign w:val="center"/>
                </w:tcPr>
                <w:p w14:paraId="4E4BE2CB">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CODcr</w:t>
                  </w:r>
                </w:p>
              </w:tc>
              <w:tc>
                <w:tcPr>
                  <w:tcW w:w="2973" w:type="dxa"/>
                  <w:vMerge w:val="continue"/>
                  <w:vAlign w:val="center"/>
                </w:tcPr>
                <w:p w14:paraId="031689CE">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p>
              </w:tc>
              <w:tc>
                <w:tcPr>
                  <w:tcW w:w="1727" w:type="dxa"/>
                  <w:vMerge w:val="continue"/>
                  <w:vAlign w:val="center"/>
                </w:tcPr>
                <w:p w14:paraId="2C2FACAF">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p>
              </w:tc>
              <w:tc>
                <w:tcPr>
                  <w:tcW w:w="2764" w:type="dxa"/>
                  <w:vMerge w:val="continue"/>
                  <w:vAlign w:val="center"/>
                </w:tcPr>
                <w:p w14:paraId="78577F49">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p>
              </w:tc>
              <w:tc>
                <w:tcPr>
                  <w:tcW w:w="1303" w:type="dxa"/>
                  <w:vAlign w:val="center"/>
                </w:tcPr>
                <w:p w14:paraId="56F36C49">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200</w:t>
                  </w:r>
                </w:p>
              </w:tc>
              <w:tc>
                <w:tcPr>
                  <w:tcW w:w="1736" w:type="dxa"/>
                  <w:vAlign w:val="center"/>
                </w:tcPr>
                <w:p w14:paraId="7BEC52F3">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500</w:t>
                  </w:r>
                </w:p>
              </w:tc>
              <w:tc>
                <w:tcPr>
                  <w:tcW w:w="1738" w:type="dxa"/>
                  <w:vAlign w:val="center"/>
                </w:tcPr>
                <w:p w14:paraId="5853B024">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50</w:t>
                  </w:r>
                </w:p>
              </w:tc>
            </w:tr>
            <w:tr w14:paraId="766C9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dxa"/>
                  <w:vAlign w:val="center"/>
                </w:tcPr>
                <w:p w14:paraId="2F86F286">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BOD</w:t>
                  </w:r>
                  <w:r>
                    <w:rPr>
                      <w:rFonts w:hint="eastAsia" w:cs="Times New Roman"/>
                      <w:color w:val="auto"/>
                      <w:vertAlign w:val="subscript"/>
                      <w:lang w:val="en-US" w:eastAsia="zh-CN"/>
                    </w:rPr>
                    <w:t>5</w:t>
                  </w:r>
                </w:p>
              </w:tc>
              <w:tc>
                <w:tcPr>
                  <w:tcW w:w="2973" w:type="dxa"/>
                  <w:vMerge w:val="continue"/>
                  <w:vAlign w:val="center"/>
                </w:tcPr>
                <w:p w14:paraId="4EC1016D">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p>
              </w:tc>
              <w:tc>
                <w:tcPr>
                  <w:tcW w:w="1727" w:type="dxa"/>
                  <w:vMerge w:val="continue"/>
                  <w:vAlign w:val="center"/>
                </w:tcPr>
                <w:p w14:paraId="4E36135B">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p>
              </w:tc>
              <w:tc>
                <w:tcPr>
                  <w:tcW w:w="2764" w:type="dxa"/>
                  <w:vMerge w:val="continue"/>
                  <w:vAlign w:val="center"/>
                </w:tcPr>
                <w:p w14:paraId="5872ACC0">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p>
              </w:tc>
              <w:tc>
                <w:tcPr>
                  <w:tcW w:w="1303" w:type="dxa"/>
                  <w:vAlign w:val="center"/>
                </w:tcPr>
                <w:p w14:paraId="13AD2FD5">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120</w:t>
                  </w:r>
                </w:p>
              </w:tc>
              <w:tc>
                <w:tcPr>
                  <w:tcW w:w="1736" w:type="dxa"/>
                  <w:vAlign w:val="center"/>
                </w:tcPr>
                <w:p w14:paraId="6476319D">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300</w:t>
                  </w:r>
                </w:p>
              </w:tc>
              <w:tc>
                <w:tcPr>
                  <w:tcW w:w="1738" w:type="dxa"/>
                  <w:vAlign w:val="center"/>
                </w:tcPr>
                <w:p w14:paraId="72BAA705">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10</w:t>
                  </w:r>
                </w:p>
              </w:tc>
            </w:tr>
            <w:tr w14:paraId="13096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dxa"/>
                  <w:vAlign w:val="center"/>
                </w:tcPr>
                <w:p w14:paraId="710144C8">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NH</w:t>
                  </w:r>
                  <w:r>
                    <w:rPr>
                      <w:rFonts w:hint="eastAsia" w:cs="Times New Roman"/>
                      <w:color w:val="auto"/>
                      <w:vertAlign w:val="subscript"/>
                      <w:lang w:val="en-US" w:eastAsia="zh-CN"/>
                    </w:rPr>
                    <w:t>3</w:t>
                  </w:r>
                  <w:r>
                    <w:rPr>
                      <w:rFonts w:hint="eastAsia" w:cs="Times New Roman"/>
                      <w:color w:val="auto"/>
                      <w:lang w:val="en-US" w:eastAsia="zh-CN"/>
                    </w:rPr>
                    <w:t>-N</w:t>
                  </w:r>
                </w:p>
              </w:tc>
              <w:tc>
                <w:tcPr>
                  <w:tcW w:w="2973" w:type="dxa"/>
                  <w:vMerge w:val="continue"/>
                  <w:vAlign w:val="center"/>
                </w:tcPr>
                <w:p w14:paraId="44CAE4E4">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p>
              </w:tc>
              <w:tc>
                <w:tcPr>
                  <w:tcW w:w="1727" w:type="dxa"/>
                  <w:vMerge w:val="continue"/>
                  <w:vAlign w:val="center"/>
                </w:tcPr>
                <w:p w14:paraId="756E9FC3">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p>
              </w:tc>
              <w:tc>
                <w:tcPr>
                  <w:tcW w:w="2764" w:type="dxa"/>
                  <w:vMerge w:val="continue"/>
                  <w:vAlign w:val="center"/>
                </w:tcPr>
                <w:p w14:paraId="6A8339EE">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p>
              </w:tc>
              <w:tc>
                <w:tcPr>
                  <w:tcW w:w="1303" w:type="dxa"/>
                  <w:vAlign w:val="center"/>
                </w:tcPr>
                <w:p w14:paraId="270F32AE">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20</w:t>
                  </w:r>
                </w:p>
              </w:tc>
              <w:tc>
                <w:tcPr>
                  <w:tcW w:w="1736" w:type="dxa"/>
                  <w:vAlign w:val="center"/>
                </w:tcPr>
                <w:p w14:paraId="39E0131C">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50</w:t>
                  </w:r>
                </w:p>
              </w:tc>
              <w:tc>
                <w:tcPr>
                  <w:tcW w:w="1738" w:type="dxa"/>
                  <w:vAlign w:val="center"/>
                </w:tcPr>
                <w:p w14:paraId="365F2B19">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5</w:t>
                  </w:r>
                </w:p>
              </w:tc>
            </w:tr>
            <w:tr w14:paraId="167DD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dxa"/>
                  <w:vAlign w:val="center"/>
                </w:tcPr>
                <w:p w14:paraId="5E1ADAA6">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SS</w:t>
                  </w:r>
                </w:p>
              </w:tc>
              <w:tc>
                <w:tcPr>
                  <w:tcW w:w="2973" w:type="dxa"/>
                  <w:vMerge w:val="continue"/>
                  <w:vAlign w:val="center"/>
                </w:tcPr>
                <w:p w14:paraId="5BC27C2E">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p>
              </w:tc>
              <w:tc>
                <w:tcPr>
                  <w:tcW w:w="1727" w:type="dxa"/>
                  <w:vMerge w:val="continue"/>
                  <w:vAlign w:val="center"/>
                </w:tcPr>
                <w:p w14:paraId="3670CC75">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p>
              </w:tc>
              <w:tc>
                <w:tcPr>
                  <w:tcW w:w="2764" w:type="dxa"/>
                  <w:vMerge w:val="continue"/>
                  <w:vAlign w:val="center"/>
                </w:tcPr>
                <w:p w14:paraId="604E15FC">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p>
              </w:tc>
              <w:tc>
                <w:tcPr>
                  <w:tcW w:w="1303" w:type="dxa"/>
                  <w:vAlign w:val="center"/>
                </w:tcPr>
                <w:p w14:paraId="16DA670C">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150</w:t>
                  </w:r>
                </w:p>
              </w:tc>
              <w:tc>
                <w:tcPr>
                  <w:tcW w:w="1736" w:type="dxa"/>
                  <w:vAlign w:val="center"/>
                </w:tcPr>
                <w:p w14:paraId="2363978F">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400</w:t>
                  </w:r>
                </w:p>
              </w:tc>
              <w:tc>
                <w:tcPr>
                  <w:tcW w:w="1738" w:type="dxa"/>
                  <w:vAlign w:val="center"/>
                </w:tcPr>
                <w:p w14:paraId="62789B89">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10</w:t>
                  </w:r>
                </w:p>
              </w:tc>
            </w:tr>
            <w:tr w14:paraId="78A3F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55" w:type="dxa"/>
                  <w:vAlign w:val="center"/>
                </w:tcPr>
                <w:p w14:paraId="13BA3942">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TP</w:t>
                  </w:r>
                </w:p>
              </w:tc>
              <w:tc>
                <w:tcPr>
                  <w:tcW w:w="2973" w:type="dxa"/>
                  <w:vMerge w:val="continue"/>
                  <w:vAlign w:val="center"/>
                </w:tcPr>
                <w:p w14:paraId="0FD8A336">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p>
              </w:tc>
              <w:tc>
                <w:tcPr>
                  <w:tcW w:w="1727" w:type="dxa"/>
                  <w:vMerge w:val="continue"/>
                  <w:vAlign w:val="center"/>
                </w:tcPr>
                <w:p w14:paraId="077EC6B8">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p>
              </w:tc>
              <w:tc>
                <w:tcPr>
                  <w:tcW w:w="2764" w:type="dxa"/>
                  <w:vMerge w:val="continue"/>
                  <w:vAlign w:val="center"/>
                </w:tcPr>
                <w:p w14:paraId="599FF57C">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p>
              </w:tc>
              <w:tc>
                <w:tcPr>
                  <w:tcW w:w="1303" w:type="dxa"/>
                  <w:vAlign w:val="center"/>
                </w:tcPr>
                <w:p w14:paraId="7AAF834B">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1.2</w:t>
                  </w:r>
                </w:p>
              </w:tc>
              <w:tc>
                <w:tcPr>
                  <w:tcW w:w="1736" w:type="dxa"/>
                  <w:vAlign w:val="center"/>
                </w:tcPr>
                <w:p w14:paraId="00C90D5F">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8</w:t>
                  </w:r>
                </w:p>
              </w:tc>
              <w:tc>
                <w:tcPr>
                  <w:tcW w:w="1738" w:type="dxa"/>
                  <w:vAlign w:val="center"/>
                </w:tcPr>
                <w:p w14:paraId="33C8D511">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0.5</w:t>
                  </w:r>
                </w:p>
              </w:tc>
            </w:tr>
          </w:tbl>
          <w:p w14:paraId="166B3A38">
            <w:pPr>
              <w:pStyle w:val="24"/>
              <w:keepNext w:val="0"/>
              <w:keepLines w:val="0"/>
              <w:numPr>
                <w:ilvl w:val="0"/>
                <w:numId w:val="0"/>
              </w:numPr>
              <w:suppressLineNumbers w:val="0"/>
              <w:adjustRightInd w:val="0"/>
              <w:snapToGrid w:val="0"/>
              <w:spacing w:before="0" w:beforeAutospacing="0" w:after="0" w:afterAutospacing="0"/>
              <w:ind w:left="480" w:leftChars="200" w:right="0" w:rightChars="0"/>
              <w:jc w:val="center"/>
              <w:outlineLvl w:val="0"/>
              <w:rPr>
                <w:rFonts w:hint="default" w:ascii="Times New Roman" w:hAnsi="Times New Roman" w:cs="Times New Roman"/>
                <w:b/>
                <w:bCs/>
                <w:snapToGrid w:val="0"/>
                <w:color w:val="auto"/>
                <w:kern w:val="2"/>
                <w:sz w:val="24"/>
                <w:szCs w:val="24"/>
                <w:lang w:val="en-US" w:eastAsia="zh-CN" w:bidi="ar-SA"/>
              </w:rPr>
            </w:pPr>
          </w:p>
        </w:tc>
      </w:tr>
    </w:tbl>
    <w:p w14:paraId="6590E5D7">
      <w:pPr>
        <w:pStyle w:val="24"/>
        <w:adjustRightInd w:val="0"/>
        <w:snapToGrid w:val="0"/>
        <w:spacing w:before="0" w:beforeAutospacing="0" w:after="0" w:afterAutospacing="0"/>
        <w:jc w:val="center"/>
        <w:outlineLvl w:val="0"/>
        <w:rPr>
          <w:rFonts w:cs="宋体"/>
          <w:color w:val="auto"/>
          <w:kern w:val="2"/>
          <w:szCs w:val="24"/>
        </w:rPr>
        <w:sectPr>
          <w:pgSz w:w="16840" w:h="11907" w:orient="landscape"/>
          <w:pgMar w:top="1800" w:right="1440" w:bottom="1800" w:left="1440" w:header="851" w:footer="851" w:gutter="0"/>
          <w:pgBorders w:offsetFrom="page">
            <w:top w:val="none" w:sz="0" w:space="0"/>
            <w:left w:val="none" w:sz="0" w:space="0"/>
            <w:bottom w:val="none" w:sz="0" w:space="0"/>
            <w:right w:val="none" w:sz="0" w:space="0"/>
          </w:pgBorders>
          <w:cols w:space="720" w:num="1"/>
          <w:docGrid w:linePitch="312" w:charSpace="0"/>
        </w:sectPr>
      </w:pPr>
    </w:p>
    <w:tbl>
      <w:tblPr>
        <w:tblStyle w:val="29"/>
        <w:tblW w:w="85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7"/>
        <w:gridCol w:w="8072"/>
      </w:tblGrid>
      <w:tr w14:paraId="1C26C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21" w:hRule="atLeast"/>
        </w:trPr>
        <w:tc>
          <w:tcPr>
            <w:tcW w:w="507" w:type="dxa"/>
            <w:noWrap w:val="0"/>
            <w:vAlign w:val="center"/>
          </w:tcPr>
          <w:p w14:paraId="7A623A4C">
            <w:pPr>
              <w:pStyle w:val="2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outlineLvl w:val="9"/>
              <w:rPr>
                <w:rFonts w:hint="default" w:cs="宋体"/>
                <w:color w:val="auto"/>
                <w:kern w:val="2"/>
                <w:szCs w:val="24"/>
                <w:vertAlign w:val="baseline"/>
              </w:rPr>
            </w:pPr>
            <w:r>
              <w:rPr>
                <w:rFonts w:hint="eastAsia" w:ascii="宋体" w:hAnsi="宋体" w:eastAsia="宋体" w:cs="宋体"/>
                <w:color w:val="auto"/>
                <w:kern w:val="2"/>
                <w:szCs w:val="24"/>
              </w:rPr>
              <w:t>运营期环境影响和保护措施</w:t>
            </w:r>
          </w:p>
        </w:tc>
        <w:tc>
          <w:tcPr>
            <w:tcW w:w="8072" w:type="dxa"/>
            <w:noWrap w:val="0"/>
            <w:vAlign w:val="top"/>
          </w:tcPr>
          <w:p w14:paraId="738FB612">
            <w:pPr>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建筑</w:t>
            </w:r>
            <w:r>
              <w:rPr>
                <w:rFonts w:hint="default" w:cs="Times New Roman"/>
                <w:color w:val="auto"/>
                <w:lang w:val="en-US" w:eastAsia="zh-CN"/>
              </w:rPr>
              <w:t>陶瓷产业园污水处理厂日处理</w:t>
            </w:r>
            <w:r>
              <w:rPr>
                <w:rFonts w:hint="eastAsia" w:cs="Times New Roman"/>
                <w:color w:val="auto"/>
                <w:lang w:val="en-US" w:eastAsia="zh-CN"/>
              </w:rPr>
              <w:t>污</w:t>
            </w:r>
            <w:r>
              <w:rPr>
                <w:rFonts w:hint="default" w:cs="Times New Roman"/>
                <w:color w:val="auto"/>
                <w:lang w:val="en-US" w:eastAsia="zh-CN"/>
              </w:rPr>
              <w:t>水30000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cs="Times New Roman"/>
                <w:color w:val="auto"/>
                <w:lang w:val="en-US" w:eastAsia="zh-CN"/>
              </w:rPr>
              <w:t>/d，处理工艺为“粗细格栅+调节池+生化池+配水井+二沉池+调节池+高密度沉淀池+V型滤池+除氟系统+消毒计量池”组合工艺，污水处理厂尾水水质满足《城镇污水处理厂污染物排放标准》（GB18918-2002）级A标准要求后排入肖江。</w:t>
            </w:r>
          </w:p>
          <w:p w14:paraId="24DEEEEC">
            <w:pPr>
              <w:keepNext w:val="0"/>
              <w:keepLines w:val="0"/>
              <w:suppressLineNumbers w:val="0"/>
              <w:bidi w:val="0"/>
              <w:spacing w:before="0" w:beforeAutospacing="0" w:after="0" w:afterAutospacing="0"/>
              <w:ind w:left="0" w:leftChars="0" w:right="0" w:firstLine="480" w:firstLineChars="200"/>
              <w:rPr>
                <w:rFonts w:hint="default" w:cs="Times New Roman"/>
                <w:color w:val="auto"/>
                <w:lang w:val="en-US" w:eastAsia="zh-CN"/>
              </w:rPr>
            </w:pPr>
            <w:r>
              <w:rPr>
                <w:rFonts w:hint="default" w:cs="Times New Roman"/>
                <w:color w:val="auto"/>
                <w:lang w:val="en-US" w:eastAsia="zh-CN"/>
              </w:rPr>
              <w:t>本项目废水生活污水经化粪池预处理后主要污染物排放浓度能满足</w:t>
            </w:r>
            <w:r>
              <w:rPr>
                <w:rFonts w:hint="eastAsia" w:cs="Times New Roman"/>
                <w:color w:val="auto"/>
                <w:lang w:val="en-US" w:eastAsia="zh-CN"/>
              </w:rPr>
              <w:t>建筑</w:t>
            </w:r>
            <w:r>
              <w:rPr>
                <w:rFonts w:hint="default" w:cs="Times New Roman"/>
                <w:color w:val="auto"/>
                <w:lang w:val="en-US" w:eastAsia="zh-CN"/>
              </w:rPr>
              <w:t>陶瓷产业园污水处理厂接管标准，区域市政污水管网已建成，项目废水排放量为</w:t>
            </w:r>
            <w:r>
              <w:rPr>
                <w:rFonts w:hint="eastAsia" w:cs="Times New Roman"/>
                <w:color w:val="auto"/>
                <w:lang w:val="en-US" w:eastAsia="zh-CN"/>
              </w:rPr>
              <w:t>720</w:t>
            </w:r>
            <w:r>
              <w:rPr>
                <w:rFonts w:hint="default" w:cs="Times New Roman"/>
                <w:color w:val="auto"/>
                <w:lang w:val="en-US" w:eastAsia="zh-CN"/>
              </w:rPr>
              <w:t>t/a（</w:t>
            </w:r>
            <w:r>
              <w:rPr>
                <w:rFonts w:hint="eastAsia" w:cs="Times New Roman"/>
                <w:color w:val="auto"/>
                <w:lang w:val="en-US" w:eastAsia="zh-CN"/>
              </w:rPr>
              <w:t>2.4</w:t>
            </w:r>
            <w:r>
              <w:rPr>
                <w:rFonts w:hint="default" w:cs="Times New Roman"/>
                <w:color w:val="auto"/>
                <w:lang w:val="en-US" w:eastAsia="zh-CN"/>
              </w:rPr>
              <w:t>t/d），本项目排水量约占</w:t>
            </w:r>
            <w:r>
              <w:rPr>
                <w:rFonts w:hint="eastAsia" w:cs="Times New Roman"/>
                <w:color w:val="auto"/>
                <w:lang w:val="en-US" w:eastAsia="zh-CN"/>
              </w:rPr>
              <w:t>建筑</w:t>
            </w:r>
            <w:r>
              <w:rPr>
                <w:rFonts w:hint="default" w:cs="Times New Roman"/>
                <w:color w:val="auto"/>
                <w:lang w:val="en-US" w:eastAsia="zh-CN"/>
              </w:rPr>
              <w:t>陶瓷产业园污水处理厂剩余处理能力 12700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cs="Times New Roman"/>
                <w:color w:val="auto"/>
                <w:lang w:val="en-US" w:eastAsia="zh-CN"/>
              </w:rPr>
              <w:t>/d的0.0</w:t>
            </w:r>
            <w:r>
              <w:rPr>
                <w:rFonts w:hint="eastAsia" w:cs="Times New Roman"/>
                <w:color w:val="auto"/>
                <w:lang w:val="en-US" w:eastAsia="zh-CN"/>
              </w:rPr>
              <w:t>2</w:t>
            </w:r>
            <w:r>
              <w:rPr>
                <w:rFonts w:hint="default" w:cs="Times New Roman"/>
                <w:color w:val="auto"/>
                <w:lang w:val="en-US" w:eastAsia="zh-CN"/>
              </w:rPr>
              <w:t>%，故</w:t>
            </w:r>
            <w:r>
              <w:rPr>
                <w:rFonts w:hint="eastAsia" w:cs="Times New Roman"/>
                <w:color w:val="auto"/>
                <w:lang w:val="en-US" w:eastAsia="zh-CN"/>
              </w:rPr>
              <w:t>建筑</w:t>
            </w:r>
            <w:r>
              <w:rPr>
                <w:rFonts w:hint="default" w:cs="Times New Roman"/>
                <w:color w:val="auto"/>
                <w:lang w:val="en-US" w:eastAsia="zh-CN"/>
              </w:rPr>
              <w:t>陶瓷产业园污水处理厂可接纳本项目废水。</w:t>
            </w:r>
          </w:p>
          <w:p w14:paraId="70E892A3">
            <w:pPr>
              <w:keepNext w:val="0"/>
              <w:keepLines w:val="0"/>
              <w:numPr>
                <w:ilvl w:val="0"/>
                <w:numId w:val="0"/>
              </w:numPr>
              <w:suppressLineNumbers w:val="0"/>
              <w:bidi w:val="0"/>
              <w:spacing w:before="0" w:beforeAutospacing="0" w:after="0" w:afterAutospacing="0"/>
              <w:ind w:left="0" w:leftChars="0" w:right="0" w:rightChars="0" w:firstLine="480" w:firstLineChars="200"/>
              <w:rPr>
                <w:rFonts w:hint="eastAsia" w:cs="Times New Roman"/>
                <w:color w:val="auto"/>
                <w:lang w:val="en-US" w:eastAsia="zh-CN"/>
              </w:rPr>
            </w:pPr>
            <w:r>
              <w:rPr>
                <w:rFonts w:hint="eastAsia" w:ascii="Times New Roman" w:hAnsi="Times New Roman" w:eastAsia="宋体" w:cs="Times New Roman"/>
                <w:color w:val="auto"/>
                <w:kern w:val="2"/>
                <w:sz w:val="24"/>
                <w:szCs w:val="24"/>
                <w:lang w:val="en-US" w:eastAsia="zh-CN" w:bidi="ar-SA"/>
              </w:rPr>
              <w:t>5）</w:t>
            </w:r>
            <w:r>
              <w:rPr>
                <w:rFonts w:hint="eastAsia" w:cs="Times New Roman"/>
                <w:color w:val="auto"/>
                <w:lang w:val="en-US" w:eastAsia="zh-CN"/>
              </w:rPr>
              <w:t>废水治理设施技术可行性分析</w:t>
            </w:r>
          </w:p>
          <w:p w14:paraId="469B0954">
            <w:pPr>
              <w:keepNext w:val="0"/>
              <w:keepLines w:val="0"/>
              <w:numPr>
                <w:ilvl w:val="0"/>
                <w:numId w:val="0"/>
              </w:numPr>
              <w:suppressLineNumbers w:val="0"/>
              <w:bidi w:val="0"/>
              <w:spacing w:before="0" w:beforeAutospacing="0" w:after="0" w:afterAutospacing="0"/>
              <w:ind w:left="0" w:leftChars="0" w:right="0" w:rightChars="0" w:firstLine="480" w:firstLineChars="200"/>
              <w:rPr>
                <w:rFonts w:hint="eastAsia" w:cs="Times New Roman"/>
                <w:color w:val="auto"/>
                <w:lang w:val="en-US" w:eastAsia="zh-CN"/>
              </w:rPr>
            </w:pPr>
            <w:r>
              <w:rPr>
                <w:rFonts w:hint="eastAsia" w:cs="Times New Roman"/>
                <w:color w:val="auto"/>
                <w:lang w:val="en-US" w:eastAsia="zh-CN"/>
              </w:rPr>
              <w:t>本环评建议废水分类收集，分质处理。各类废水收集处理方式见下文。</w:t>
            </w:r>
          </w:p>
          <w:p w14:paraId="3169B2A6">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（1）生活污水</w:t>
            </w:r>
          </w:p>
          <w:p w14:paraId="5015B2DD">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外排废水来自员工活动产生的生活污水，主要污染因子为CODCr、BOD5、SS、NH3-N、TN、TP、动植物油。根据“《排污许可证申请与核发技术规范总则》（HJ942-2018）中4.5.3.1”，废水污染治理工艺分为一级处理（过滤、沉淀、气浮、其他），二级处理（A/O、A2/O、SBR、活性污泥法、生物接触氧化、其他）、深度处理（超滤/纳滤、反渗透、吸附过滤、蒸发结晶、其他）、其他。本项目生活污水处理工艺为隔油池+化粪池，属于可行技术。化粪池是一种利用沉淀和厌氧发酵的原理，去除生活污水中悬浮性有机物的处理设施，属于初级的过渡性生活处理构筑物，可有效处理粪便等，属于可行性技术。</w:t>
            </w:r>
          </w:p>
          <w:p w14:paraId="69E45726">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（2）洗车废水和养护废水</w:t>
            </w:r>
          </w:p>
          <w:p w14:paraId="5728A62F">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本项目洗车废水和养护废水进沉淀池沉淀后，采用絮凝沉淀处理后</w:t>
            </w:r>
            <w:r>
              <w:rPr>
                <w:rFonts w:hint="eastAsia" w:cs="Times New Roman"/>
                <w:color w:val="auto"/>
                <w:lang w:val="en-US" w:eastAsia="zh-CN"/>
              </w:rPr>
              <w:t>达到</w:t>
            </w:r>
            <w:r>
              <w:rPr>
                <w:rFonts w:hint="default" w:ascii="Times New Roman" w:hAnsi="Times New Roman" w:eastAsia="宋体" w:cs="Times New Roman"/>
                <w:color w:val="auto"/>
                <w:lang w:val="en-US" w:eastAsia="zh-CN"/>
              </w:rPr>
              <w:t>《城市污水再生利用工业用水水质》（GB/T19923-2024）中洗涤水标准、《无机化学工业污染物排放标准》（GB31573-2015）和《工业废水铊污染物排放标准》（DB36/1149-2019）标准后回用，本项目依托现有一个容积为</w:t>
            </w:r>
            <w:r>
              <w:rPr>
                <w:rFonts w:hint="eastAsia" w:cs="Times New Roman"/>
                <w:color w:val="auto"/>
                <w:lang w:val="en-US" w:eastAsia="zh-CN"/>
              </w:rPr>
              <w:t>50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的沉淀池，通过管道和导流槽收集，车辆冲洗废水和养护废水通过沉淀池处理后回</w:t>
            </w:r>
            <w:r>
              <w:rPr>
                <w:rFonts w:hint="eastAsia" w:cs="Times New Roman"/>
                <w:color w:val="auto"/>
                <w:lang w:val="en-US" w:eastAsia="zh-CN"/>
              </w:rPr>
              <w:t>用于</w:t>
            </w:r>
            <w:r>
              <w:rPr>
                <w:rFonts w:hint="default" w:ascii="Times New Roman" w:hAnsi="Times New Roman" w:eastAsia="宋体" w:cs="Times New Roman"/>
                <w:color w:val="auto"/>
                <w:lang w:val="en-US" w:eastAsia="zh-CN"/>
              </w:rPr>
              <w:t>洗车及降尘。洗车用水可能会含有部分一价铊，其毒性大，通过定期投加氧化剂将一价铊氧化为三价铊，降低毒性。同时在沉淀池投加PAM、PAC，利用PAM、PAC絮状物吸附并提高沉淀效果。项目洗车用水和降尘用水对水质要求不高，经上述处理后可满足水质要求。根据上述计算，养护废水及洗车废水可满足《城市污水再生利用工业用水水质》（GB/T19923-2024）、《无机化学工业污染物排放标准》（GB31573-2015）和《工业废水铊污染物排放标准》（DB36/1149-2019）标准中的较严值。因此，洗车废水和养护废水经沉淀后水质</w:t>
            </w:r>
            <w:r>
              <w:rPr>
                <w:rFonts w:hint="eastAsia" w:cs="Times New Roman"/>
                <w:color w:val="auto"/>
                <w:lang w:val="en-US" w:eastAsia="zh-CN"/>
              </w:rPr>
              <w:t>可</w:t>
            </w:r>
            <w:r>
              <w:rPr>
                <w:rFonts w:hint="default" w:ascii="Times New Roman" w:hAnsi="Times New Roman" w:eastAsia="宋体" w:cs="Times New Roman"/>
                <w:color w:val="auto"/>
                <w:lang w:val="en-US" w:eastAsia="zh-CN"/>
              </w:rPr>
              <w:t>达回用标准。综上，项目洗车废水和养护废水回用可行。</w:t>
            </w:r>
          </w:p>
          <w:p w14:paraId="2E3C624B">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（3）初期雨水</w:t>
            </w:r>
          </w:p>
          <w:p w14:paraId="7A977DF0">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初期雨水采用氧化+除铊除氟+絮凝沉淀处理后回用于厂区降尘。</w:t>
            </w:r>
          </w:p>
          <w:p w14:paraId="20C76BDB">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初期雨水可能会含有部分一价铊，其毒性大，且不易降解，通过投加氧化剂（双氧水）将一价铊氧化为三价铊，降低毒性。经氧化后的三价铊废水进行二级反应池，在此投加</w:t>
            </w:r>
            <w:bookmarkStart w:id="7" w:name="OLE_LINK41"/>
            <w:r>
              <w:rPr>
                <w:rFonts w:hint="default" w:ascii="Times New Roman" w:hAnsi="Times New Roman" w:eastAsia="宋体" w:cs="Times New Roman"/>
                <w:color w:val="auto"/>
                <w:lang w:val="en-US" w:eastAsia="zh-CN"/>
              </w:rPr>
              <w:t>高分子</w:t>
            </w:r>
            <w:bookmarkEnd w:id="7"/>
            <w:r>
              <w:rPr>
                <w:rFonts w:hint="default" w:ascii="Times New Roman" w:hAnsi="Times New Roman" w:eastAsia="宋体" w:cs="Times New Roman"/>
                <w:color w:val="auto"/>
                <w:lang w:val="en-US" w:eastAsia="zh-CN"/>
              </w:rPr>
              <w:t>络合剂，利用络合作用与三价铊络合为难溶于水的沉淀物，便于后续沉淀去除铊。经络合的铊沉淀物颗粒较小，沉淀效果不佳，在三级反应池投加少量PAM、PAC、石灰，利用PAM、PAC絮状物吸附并提高沉淀效果，利用石灰与氟化物反应生产氟化钙，去除氟化物。最终沉淀进行泥水分离。经沉淀后的上清液铊离子基本达标。确保出水完全合格后回用。</w:t>
            </w:r>
          </w:p>
          <w:p w14:paraId="1D817A37">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除铊、铍、氟方程式如下：</w:t>
            </w:r>
          </w:p>
          <w:p w14:paraId="0B3A58AA">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4Tl++2H2O2→4TI3++2H2O+O2↑</w:t>
            </w:r>
          </w:p>
          <w:p w14:paraId="58682C93">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Tl3++3OH-→Tl(OH)3↓</w:t>
            </w:r>
          </w:p>
          <w:p w14:paraId="2F82F3CC">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Rx-+XTl3+→TlxR↓(R代表重金属捕捉剂的络合阴离子基团</w:t>
            </w:r>
            <w:r>
              <w:rPr>
                <w:rFonts w:hint="eastAsia" w:cs="Times New Roman"/>
                <w:color w:val="auto"/>
                <w:lang w:val="en-US" w:eastAsia="zh-CN"/>
              </w:rPr>
              <w:t>）</w:t>
            </w:r>
          </w:p>
          <w:p w14:paraId="4DCF9E45">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Be2++2OH-→Be(OH)2↓</w:t>
            </w:r>
          </w:p>
          <w:p w14:paraId="30F789A5">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Al3++3F-=Al(F)3↓</w:t>
            </w:r>
          </w:p>
          <w:p w14:paraId="23684AD9">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Ca2++F-→CaF2↓</w:t>
            </w:r>
          </w:p>
          <w:p w14:paraId="730C1A61">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本工艺流程具有以下3特点：</w:t>
            </w:r>
          </w:p>
          <w:p w14:paraId="325CFA3E">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①本工艺采用预处理+综合沉淀处理，</w:t>
            </w:r>
            <w:r>
              <w:rPr>
                <w:rFonts w:hint="eastAsia" w:cs="Times New Roman"/>
                <w:color w:val="auto"/>
                <w:lang w:val="en-US" w:eastAsia="zh-CN"/>
              </w:rPr>
              <w:t>先</w:t>
            </w:r>
            <w:r>
              <w:rPr>
                <w:rFonts w:hint="default" w:ascii="Times New Roman" w:hAnsi="Times New Roman" w:eastAsia="宋体" w:cs="Times New Roman"/>
                <w:color w:val="auto"/>
                <w:lang w:val="en-US" w:eastAsia="zh-CN"/>
              </w:rPr>
              <w:t>利用氧化剂将一价铊氧化为三价铊，降低毒性，同时提高沉淀效果。</w:t>
            </w:r>
          </w:p>
          <w:p w14:paraId="33F8F1DE">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②利用络合药物提高三价铊的共沉率，确保出水达标。</w:t>
            </w:r>
          </w:p>
          <w:p w14:paraId="3A2131BD">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工艺流程详见下图：</w:t>
            </w:r>
          </w:p>
          <w:p w14:paraId="2CD05E4D">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drawing>
                <wp:anchor distT="0" distB="0" distL="0" distR="0" simplePos="0" relativeHeight="251661312" behindDoc="0" locked="0" layoutInCell="1" allowOverlap="1">
                  <wp:simplePos x="0" y="0"/>
                  <wp:positionH relativeFrom="column">
                    <wp:posOffset>561975</wp:posOffset>
                  </wp:positionH>
                  <wp:positionV relativeFrom="paragraph">
                    <wp:posOffset>247650</wp:posOffset>
                  </wp:positionV>
                  <wp:extent cx="3569335" cy="2889250"/>
                  <wp:effectExtent l="0" t="0" r="12065" b="6350"/>
                  <wp:wrapTopAndBottom/>
                  <wp:docPr id="52428866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288669" name="图片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3569335" cy="2889250"/>
                          </a:xfrm>
                          <a:prstGeom prst="rect">
                            <a:avLst/>
                          </a:prstGeom>
                          <a:noFill/>
                          <a:ln>
                            <a:noFill/>
                          </a:ln>
                        </pic:spPr>
                      </pic:pic>
                    </a:graphicData>
                  </a:graphic>
                </wp:anchor>
              </w:drawing>
            </w:r>
          </w:p>
          <w:p w14:paraId="391B7DD7">
            <w:pPr>
              <w:keepNext w:val="0"/>
              <w:keepLines w:val="0"/>
              <w:suppressLineNumbers w:val="0"/>
              <w:bidi w:val="0"/>
              <w:spacing w:before="0" w:beforeAutospacing="0" w:after="0" w:afterAutospacing="0"/>
              <w:ind w:left="0" w:leftChars="0" w:right="0" w:firstLine="480" w:firstLineChars="20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图4-</w:t>
            </w:r>
            <w:r>
              <w:rPr>
                <w:rFonts w:hint="eastAsia" w:cs="Times New Roman"/>
                <w:color w:val="auto"/>
                <w:lang w:val="en-US" w:eastAsia="zh-CN"/>
              </w:rPr>
              <w:t>1</w:t>
            </w:r>
            <w:r>
              <w:rPr>
                <w:rFonts w:hint="default" w:ascii="Times New Roman" w:hAnsi="Times New Roman" w:eastAsia="宋体" w:cs="Times New Roman"/>
                <w:color w:val="auto"/>
                <w:lang w:val="en-US" w:eastAsia="zh-CN"/>
              </w:rPr>
              <w:t xml:space="preserve">  初期雨水处理工艺流程图</w:t>
            </w:r>
          </w:p>
          <w:p w14:paraId="3761B96D">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项目厂区初期雨水收集面积约12000m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lang w:val="en-US" w:eastAsia="zh-CN"/>
              </w:rPr>
              <w:t>，建设单位需对初期雨水进行收集和处理，以减少对周围地表水的不利影响，通过对租赁厂房四周设置</w:t>
            </w:r>
            <w:r>
              <w:rPr>
                <w:rFonts w:hint="eastAsia" w:cs="Times New Roman"/>
                <w:color w:val="auto"/>
                <w:lang w:val="en-US" w:eastAsia="zh-CN"/>
              </w:rPr>
              <w:t>围堰</w:t>
            </w:r>
            <w:r>
              <w:rPr>
                <w:rFonts w:hint="default" w:ascii="Times New Roman" w:hAnsi="Times New Roman" w:eastAsia="宋体" w:cs="Times New Roman"/>
                <w:color w:val="auto"/>
                <w:lang w:val="en-US" w:eastAsia="zh-CN"/>
              </w:rPr>
              <w:t>收集租赁厂房初期雨水，再经氧化+除铊除氟+絮凝沉淀（960t/d）处理后达到《城市污水再生利用工业用水水质》（GB/T19923-2024）、《无机化学工业污染物排放标准》（GB31573-2015）和《工业废水铊污染物排放标准》（DB36/1149-2019）标准后，回用于抑尘用水。本项目依托现有工程初期雨水池一座，容积为960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，位于租赁1#厂房外东北侧，本项目一次初期雨水的收集量为</w:t>
            </w:r>
            <w:r>
              <w:rPr>
                <w:rFonts w:hint="eastAsia" w:cs="Times New Roman"/>
                <w:color w:val="auto"/>
                <w:lang w:val="en-US" w:eastAsia="zh-CN"/>
              </w:rPr>
              <w:t>36</w:t>
            </w:r>
            <w:r>
              <w:rPr>
                <w:rFonts w:hint="default" w:ascii="Times New Roman" w:hAnsi="Times New Roman" w:eastAsia="宋体" w:cs="Times New Roman"/>
                <w:color w:val="auto"/>
                <w:lang w:val="en-US" w:eastAsia="zh-CN"/>
              </w:rPr>
              <w:t>0m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，因此初期雨水池容积可行。项目初期雨水产生量为</w:t>
            </w:r>
            <w:r>
              <w:rPr>
                <w:rFonts w:hint="eastAsia" w:cs="Times New Roman"/>
                <w:color w:val="auto"/>
                <w:lang w:val="en-US" w:eastAsia="zh-CN"/>
              </w:rPr>
              <w:t>12</w:t>
            </w:r>
            <w:r>
              <w:rPr>
                <w:rFonts w:hint="default" w:ascii="Times New Roman" w:hAnsi="Times New Roman" w:eastAsia="宋体" w:cs="Times New Roman"/>
                <w:color w:val="auto"/>
                <w:lang w:val="en-US" w:eastAsia="zh-CN"/>
              </w:rPr>
              <w:t>t/d，本项目抑尘用水量为</w:t>
            </w:r>
            <w:r>
              <w:rPr>
                <w:rFonts w:hint="eastAsia" w:cs="Times New Roman"/>
                <w:color w:val="auto"/>
                <w:lang w:val="en-US" w:eastAsia="zh-CN"/>
              </w:rPr>
              <w:t>14</w:t>
            </w:r>
            <w:r>
              <w:rPr>
                <w:rFonts w:hint="default" w:ascii="Times New Roman" w:hAnsi="Times New Roman" w:eastAsia="宋体" w:cs="Times New Roman"/>
                <w:color w:val="auto"/>
                <w:lang w:val="en-US" w:eastAsia="zh-CN"/>
              </w:rPr>
              <w:t>t/d，本项目产生的初期雨水可完全被消纳。</w:t>
            </w:r>
          </w:p>
          <w:p w14:paraId="42E58966">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根据上述计算，初期雨水回用水可满足《城市污水再生利用工业用水水质》（GB/T19923-2024）、《无机化学工业污染物排放标准》（GB31573-2015）和《工业废水铊污染物排放</w:t>
            </w:r>
            <w:r>
              <w:rPr>
                <w:rFonts w:hint="eastAsia" w:cs="Times New Roman"/>
                <w:color w:val="auto"/>
                <w:lang w:val="en-US" w:eastAsia="zh-CN"/>
              </w:rPr>
              <w:t>》</w:t>
            </w:r>
            <w:r>
              <w:rPr>
                <w:rFonts w:hint="default" w:ascii="Times New Roman" w:hAnsi="Times New Roman" w:eastAsia="宋体" w:cs="Times New Roman"/>
                <w:color w:val="auto"/>
                <w:lang w:val="en-US" w:eastAsia="zh-CN"/>
              </w:rPr>
              <w:t>（DB36/1149-2019）标准，因此，初期雨水经沉淀处理后回用是可行的。</w:t>
            </w:r>
          </w:p>
          <w:p w14:paraId="432843DE">
            <w:pPr>
              <w:keepNext w:val="0"/>
              <w:keepLines w:val="0"/>
              <w:suppressLineNumbers w:val="0"/>
              <w:bidi w:val="0"/>
              <w:spacing w:before="0" w:beforeAutospacing="0" w:after="0" w:afterAutospacing="0"/>
              <w:ind w:left="0" w:leftChars="0" w:right="0"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后期雨水排放时自动监测铊、氟化物含量，排入园区雨水管网，铊预警限值浓度为5μg/L（参照《工业废水铊污染物排放标准》（DB36/1149-2019）标准限值），氟化物预警限值浓度为2mg/L（参照《无机化学工业污染物排放标准》（GB31573-2015）的水污染物排放限值），超过预警限值浓度后立即停止排放；本项目仅生活污水外排至污水处理厂处理，其重金属等污染物均达标排放，故不会对项目附近水体带来不利影响。</w:t>
            </w:r>
          </w:p>
          <w:p w14:paraId="06D5E339">
            <w:pPr>
              <w:keepNext w:val="0"/>
              <w:keepLines w:val="0"/>
              <w:numPr>
                <w:ilvl w:val="0"/>
                <w:numId w:val="14"/>
              </w:numPr>
              <w:suppressLineNumbers w:val="0"/>
              <w:bidi w:val="0"/>
              <w:spacing w:before="0" w:beforeAutospacing="0" w:after="0" w:afterAutospacing="0"/>
              <w:ind w:left="0" w:leftChars="0" w:right="0" w:rightChars="0" w:firstLine="482" w:firstLineChars="200"/>
              <w:jc w:val="left"/>
              <w:rPr>
                <w:rFonts w:hint="eastAsia" w:cs="Times New Roman"/>
                <w:b/>
                <w:bCs/>
                <w:color w:val="auto"/>
                <w:lang w:val="en-US" w:eastAsia="zh-CN"/>
              </w:rPr>
            </w:pPr>
            <w:r>
              <w:rPr>
                <w:rFonts w:hint="eastAsia" w:cs="Times New Roman"/>
                <w:b/>
                <w:bCs/>
                <w:color w:val="auto"/>
                <w:lang w:val="en-US" w:eastAsia="zh-CN"/>
              </w:rPr>
              <w:t>监测计划</w:t>
            </w:r>
          </w:p>
          <w:p w14:paraId="62649306">
            <w:pPr>
              <w:pStyle w:val="129"/>
              <w:keepNext w:val="0"/>
              <w:keepLines w:val="0"/>
              <w:suppressLineNumbers w:val="0"/>
              <w:bidi w:val="0"/>
              <w:spacing w:before="0" w:beforeAutospacing="0" w:after="0" w:afterAutospacing="0"/>
              <w:ind w:left="0" w:right="0"/>
              <w:rPr>
                <w:rFonts w:hint="eastAsia"/>
                <w:color w:val="auto"/>
                <w:highlight w:val="none"/>
                <w:lang w:eastAsia="zh-CN"/>
              </w:rPr>
            </w:pPr>
            <w:r>
              <w:rPr>
                <w:rFonts w:hint="eastAsia"/>
                <w:color w:val="auto"/>
                <w:highlight w:val="none"/>
              </w:rPr>
              <w:t>根据本项目工程特点，并结合《排污许可证申请与核发技术规范总则》（HJ942-2018）、《排污许可证申请与核发技术规范废弃资源加工工业》（HJ1034）和《排污单位自行监测技术指南</w:t>
            </w:r>
            <w:r>
              <w:rPr>
                <w:rFonts w:hint="eastAsia"/>
                <w:color w:val="auto"/>
                <w:highlight w:val="none"/>
                <w:lang w:val="en-US" w:eastAsia="zh-CN"/>
              </w:rPr>
              <w:t xml:space="preserve"> </w:t>
            </w:r>
            <w:r>
              <w:rPr>
                <w:rFonts w:hint="eastAsia"/>
                <w:color w:val="auto"/>
                <w:highlight w:val="none"/>
              </w:rPr>
              <w:t>砖瓦工业》（HJ1254-2022）</w:t>
            </w:r>
            <w:r>
              <w:rPr>
                <w:rFonts w:hint="eastAsia"/>
                <w:color w:val="auto"/>
                <w:highlight w:val="none"/>
                <w:lang w:eastAsia="zh-CN"/>
              </w:rPr>
              <w:t>、</w:t>
            </w:r>
            <w:r>
              <w:rPr>
                <w:rFonts w:hint="eastAsia"/>
                <w:color w:val="auto"/>
                <w:highlight w:val="none"/>
              </w:rPr>
              <w:t>《宜春市涉锂电主要行业生态环境监管标准（试行）》（宜环委办字〔</w:t>
            </w:r>
            <w:r>
              <w:rPr>
                <w:rFonts w:hint="default"/>
                <w:color w:val="auto"/>
                <w:highlight w:val="none"/>
              </w:rPr>
              <w:t>2023</w:t>
            </w:r>
            <w:r>
              <w:rPr>
                <w:rFonts w:hint="eastAsia"/>
                <w:color w:val="auto"/>
                <w:highlight w:val="none"/>
              </w:rPr>
              <w:t>〕</w:t>
            </w:r>
            <w:r>
              <w:rPr>
                <w:rFonts w:hint="default"/>
                <w:color w:val="auto"/>
                <w:highlight w:val="none"/>
              </w:rPr>
              <w:t>2号）</w:t>
            </w:r>
            <w:r>
              <w:rPr>
                <w:rFonts w:hint="eastAsia" w:ascii="Times New Roman" w:hAnsi="Times New Roman" w:eastAsia="宋体" w:cs="Times New Roman"/>
                <w:color w:val="auto"/>
                <w:highlight w:val="none"/>
              </w:rPr>
              <w:t>各项</w:t>
            </w:r>
            <w:r>
              <w:rPr>
                <w:rFonts w:hint="default"/>
                <w:color w:val="auto"/>
                <w:spacing w:val="-1"/>
              </w:rPr>
              <w:t>要求</w:t>
            </w:r>
            <w:r>
              <w:rPr>
                <w:rFonts w:hint="eastAsia"/>
                <w:color w:val="auto"/>
                <w:highlight w:val="none"/>
              </w:rPr>
              <w:t>的相关规定，本项目废水</w:t>
            </w:r>
            <w:r>
              <w:rPr>
                <w:rFonts w:hint="eastAsia"/>
                <w:color w:val="auto"/>
                <w:highlight w:val="none"/>
                <w:lang w:eastAsia="zh-CN"/>
              </w:rPr>
              <w:t>自行监测计划见</w:t>
            </w:r>
            <w:r>
              <w:rPr>
                <w:rFonts w:hint="eastAsia"/>
                <w:color w:val="auto"/>
                <w:highlight w:val="none"/>
              </w:rPr>
              <w:t>下表</w:t>
            </w:r>
            <w:r>
              <w:rPr>
                <w:rFonts w:hint="eastAsia"/>
                <w:color w:val="auto"/>
                <w:highlight w:val="none"/>
                <w:lang w:eastAsia="zh-CN"/>
              </w:rPr>
              <w:t>。</w:t>
            </w:r>
          </w:p>
          <w:p w14:paraId="4F0BCA76">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项目废水监测计划</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0"/>
              <w:gridCol w:w="1301"/>
              <w:gridCol w:w="2030"/>
              <w:gridCol w:w="1108"/>
              <w:gridCol w:w="2837"/>
            </w:tblGrid>
            <w:tr w14:paraId="785B3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3" w:type="pct"/>
                  <w:vAlign w:val="center"/>
                </w:tcPr>
                <w:p w14:paraId="63AA5D24">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类别</w:t>
                  </w:r>
                </w:p>
              </w:tc>
              <w:tc>
                <w:tcPr>
                  <w:tcW w:w="829" w:type="pct"/>
                  <w:vAlign w:val="center"/>
                </w:tcPr>
                <w:p w14:paraId="2BD44957">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监测地点及点位</w:t>
                  </w:r>
                </w:p>
              </w:tc>
              <w:tc>
                <w:tcPr>
                  <w:tcW w:w="1293" w:type="pct"/>
                  <w:vAlign w:val="center"/>
                </w:tcPr>
                <w:p w14:paraId="2FB02749">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监测项目</w:t>
                  </w:r>
                </w:p>
              </w:tc>
              <w:tc>
                <w:tcPr>
                  <w:tcW w:w="706" w:type="pct"/>
                  <w:vAlign w:val="center"/>
                </w:tcPr>
                <w:p w14:paraId="50A1DD57">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监测频率</w:t>
                  </w:r>
                </w:p>
              </w:tc>
              <w:tc>
                <w:tcPr>
                  <w:tcW w:w="1807" w:type="pct"/>
                  <w:vAlign w:val="center"/>
                </w:tcPr>
                <w:p w14:paraId="40B669E0">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执行标准</w:t>
                  </w:r>
                </w:p>
              </w:tc>
            </w:tr>
            <w:tr w14:paraId="7ED9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3" w:type="pct"/>
                  <w:vMerge w:val="restart"/>
                  <w:vAlign w:val="center"/>
                </w:tcPr>
                <w:p w14:paraId="3B841E39">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废水</w:t>
                  </w:r>
                </w:p>
              </w:tc>
              <w:tc>
                <w:tcPr>
                  <w:tcW w:w="829" w:type="pct"/>
                  <w:vAlign w:val="center"/>
                </w:tcPr>
                <w:p w14:paraId="3B437CAB">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废水总排放口</w:t>
                  </w:r>
                </w:p>
              </w:tc>
              <w:tc>
                <w:tcPr>
                  <w:tcW w:w="1293" w:type="pct"/>
                  <w:vAlign w:val="center"/>
                </w:tcPr>
                <w:p w14:paraId="42F23D8C">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流量、</w:t>
                  </w:r>
                  <w:r>
                    <w:rPr>
                      <w:rFonts w:hint="default" w:cs="Times New Roman"/>
                      <w:color w:val="auto"/>
                      <w:lang w:val="en-US" w:eastAsia="zh-CN"/>
                    </w:rPr>
                    <w:t>pH、 CODcr、 NH</w:t>
                  </w:r>
                  <w:r>
                    <w:rPr>
                      <w:rFonts w:hint="default" w:cs="Times New Roman"/>
                      <w:color w:val="auto"/>
                      <w:vertAlign w:val="subscript"/>
                      <w:lang w:val="en-US" w:eastAsia="zh-CN"/>
                    </w:rPr>
                    <w:t>3</w:t>
                  </w:r>
                  <w:r>
                    <w:rPr>
                      <w:rFonts w:hint="default" w:cs="Times New Roman"/>
                      <w:color w:val="auto"/>
                      <w:lang w:val="en-US" w:eastAsia="zh-CN"/>
                    </w:rPr>
                    <w:t>-N、BOD、SS、</w:t>
                  </w:r>
                  <w:r>
                    <w:rPr>
                      <w:rFonts w:hint="eastAsia" w:cs="Times New Roman"/>
                      <w:color w:val="auto"/>
                      <w:lang w:val="en-US" w:eastAsia="zh-CN"/>
                    </w:rPr>
                    <w:t>TP</w:t>
                  </w:r>
                </w:p>
              </w:tc>
              <w:tc>
                <w:tcPr>
                  <w:tcW w:w="706" w:type="pct"/>
                  <w:vAlign w:val="center"/>
                </w:tcPr>
                <w:p w14:paraId="3A9D0C22">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1次/半年</w:t>
                  </w:r>
                </w:p>
              </w:tc>
              <w:tc>
                <w:tcPr>
                  <w:tcW w:w="1807" w:type="pct"/>
                  <w:vAlign w:val="center"/>
                </w:tcPr>
                <w:p w14:paraId="21E1D69D">
                  <w:pPr>
                    <w:pStyle w:val="56"/>
                    <w:keepNext w:val="0"/>
                    <w:keepLines w:val="0"/>
                    <w:suppressLineNumbers w:val="0"/>
                    <w:bidi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建筑</w:t>
                  </w:r>
                  <w:r>
                    <w:rPr>
                      <w:rFonts w:hint="default" w:cs="Times New Roman"/>
                      <w:color w:val="auto"/>
                      <w:lang w:val="en-US" w:eastAsia="zh-CN"/>
                    </w:rPr>
                    <w:t>陶瓷产业园污水处理厂接管标准</w:t>
                  </w:r>
                </w:p>
              </w:tc>
            </w:tr>
            <w:tr w14:paraId="78972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3" w:type="pct"/>
                  <w:vMerge w:val="continue"/>
                  <w:vAlign w:val="center"/>
                </w:tcPr>
                <w:p w14:paraId="3182A088">
                  <w:pPr>
                    <w:pStyle w:val="56"/>
                    <w:keepNext w:val="0"/>
                    <w:keepLines w:val="0"/>
                    <w:suppressLineNumbers w:val="0"/>
                    <w:bidi w:val="0"/>
                    <w:spacing w:before="0" w:beforeAutospacing="0" w:after="0" w:afterAutospacing="0"/>
                    <w:ind w:left="0" w:right="0"/>
                    <w:jc w:val="center"/>
                    <w:rPr>
                      <w:rFonts w:hint="eastAsia" w:cs="Times New Roman"/>
                      <w:color w:val="auto"/>
                      <w:lang w:val="en-US" w:eastAsia="zh-CN"/>
                    </w:rPr>
                  </w:pPr>
                </w:p>
              </w:tc>
              <w:tc>
                <w:tcPr>
                  <w:tcW w:w="829" w:type="pct"/>
                  <w:vAlign w:val="center"/>
                </w:tcPr>
                <w:p w14:paraId="5B43595B">
                  <w:pPr>
                    <w:pStyle w:val="56"/>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olor w:val="auto"/>
                      <w:highlight w:val="none"/>
                      <w:lang w:val="en-US" w:eastAsia="zh-CN"/>
                    </w:rPr>
                    <w:t>雨水排放口</w:t>
                  </w:r>
                </w:p>
              </w:tc>
              <w:tc>
                <w:tcPr>
                  <w:tcW w:w="1293" w:type="pct"/>
                  <w:vAlign w:val="center"/>
                </w:tcPr>
                <w:p w14:paraId="2EDC011B">
                  <w:pPr>
                    <w:pStyle w:val="56"/>
                    <w:keepNext w:val="0"/>
                    <w:keepLines w:val="0"/>
                    <w:suppressLineNumbers w:val="0"/>
                    <w:bidi w:val="0"/>
                    <w:spacing w:before="0" w:beforeAutospacing="0" w:after="0" w:afterAutospacing="0"/>
                    <w:ind w:left="0" w:right="0"/>
                    <w:jc w:val="center"/>
                    <w:rPr>
                      <w:rFonts w:hint="eastAsia" w:eastAsia="宋体" w:cs="Times New Roman"/>
                      <w:color w:val="auto"/>
                      <w:lang w:val="en-US" w:eastAsia="zh-CN"/>
                    </w:rPr>
                  </w:pPr>
                  <w:r>
                    <w:rPr>
                      <w:rFonts w:hint="default"/>
                      <w:color w:val="auto"/>
                      <w:spacing w:val="7"/>
                      <w:highlight w:val="none"/>
                    </w:rPr>
                    <w:t>氟化物、铊</w:t>
                  </w:r>
                  <w:r>
                    <w:rPr>
                      <w:rFonts w:hint="eastAsia"/>
                      <w:color w:val="auto"/>
                      <w:spacing w:val="7"/>
                      <w:highlight w:val="none"/>
                      <w:lang w:eastAsia="zh-CN"/>
                    </w:rPr>
                    <w:t>、</w:t>
                  </w:r>
                  <w:r>
                    <w:rPr>
                      <w:rFonts w:hint="eastAsia" w:ascii="Times New Roman" w:hAnsi="Times New Roman" w:cs="Times New Roman"/>
                      <w:color w:val="auto"/>
                      <w:sz w:val="21"/>
                      <w:szCs w:val="21"/>
                      <w:vertAlign w:val="baseline"/>
                      <w:lang w:val="en-US" w:eastAsia="zh-CN"/>
                    </w:rPr>
                    <w:t>铍</w:t>
                  </w:r>
                </w:p>
              </w:tc>
              <w:tc>
                <w:tcPr>
                  <w:tcW w:w="706" w:type="pct"/>
                  <w:vAlign w:val="center"/>
                </w:tcPr>
                <w:p w14:paraId="2388DBA8">
                  <w:pPr>
                    <w:pStyle w:val="56"/>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color w:val="auto"/>
                      <w:highlight w:val="none"/>
                      <w:lang w:val="en-US" w:eastAsia="zh-CN"/>
                    </w:rPr>
                    <w:t>自动监测</w:t>
                  </w:r>
                </w:p>
              </w:tc>
              <w:tc>
                <w:tcPr>
                  <w:tcW w:w="1807" w:type="pct"/>
                  <w:vAlign w:val="center"/>
                </w:tcPr>
                <w:p w14:paraId="00662A6D">
                  <w:pPr>
                    <w:pStyle w:val="56"/>
                    <w:keepNext w:val="0"/>
                    <w:keepLines w:val="0"/>
                    <w:suppressLineNumbers w:val="0"/>
                    <w:bidi w:val="0"/>
                    <w:spacing w:before="0" w:beforeAutospacing="0" w:after="0" w:afterAutospacing="0"/>
                    <w:ind w:left="0" w:right="0"/>
                    <w:jc w:val="center"/>
                    <w:rPr>
                      <w:rFonts w:hint="eastAsia" w:cs="Times New Roman"/>
                      <w:color w:val="auto"/>
                      <w:lang w:val="en-US" w:eastAsia="zh-CN"/>
                    </w:rPr>
                  </w:pPr>
                  <w:r>
                    <w:rPr>
                      <w:rFonts w:hint="eastAsia" w:ascii="Times New Roman" w:hAnsi="Times New Roman" w:eastAsia="宋体" w:cs="Times New Roman"/>
                      <w:color w:val="auto"/>
                      <w:lang w:val="en-US" w:eastAsia="zh-CN"/>
                    </w:rPr>
                    <w:t>项目后期雨水铊预警限值浓度为2</w:t>
                  </w:r>
                  <w:r>
                    <w:rPr>
                      <w:rFonts w:hint="default" w:ascii="Times New Roman" w:hAnsi="Times New Roman" w:eastAsia="宋体" w:cs="Times New Roman"/>
                      <w:color w:val="auto"/>
                      <w:lang w:val="en-US" w:eastAsia="zh-CN"/>
                    </w:rPr>
                    <w:t>μ</w:t>
                  </w:r>
                  <w:r>
                    <w:rPr>
                      <w:rFonts w:hint="eastAsia" w:ascii="Times New Roman" w:hAnsi="Times New Roman" w:eastAsia="宋体" w:cs="Times New Roman"/>
                      <w:color w:val="auto"/>
                      <w:lang w:val="en-US" w:eastAsia="zh-CN"/>
                    </w:rPr>
                    <w:t>g/L（参照湖南省《工业废水铊污染物排放标准》（DB43/968-2021）的特别排放限值），铍预警限值浓度为0.005mg/L、氟化物预警限值浓度为2mg/L（参照《无机化学工业污染物排放标准》（GB31573-2015）的水污染物排放限值）</w:t>
                  </w:r>
                </w:p>
              </w:tc>
            </w:tr>
          </w:tbl>
          <w:p w14:paraId="1A09506C">
            <w:pPr>
              <w:keepNext w:val="0"/>
              <w:keepLines w:val="0"/>
              <w:numPr>
                <w:ilvl w:val="0"/>
                <w:numId w:val="0"/>
              </w:numPr>
              <w:suppressLineNumbers w:val="0"/>
              <w:bidi w:val="0"/>
              <w:spacing w:before="0" w:beforeAutospacing="0" w:after="0" w:afterAutospacing="0"/>
              <w:ind w:left="0" w:leftChars="0" w:right="0" w:rightChars="0" w:firstLine="482" w:firstLineChars="200"/>
              <w:rPr>
                <w:rFonts w:hint="default" w:cs="Times New Roman"/>
                <w:b/>
                <w:bCs/>
                <w:color w:val="auto"/>
                <w:lang w:val="en-US" w:eastAsia="zh-CN"/>
              </w:rPr>
            </w:pPr>
            <w:r>
              <w:rPr>
                <w:rFonts w:hint="eastAsia" w:cs="Times New Roman"/>
                <w:b/>
                <w:bCs/>
                <w:color w:val="auto"/>
                <w:kern w:val="2"/>
                <w:sz w:val="24"/>
                <w:szCs w:val="24"/>
                <w:lang w:val="en-US" w:eastAsia="zh-CN" w:bidi="ar-SA"/>
              </w:rPr>
              <w:t>6</w:t>
            </w:r>
            <w:r>
              <w:rPr>
                <w:rFonts w:hint="default" w:ascii="Times New Roman" w:hAnsi="Times New Roman" w:eastAsia="宋体" w:cs="Times New Roman"/>
                <w:b/>
                <w:bCs/>
                <w:color w:val="auto"/>
                <w:kern w:val="2"/>
                <w:sz w:val="24"/>
                <w:szCs w:val="24"/>
                <w:lang w:val="en-US" w:eastAsia="zh-CN" w:bidi="ar-SA"/>
              </w:rPr>
              <w:t>）</w:t>
            </w:r>
            <w:r>
              <w:rPr>
                <w:rFonts w:hint="default" w:cs="Times New Roman"/>
                <w:b/>
                <w:bCs/>
                <w:color w:val="auto"/>
                <w:lang w:val="en-US" w:eastAsia="zh-CN"/>
              </w:rPr>
              <w:t>环境影响分析</w:t>
            </w:r>
          </w:p>
          <w:p w14:paraId="1A2C6958">
            <w:pPr>
              <w:keepNext w:val="0"/>
              <w:keepLines w:val="0"/>
              <w:suppressLineNumbers w:val="0"/>
              <w:bidi w:val="0"/>
              <w:spacing w:before="0" w:beforeAutospacing="0" w:after="0" w:afterAutospacing="0"/>
              <w:ind w:left="0" w:right="0"/>
              <w:rPr>
                <w:rFonts w:hint="default" w:cs="Times New Roman"/>
                <w:color w:val="auto"/>
                <w:lang w:val="en-US" w:eastAsia="zh-CN"/>
              </w:rPr>
            </w:pPr>
            <w:r>
              <w:rPr>
                <w:rFonts w:hint="default" w:cs="Times New Roman"/>
                <w:color w:val="auto"/>
                <w:lang w:val="en-US" w:eastAsia="zh-CN"/>
              </w:rPr>
              <w:t>根据前面分析可知，项目生活污水经化粪池预处理后</w:t>
            </w:r>
            <w:r>
              <w:rPr>
                <w:rFonts w:hint="eastAsia" w:cs="Times New Roman"/>
                <w:color w:val="auto"/>
                <w:lang w:val="en-US" w:eastAsia="zh-CN"/>
              </w:rPr>
              <w:t>达到建筑</w:t>
            </w:r>
            <w:r>
              <w:rPr>
                <w:rFonts w:hint="default" w:cs="Times New Roman"/>
                <w:color w:val="auto"/>
                <w:lang w:val="en-US" w:eastAsia="zh-CN"/>
              </w:rPr>
              <w:t>陶瓷产业园污水处理厂接管标准要求后，通过市政污水管网排入</w:t>
            </w:r>
            <w:r>
              <w:rPr>
                <w:rFonts w:hint="eastAsia" w:cs="Times New Roman"/>
                <w:color w:val="auto"/>
                <w:lang w:val="en-US" w:eastAsia="zh-CN"/>
              </w:rPr>
              <w:t>建筑</w:t>
            </w:r>
            <w:r>
              <w:rPr>
                <w:rFonts w:hint="default" w:cs="Times New Roman"/>
                <w:color w:val="auto"/>
                <w:lang w:val="en-US" w:eastAsia="zh-CN"/>
              </w:rPr>
              <w:t>陶瓷产业园污水处理厂处理达到《城镇污水处理厂污染物排放标准》（GB18918-2002）一级A标准后，最终排入肖江。因此本次评价认为建设单位落实上述环保措施后，废水排放对周边地表水环境影响较小。</w:t>
            </w:r>
          </w:p>
          <w:p w14:paraId="7A35E2F9">
            <w:pPr>
              <w:keepNext w:val="0"/>
              <w:keepLines w:val="0"/>
              <w:suppressLineNumbers w:val="0"/>
              <w:bidi w:val="0"/>
              <w:spacing w:before="0" w:beforeAutospacing="0" w:after="0" w:afterAutospacing="0"/>
              <w:ind w:left="0" w:right="0"/>
              <w:rPr>
                <w:rFonts w:hint="default" w:eastAsia="宋体" w:cs="宋体"/>
                <w:color w:val="auto"/>
                <w:kern w:val="2"/>
                <w:szCs w:val="24"/>
                <w:vertAlign w:val="baseline"/>
                <w:lang w:val="en-US" w:eastAsia="zh-CN"/>
              </w:rPr>
            </w:pPr>
            <w:r>
              <w:rPr>
                <w:rFonts w:hint="default" w:eastAsia="宋体" w:cs="宋体"/>
                <w:color w:val="auto"/>
                <w:kern w:val="2"/>
                <w:szCs w:val="24"/>
                <w:vertAlign w:val="baseline"/>
                <w:lang w:val="en-US" w:eastAsia="zh-CN"/>
              </w:rPr>
              <w:t>3.噪声</w:t>
            </w:r>
          </w:p>
          <w:p w14:paraId="419F5B4F">
            <w:pPr>
              <w:keepNext w:val="0"/>
              <w:keepLines w:val="0"/>
              <w:suppressLineNumbers w:val="0"/>
              <w:bidi w:val="0"/>
              <w:spacing w:before="0" w:beforeAutospacing="0" w:after="0" w:afterAutospacing="0"/>
              <w:ind w:left="0" w:right="0"/>
              <w:rPr>
                <w:rFonts w:hint="default" w:eastAsia="宋体" w:cs="宋体"/>
                <w:color w:val="auto"/>
                <w:kern w:val="2"/>
                <w:szCs w:val="24"/>
                <w:vertAlign w:val="baseline"/>
                <w:lang w:val="en-US" w:eastAsia="zh-CN"/>
              </w:rPr>
            </w:pPr>
            <w:r>
              <w:rPr>
                <w:rFonts w:hint="default" w:eastAsia="宋体" w:cs="宋体"/>
                <w:color w:val="auto"/>
                <w:kern w:val="2"/>
                <w:szCs w:val="24"/>
                <w:vertAlign w:val="baseline"/>
                <w:lang w:val="en-US" w:eastAsia="zh-CN"/>
              </w:rPr>
              <w:t>（1）噪声污染源源强核算</w:t>
            </w:r>
          </w:p>
          <w:p w14:paraId="00C913D0">
            <w:pPr>
              <w:keepNext w:val="0"/>
              <w:keepLines w:val="0"/>
              <w:suppressLineNumbers w:val="0"/>
              <w:bidi w:val="0"/>
              <w:spacing w:before="0" w:beforeAutospacing="0" w:after="0" w:afterAutospacing="0"/>
              <w:ind w:left="0" w:right="0"/>
              <w:rPr>
                <w:rFonts w:hint="default" w:eastAsia="宋体" w:cs="宋体"/>
                <w:color w:val="auto"/>
                <w:kern w:val="2"/>
                <w:szCs w:val="24"/>
                <w:vertAlign w:val="baseline"/>
                <w:lang w:val="en-US" w:eastAsia="zh-CN"/>
              </w:rPr>
            </w:pPr>
            <w:r>
              <w:rPr>
                <w:rFonts w:hint="default" w:eastAsia="宋体" w:cs="宋体"/>
                <w:color w:val="auto"/>
                <w:kern w:val="2"/>
                <w:szCs w:val="24"/>
                <w:vertAlign w:val="baseline"/>
                <w:lang w:val="en-US" w:eastAsia="zh-CN"/>
              </w:rPr>
              <w:t>本项目噪声主要来自破碎机等设备产生的机械噪声，噪声值为70-90dB(A</w:t>
            </w:r>
            <w:r>
              <w:rPr>
                <w:rFonts w:hint="eastAsia" w:cs="宋体"/>
                <w:color w:val="auto"/>
                <w:kern w:val="2"/>
                <w:szCs w:val="24"/>
                <w:vertAlign w:val="baseline"/>
                <w:lang w:val="en-US" w:eastAsia="zh-CN"/>
              </w:rPr>
              <w:t>）</w:t>
            </w:r>
            <w:r>
              <w:rPr>
                <w:rFonts w:hint="default" w:eastAsia="宋体" w:cs="宋体"/>
                <w:color w:val="auto"/>
                <w:kern w:val="2"/>
                <w:szCs w:val="24"/>
                <w:vertAlign w:val="baseline"/>
                <w:lang w:val="en-US" w:eastAsia="zh-CN"/>
              </w:rPr>
              <w:t>，具体见表4-</w:t>
            </w:r>
            <w:r>
              <w:rPr>
                <w:rFonts w:hint="eastAsia" w:cs="宋体"/>
                <w:color w:val="auto"/>
                <w:kern w:val="2"/>
                <w:szCs w:val="24"/>
                <w:vertAlign w:val="baseline"/>
                <w:lang w:val="en-US" w:eastAsia="zh-CN"/>
              </w:rPr>
              <w:t>13及表4-14</w:t>
            </w:r>
            <w:r>
              <w:rPr>
                <w:rFonts w:hint="default" w:eastAsia="宋体" w:cs="宋体"/>
                <w:color w:val="auto"/>
                <w:kern w:val="2"/>
                <w:szCs w:val="24"/>
                <w:vertAlign w:val="baseline"/>
                <w:lang w:val="en-US" w:eastAsia="zh-CN"/>
              </w:rPr>
              <w:t>。</w:t>
            </w:r>
          </w:p>
        </w:tc>
      </w:tr>
    </w:tbl>
    <w:p w14:paraId="70AA3F0E">
      <w:pPr>
        <w:pStyle w:val="24"/>
        <w:adjustRightInd w:val="0"/>
        <w:snapToGrid w:val="0"/>
        <w:spacing w:before="0" w:beforeAutospacing="0" w:after="0" w:afterAutospacing="0"/>
        <w:jc w:val="center"/>
        <w:outlineLvl w:val="0"/>
        <w:rPr>
          <w:rFonts w:cs="宋体"/>
          <w:color w:val="auto"/>
          <w:kern w:val="2"/>
          <w:szCs w:val="24"/>
        </w:rPr>
        <w:sectPr>
          <w:pgSz w:w="11907" w:h="16840"/>
          <w:pgMar w:top="1440" w:right="1800" w:bottom="1440" w:left="1800" w:header="851" w:footer="851" w:gutter="0"/>
          <w:pgBorders w:offsetFrom="page">
            <w:top w:val="none" w:sz="0" w:space="0"/>
            <w:left w:val="none" w:sz="0" w:space="0"/>
            <w:bottom w:val="none" w:sz="0" w:space="0"/>
            <w:right w:val="none" w:sz="0" w:space="0"/>
          </w:pgBorders>
          <w:cols w:space="720" w:num="1"/>
          <w:docGrid w:linePitch="312" w:charSpace="0"/>
        </w:sect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13700"/>
      </w:tblGrid>
      <w:tr w14:paraId="6D841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5" w:hRule="atLeast"/>
        </w:trPr>
        <w:tc>
          <w:tcPr>
            <w:tcW w:w="476" w:type="dxa"/>
            <w:noWrap w:val="0"/>
            <w:vAlign w:val="center"/>
          </w:tcPr>
          <w:p w14:paraId="5FA291C2">
            <w:pPr>
              <w:keepNext w:val="0"/>
              <w:keepLines w:val="0"/>
              <w:suppressLineNumbers w:val="0"/>
              <w:spacing w:before="0" w:beforeAutospacing="0" w:after="0" w:afterAutospacing="0"/>
              <w:ind w:left="0" w:leftChars="0" w:right="0" w:firstLine="0" w:firstLineChars="0"/>
              <w:jc w:val="both"/>
              <w:rPr>
                <w:rFonts w:hint="default" w:cs="Times New Roman"/>
                <w:color w:val="auto"/>
                <w:vertAlign w:val="baseline"/>
              </w:rPr>
            </w:pPr>
            <w:r>
              <w:rPr>
                <w:rFonts w:hint="eastAsia" w:cs="宋体"/>
                <w:color w:val="auto"/>
                <w:kern w:val="2"/>
                <w:szCs w:val="24"/>
              </w:rPr>
              <w:t>运营期环境影响</w:t>
            </w:r>
            <w:r>
              <w:rPr>
                <w:rFonts w:hint="default" w:cs="宋体"/>
                <w:color w:val="auto"/>
                <w:kern w:val="2"/>
                <w:szCs w:val="24"/>
              </w:rPr>
              <w:t>和</w:t>
            </w:r>
            <w:r>
              <w:rPr>
                <w:rFonts w:hint="eastAsia" w:cs="宋体"/>
                <w:color w:val="auto"/>
                <w:kern w:val="2"/>
                <w:szCs w:val="24"/>
              </w:rPr>
              <w:t>保护措施</w:t>
            </w:r>
          </w:p>
        </w:tc>
        <w:tc>
          <w:tcPr>
            <w:tcW w:w="13700" w:type="dxa"/>
            <w:noWrap w:val="0"/>
            <w:vAlign w:val="top"/>
          </w:tcPr>
          <w:p w14:paraId="73F09BDC">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工业企业噪声源强调查清单（室内声源）</w:t>
            </w:r>
          </w:p>
          <w:tbl>
            <w:tblPr>
              <w:tblStyle w:val="28"/>
              <w:tblW w:w="492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397"/>
              <w:gridCol w:w="758"/>
              <w:gridCol w:w="555"/>
              <w:gridCol w:w="1389"/>
              <w:gridCol w:w="1321"/>
              <w:gridCol w:w="1513"/>
              <w:gridCol w:w="875"/>
              <w:gridCol w:w="608"/>
              <w:gridCol w:w="749"/>
              <w:gridCol w:w="595"/>
              <w:gridCol w:w="546"/>
              <w:gridCol w:w="711"/>
              <w:gridCol w:w="950"/>
              <w:gridCol w:w="777"/>
              <w:gridCol w:w="716"/>
              <w:gridCol w:w="807"/>
            </w:tblGrid>
            <w:tr w14:paraId="3BBF38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vMerge w:val="restart"/>
                  <w:tcBorders>
                    <w:tl2br w:val="nil"/>
                    <w:tr2bl w:val="nil"/>
                  </w:tcBorders>
                  <w:noWrap w:val="0"/>
                  <w:vAlign w:val="center"/>
                </w:tcPr>
                <w:p w14:paraId="749AA891">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r>
                    <w:rPr>
                      <w:rFonts w:hint="eastAsia" w:cs="Times New Roman"/>
                      <w:color w:val="auto"/>
                      <w:lang w:val="en-US" w:eastAsia="zh-CN"/>
                    </w:rPr>
                    <w:t>序号</w:t>
                  </w:r>
                </w:p>
              </w:tc>
              <w:tc>
                <w:tcPr>
                  <w:tcW w:w="285" w:type="pct"/>
                  <w:vMerge w:val="restart"/>
                  <w:tcBorders>
                    <w:tl2br w:val="nil"/>
                    <w:tr2bl w:val="nil"/>
                  </w:tcBorders>
                  <w:noWrap w:val="0"/>
                  <w:vAlign w:val="center"/>
                </w:tcPr>
                <w:p w14:paraId="0409B0CA">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r>
                    <w:rPr>
                      <w:rFonts w:hint="eastAsia" w:cs="Times New Roman"/>
                      <w:color w:val="auto"/>
                      <w:lang w:val="en-US" w:eastAsia="zh-CN"/>
                    </w:rPr>
                    <w:t>建筑物名称</w:t>
                  </w:r>
                </w:p>
              </w:tc>
              <w:tc>
                <w:tcPr>
                  <w:tcW w:w="209" w:type="pct"/>
                  <w:vMerge w:val="restart"/>
                  <w:tcBorders>
                    <w:tl2br w:val="nil"/>
                    <w:tr2bl w:val="nil"/>
                  </w:tcBorders>
                  <w:noWrap w:val="0"/>
                  <w:vAlign w:val="center"/>
                </w:tcPr>
                <w:p w14:paraId="1782310B">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r>
                    <w:rPr>
                      <w:rFonts w:hint="eastAsia" w:cs="Times New Roman"/>
                      <w:color w:val="auto"/>
                      <w:lang w:val="en-US" w:eastAsia="zh-CN"/>
                    </w:rPr>
                    <w:t>数量（台）</w:t>
                  </w:r>
                </w:p>
              </w:tc>
              <w:tc>
                <w:tcPr>
                  <w:tcW w:w="523" w:type="pct"/>
                  <w:vMerge w:val="restart"/>
                  <w:tcBorders>
                    <w:tl2br w:val="nil"/>
                    <w:tr2bl w:val="nil"/>
                  </w:tcBorders>
                  <w:noWrap w:val="0"/>
                  <w:vAlign w:val="center"/>
                </w:tcPr>
                <w:p w14:paraId="4146A2DA">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lang w:val="en-US" w:eastAsia="zh-CN"/>
                    </w:rPr>
                  </w:pPr>
                  <w:r>
                    <w:rPr>
                      <w:rFonts w:hint="eastAsia" w:cs="Times New Roman"/>
                      <w:color w:val="auto"/>
                      <w:lang w:val="en-US" w:eastAsia="zh-CN"/>
                    </w:rPr>
                    <w:t>声源</w:t>
                  </w:r>
                </w:p>
                <w:p w14:paraId="48229372">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r>
                    <w:rPr>
                      <w:rFonts w:hint="eastAsia" w:cs="Times New Roman"/>
                      <w:color w:val="auto"/>
                      <w:lang w:val="en-US" w:eastAsia="zh-CN"/>
                    </w:rPr>
                    <w:t>名称</w:t>
                  </w:r>
                </w:p>
              </w:tc>
              <w:tc>
                <w:tcPr>
                  <w:tcW w:w="497" w:type="pct"/>
                  <w:vMerge w:val="restart"/>
                  <w:tcBorders>
                    <w:tl2br w:val="nil"/>
                    <w:tr2bl w:val="nil"/>
                  </w:tcBorders>
                  <w:noWrap w:val="0"/>
                  <w:vAlign w:val="center"/>
                </w:tcPr>
                <w:p w14:paraId="6C8DE9D3">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r>
                    <w:rPr>
                      <w:rFonts w:hint="eastAsia" w:cs="Times New Roman"/>
                      <w:color w:val="auto"/>
                      <w:lang w:val="en-US" w:eastAsia="zh-CN"/>
                    </w:rPr>
                    <w:t>型号</w:t>
                  </w:r>
                </w:p>
              </w:tc>
              <w:tc>
                <w:tcPr>
                  <w:tcW w:w="570" w:type="pct"/>
                  <w:vMerge w:val="restart"/>
                  <w:tcBorders>
                    <w:tl2br w:val="nil"/>
                    <w:tr2bl w:val="nil"/>
                  </w:tcBorders>
                  <w:noWrap w:val="0"/>
                  <w:vAlign w:val="center"/>
                </w:tcPr>
                <w:p w14:paraId="00609320">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r>
                    <w:rPr>
                      <w:rFonts w:hint="default" w:cs="Times New Roman"/>
                      <w:color w:val="auto"/>
                      <w:lang w:val="en-US" w:eastAsia="zh-CN"/>
                    </w:rPr>
                    <w:t>声源源强（声压级/距声源距离）dB(A)/m</w:t>
                  </w:r>
                </w:p>
              </w:tc>
              <w:tc>
                <w:tcPr>
                  <w:tcW w:w="329" w:type="pct"/>
                  <w:vMerge w:val="restart"/>
                  <w:tcBorders>
                    <w:tl2br w:val="nil"/>
                    <w:tr2bl w:val="nil"/>
                  </w:tcBorders>
                  <w:noWrap w:val="0"/>
                  <w:vAlign w:val="center"/>
                </w:tcPr>
                <w:p w14:paraId="51C9CDF6">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r>
                    <w:rPr>
                      <w:rFonts w:hint="eastAsia" w:cs="Times New Roman"/>
                      <w:color w:val="auto"/>
                      <w:lang w:val="en-US" w:eastAsia="zh-CN"/>
                    </w:rPr>
                    <w:t>声源控制措施</w:t>
                  </w:r>
                </w:p>
              </w:tc>
              <w:tc>
                <w:tcPr>
                  <w:tcW w:w="735" w:type="pct"/>
                  <w:gridSpan w:val="3"/>
                  <w:tcBorders>
                    <w:tl2br w:val="nil"/>
                    <w:tr2bl w:val="nil"/>
                  </w:tcBorders>
                  <w:noWrap w:val="0"/>
                  <w:vAlign w:val="center"/>
                </w:tcPr>
                <w:p w14:paraId="3EC71623">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r>
                    <w:rPr>
                      <w:rFonts w:hint="default" w:cs="Times New Roman"/>
                      <w:color w:val="auto"/>
                      <w:lang w:val="en-US" w:eastAsia="zh-CN"/>
                    </w:rPr>
                    <w:t>空间相对位置/m</w:t>
                  </w:r>
                </w:p>
              </w:tc>
              <w:tc>
                <w:tcPr>
                  <w:tcW w:w="205" w:type="pct"/>
                  <w:vMerge w:val="restart"/>
                  <w:tcBorders>
                    <w:tl2br w:val="nil"/>
                    <w:tr2bl w:val="nil"/>
                  </w:tcBorders>
                  <w:noWrap w:val="0"/>
                  <w:vAlign w:val="center"/>
                </w:tcPr>
                <w:p w14:paraId="3DE6EF8A">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r>
                    <w:rPr>
                      <w:rFonts w:hint="default" w:cs="Times New Roman"/>
                      <w:color w:val="auto"/>
                      <w:lang w:val="en-US" w:eastAsia="zh-CN"/>
                    </w:rPr>
                    <w:t>距室内边界距离/m</w:t>
                  </w:r>
                </w:p>
              </w:tc>
              <w:tc>
                <w:tcPr>
                  <w:tcW w:w="267" w:type="pct"/>
                  <w:vMerge w:val="restart"/>
                  <w:tcBorders>
                    <w:tl2br w:val="nil"/>
                    <w:tr2bl w:val="nil"/>
                  </w:tcBorders>
                  <w:noWrap w:val="0"/>
                  <w:vAlign w:val="center"/>
                </w:tcPr>
                <w:p w14:paraId="15C8F3D4">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r>
                    <w:rPr>
                      <w:rFonts w:hint="default" w:cs="Times New Roman"/>
                      <w:color w:val="auto"/>
                      <w:lang w:val="en-US" w:eastAsia="zh-CN"/>
                    </w:rPr>
                    <w:t>室内边界声级dB(A)</w:t>
                  </w:r>
                </w:p>
              </w:tc>
              <w:tc>
                <w:tcPr>
                  <w:tcW w:w="358" w:type="pct"/>
                  <w:vMerge w:val="restart"/>
                  <w:tcBorders>
                    <w:tl2br w:val="nil"/>
                    <w:tr2bl w:val="nil"/>
                  </w:tcBorders>
                  <w:noWrap w:val="0"/>
                  <w:vAlign w:val="center"/>
                </w:tcPr>
                <w:p w14:paraId="7C1D28C5">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r>
                    <w:rPr>
                      <w:rFonts w:hint="eastAsia" w:cs="Times New Roman"/>
                      <w:color w:val="auto"/>
                      <w:lang w:val="en-US" w:eastAsia="zh-CN"/>
                    </w:rPr>
                    <w:t>运行时段</w:t>
                  </w:r>
                </w:p>
              </w:tc>
              <w:tc>
                <w:tcPr>
                  <w:tcW w:w="292" w:type="pct"/>
                  <w:vMerge w:val="restart"/>
                  <w:tcBorders>
                    <w:tl2br w:val="nil"/>
                    <w:tr2bl w:val="nil"/>
                  </w:tcBorders>
                  <w:noWrap w:val="0"/>
                  <w:vAlign w:val="center"/>
                </w:tcPr>
                <w:p w14:paraId="26F6694D">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r>
                    <w:rPr>
                      <w:rFonts w:hint="default" w:cs="Times New Roman"/>
                      <w:color w:val="auto"/>
                      <w:lang w:val="en-US" w:eastAsia="zh-CN"/>
                    </w:rPr>
                    <w:t>建筑物插入损失/dB(A)</w:t>
                  </w:r>
                </w:p>
              </w:tc>
              <w:tc>
                <w:tcPr>
                  <w:tcW w:w="573" w:type="pct"/>
                  <w:gridSpan w:val="2"/>
                  <w:tcBorders>
                    <w:tl2br w:val="nil"/>
                    <w:tr2bl w:val="nil"/>
                  </w:tcBorders>
                  <w:noWrap w:val="0"/>
                  <w:vAlign w:val="center"/>
                </w:tcPr>
                <w:p w14:paraId="7A93834C">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r>
                    <w:rPr>
                      <w:rFonts w:hint="eastAsia" w:cs="Times New Roman"/>
                      <w:color w:val="auto"/>
                      <w:lang w:val="en-US" w:eastAsia="zh-CN"/>
                    </w:rPr>
                    <w:t>建筑物外噪声</w:t>
                  </w:r>
                </w:p>
              </w:tc>
            </w:tr>
            <w:tr w14:paraId="7D41D4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vMerge w:val="continue"/>
                  <w:tcBorders>
                    <w:tl2br w:val="nil"/>
                    <w:tr2bl w:val="nil"/>
                  </w:tcBorders>
                  <w:noWrap w:val="0"/>
                  <w:vAlign w:val="center"/>
                </w:tcPr>
                <w:p w14:paraId="2EEF9FF6">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p>
              </w:tc>
              <w:tc>
                <w:tcPr>
                  <w:tcW w:w="285" w:type="pct"/>
                  <w:vMerge w:val="continue"/>
                  <w:tcBorders>
                    <w:tl2br w:val="nil"/>
                    <w:tr2bl w:val="nil"/>
                  </w:tcBorders>
                  <w:noWrap w:val="0"/>
                  <w:vAlign w:val="center"/>
                </w:tcPr>
                <w:p w14:paraId="087C925E">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p>
              </w:tc>
              <w:tc>
                <w:tcPr>
                  <w:tcW w:w="209" w:type="pct"/>
                  <w:vMerge w:val="continue"/>
                  <w:tcBorders>
                    <w:tl2br w:val="nil"/>
                    <w:tr2bl w:val="nil"/>
                  </w:tcBorders>
                  <w:noWrap w:val="0"/>
                  <w:vAlign w:val="center"/>
                </w:tcPr>
                <w:p w14:paraId="7373C5FC">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p>
              </w:tc>
              <w:tc>
                <w:tcPr>
                  <w:tcW w:w="523" w:type="pct"/>
                  <w:vMerge w:val="continue"/>
                  <w:tcBorders>
                    <w:tl2br w:val="nil"/>
                    <w:tr2bl w:val="nil"/>
                  </w:tcBorders>
                  <w:noWrap w:val="0"/>
                  <w:vAlign w:val="center"/>
                </w:tcPr>
                <w:p w14:paraId="737EC087">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p>
              </w:tc>
              <w:tc>
                <w:tcPr>
                  <w:tcW w:w="497" w:type="pct"/>
                  <w:vMerge w:val="continue"/>
                  <w:tcBorders>
                    <w:tl2br w:val="nil"/>
                    <w:tr2bl w:val="nil"/>
                  </w:tcBorders>
                  <w:noWrap w:val="0"/>
                  <w:vAlign w:val="center"/>
                </w:tcPr>
                <w:p w14:paraId="5867FA6D">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p>
              </w:tc>
              <w:tc>
                <w:tcPr>
                  <w:tcW w:w="570" w:type="pct"/>
                  <w:vMerge w:val="continue"/>
                  <w:tcBorders>
                    <w:tl2br w:val="nil"/>
                    <w:tr2bl w:val="nil"/>
                  </w:tcBorders>
                  <w:noWrap w:val="0"/>
                  <w:vAlign w:val="center"/>
                </w:tcPr>
                <w:p w14:paraId="0B3FFF52">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p>
              </w:tc>
              <w:tc>
                <w:tcPr>
                  <w:tcW w:w="329" w:type="pct"/>
                  <w:vMerge w:val="continue"/>
                  <w:tcBorders>
                    <w:tl2br w:val="nil"/>
                    <w:tr2bl w:val="nil"/>
                  </w:tcBorders>
                  <w:noWrap w:val="0"/>
                  <w:vAlign w:val="center"/>
                </w:tcPr>
                <w:p w14:paraId="0595C3A8">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p>
              </w:tc>
              <w:tc>
                <w:tcPr>
                  <w:tcW w:w="229" w:type="pct"/>
                  <w:tcBorders>
                    <w:tl2br w:val="nil"/>
                    <w:tr2bl w:val="nil"/>
                  </w:tcBorders>
                  <w:noWrap w:val="0"/>
                  <w:vAlign w:val="center"/>
                </w:tcPr>
                <w:p w14:paraId="1E51EB06">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rPr>
                  </w:pPr>
                  <w:r>
                    <w:rPr>
                      <w:rFonts w:hint="default" w:cs="Times New Roman"/>
                      <w:color w:val="auto"/>
                      <w:lang w:val="en-US" w:eastAsia="zh-CN"/>
                    </w:rPr>
                    <w:t>X</w:t>
                  </w:r>
                </w:p>
              </w:tc>
              <w:tc>
                <w:tcPr>
                  <w:tcW w:w="282" w:type="pct"/>
                  <w:tcBorders>
                    <w:tl2br w:val="nil"/>
                    <w:tr2bl w:val="nil"/>
                  </w:tcBorders>
                  <w:noWrap w:val="0"/>
                  <w:vAlign w:val="center"/>
                </w:tcPr>
                <w:p w14:paraId="6BCD0314">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rPr>
                  </w:pPr>
                  <w:r>
                    <w:rPr>
                      <w:rFonts w:hint="default" w:cs="Times New Roman"/>
                      <w:color w:val="auto"/>
                      <w:lang w:val="en-US" w:eastAsia="zh-CN"/>
                    </w:rPr>
                    <w:t>Y</w:t>
                  </w:r>
                </w:p>
              </w:tc>
              <w:tc>
                <w:tcPr>
                  <w:tcW w:w="224" w:type="pct"/>
                  <w:tcBorders>
                    <w:tl2br w:val="nil"/>
                    <w:tr2bl w:val="nil"/>
                  </w:tcBorders>
                  <w:noWrap w:val="0"/>
                  <w:vAlign w:val="center"/>
                </w:tcPr>
                <w:p w14:paraId="0906351F">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rPr>
                  </w:pPr>
                  <w:r>
                    <w:rPr>
                      <w:rFonts w:hint="default" w:cs="Times New Roman"/>
                      <w:color w:val="auto"/>
                      <w:lang w:val="en-US" w:eastAsia="zh-CN"/>
                    </w:rPr>
                    <w:t>Z</w:t>
                  </w:r>
                </w:p>
              </w:tc>
              <w:tc>
                <w:tcPr>
                  <w:tcW w:w="205" w:type="pct"/>
                  <w:vMerge w:val="continue"/>
                  <w:tcBorders>
                    <w:tl2br w:val="nil"/>
                    <w:tr2bl w:val="nil"/>
                  </w:tcBorders>
                  <w:noWrap w:val="0"/>
                  <w:vAlign w:val="center"/>
                </w:tcPr>
                <w:p w14:paraId="20D270E7">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p>
              </w:tc>
              <w:tc>
                <w:tcPr>
                  <w:tcW w:w="267" w:type="pct"/>
                  <w:vMerge w:val="continue"/>
                  <w:tcBorders>
                    <w:tl2br w:val="nil"/>
                    <w:tr2bl w:val="nil"/>
                  </w:tcBorders>
                  <w:noWrap w:val="0"/>
                  <w:vAlign w:val="center"/>
                </w:tcPr>
                <w:p w14:paraId="5A617CE7">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p>
              </w:tc>
              <w:tc>
                <w:tcPr>
                  <w:tcW w:w="358" w:type="pct"/>
                  <w:vMerge w:val="continue"/>
                  <w:tcBorders>
                    <w:tl2br w:val="nil"/>
                    <w:tr2bl w:val="nil"/>
                  </w:tcBorders>
                  <w:noWrap w:val="0"/>
                  <w:vAlign w:val="center"/>
                </w:tcPr>
                <w:p w14:paraId="0D543D23">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p>
              </w:tc>
              <w:tc>
                <w:tcPr>
                  <w:tcW w:w="292" w:type="pct"/>
                  <w:vMerge w:val="continue"/>
                  <w:tcBorders>
                    <w:tl2br w:val="nil"/>
                    <w:tr2bl w:val="nil"/>
                  </w:tcBorders>
                  <w:noWrap w:val="0"/>
                  <w:vAlign w:val="center"/>
                </w:tcPr>
                <w:p w14:paraId="53D80317">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p>
              </w:tc>
              <w:tc>
                <w:tcPr>
                  <w:tcW w:w="269" w:type="pct"/>
                  <w:tcBorders>
                    <w:tl2br w:val="nil"/>
                    <w:tr2bl w:val="nil"/>
                  </w:tcBorders>
                  <w:noWrap w:val="0"/>
                  <w:vAlign w:val="center"/>
                </w:tcPr>
                <w:p w14:paraId="6BEB0B50">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r>
                    <w:rPr>
                      <w:rFonts w:hint="default" w:cs="Times New Roman"/>
                      <w:color w:val="auto"/>
                      <w:lang w:val="en-US" w:eastAsia="zh-CN"/>
                    </w:rPr>
                    <w:t>声压级dB(A)</w:t>
                  </w:r>
                </w:p>
              </w:tc>
              <w:tc>
                <w:tcPr>
                  <w:tcW w:w="304" w:type="pct"/>
                  <w:tcBorders>
                    <w:tl2br w:val="nil"/>
                    <w:tr2bl w:val="nil"/>
                  </w:tcBorders>
                  <w:noWrap w:val="0"/>
                  <w:vAlign w:val="center"/>
                </w:tcPr>
                <w:p w14:paraId="4F60F15F">
                  <w:pPr>
                    <w:pStyle w:val="5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rPr>
                  </w:pPr>
                  <w:r>
                    <w:rPr>
                      <w:rFonts w:hint="default" w:cs="Times New Roman"/>
                      <w:color w:val="auto"/>
                      <w:lang w:val="en-US" w:eastAsia="zh-CN"/>
                    </w:rPr>
                    <w:t>建筑物外距离m</w:t>
                  </w:r>
                </w:p>
              </w:tc>
            </w:tr>
            <w:tr w14:paraId="4642F8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tcBorders>
                    <w:tl2br w:val="nil"/>
                    <w:tr2bl w:val="nil"/>
                  </w:tcBorders>
                  <w:noWrap w:val="0"/>
                  <w:vAlign w:val="center"/>
                </w:tcPr>
                <w:p w14:paraId="11FA515E">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c>
                <w:tcPr>
                  <w:tcW w:w="285" w:type="pct"/>
                  <w:vMerge w:val="restart"/>
                  <w:tcBorders>
                    <w:tl2br w:val="nil"/>
                    <w:tr2bl w:val="nil"/>
                  </w:tcBorders>
                  <w:noWrap w:val="0"/>
                  <w:vAlign w:val="center"/>
                </w:tcPr>
                <w:p w14:paraId="6983C974">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生产</w:t>
                  </w:r>
                </w:p>
                <w:p w14:paraId="6BCC20AF">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车间</w:t>
                  </w:r>
                </w:p>
              </w:tc>
              <w:tc>
                <w:tcPr>
                  <w:tcW w:w="209" w:type="pct"/>
                  <w:tcBorders>
                    <w:tl2br w:val="nil"/>
                    <w:tr2bl w:val="nil"/>
                  </w:tcBorders>
                  <w:noWrap w:val="0"/>
                  <w:vAlign w:val="center"/>
                </w:tcPr>
                <w:p w14:paraId="04725157">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w:t>
                  </w:r>
                </w:p>
              </w:tc>
              <w:tc>
                <w:tcPr>
                  <w:tcW w:w="523" w:type="pct"/>
                  <w:tcBorders>
                    <w:tl2br w:val="nil"/>
                    <w:tr2bl w:val="nil"/>
                  </w:tcBorders>
                  <w:noWrap w:val="0"/>
                  <w:vAlign w:val="center"/>
                </w:tcPr>
                <w:p w14:paraId="17B9F642">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泥石分离机</w:t>
                  </w:r>
                </w:p>
              </w:tc>
              <w:tc>
                <w:tcPr>
                  <w:tcW w:w="497" w:type="pct"/>
                  <w:tcBorders>
                    <w:tl2br w:val="nil"/>
                    <w:tr2bl w:val="nil"/>
                  </w:tcBorders>
                  <w:noWrap w:val="0"/>
                  <w:vAlign w:val="center"/>
                </w:tcPr>
                <w:p w14:paraId="12A2179D">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1240</w:t>
                  </w:r>
                </w:p>
              </w:tc>
              <w:tc>
                <w:tcPr>
                  <w:tcW w:w="570" w:type="pct"/>
                  <w:tcBorders>
                    <w:tl2br w:val="nil"/>
                    <w:tr2bl w:val="nil"/>
                  </w:tcBorders>
                  <w:noWrap w:val="0"/>
                  <w:vAlign w:val="center"/>
                </w:tcPr>
                <w:p w14:paraId="268C061E">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75/1</w:t>
                  </w:r>
                </w:p>
              </w:tc>
              <w:tc>
                <w:tcPr>
                  <w:tcW w:w="329" w:type="pct"/>
                  <w:vMerge w:val="restart"/>
                  <w:tcBorders>
                    <w:tl2br w:val="nil"/>
                    <w:tr2bl w:val="nil"/>
                  </w:tcBorders>
                  <w:noWrap w:val="0"/>
                  <w:vAlign w:val="center"/>
                </w:tcPr>
                <w:p w14:paraId="00234D5B">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基础减振、建筑隔声、选用低噪声设备、厂房隔声</w:t>
                  </w:r>
                </w:p>
              </w:tc>
              <w:tc>
                <w:tcPr>
                  <w:tcW w:w="229" w:type="pct"/>
                  <w:tcBorders>
                    <w:tl2br w:val="nil"/>
                    <w:tr2bl w:val="nil"/>
                  </w:tcBorders>
                  <w:noWrap w:val="0"/>
                  <w:vAlign w:val="center"/>
                </w:tcPr>
                <w:p w14:paraId="1E68E0BC">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104</w:t>
                  </w:r>
                </w:p>
              </w:tc>
              <w:tc>
                <w:tcPr>
                  <w:tcW w:w="282" w:type="pct"/>
                  <w:tcBorders>
                    <w:tl2br w:val="nil"/>
                    <w:tr2bl w:val="nil"/>
                  </w:tcBorders>
                  <w:noWrap w:val="0"/>
                  <w:vAlign w:val="center"/>
                </w:tcPr>
                <w:p w14:paraId="33AD2BE7">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15</w:t>
                  </w:r>
                </w:p>
              </w:tc>
              <w:tc>
                <w:tcPr>
                  <w:tcW w:w="595" w:type="dxa"/>
                  <w:tcBorders>
                    <w:tl2br w:val="nil"/>
                    <w:tr2bl w:val="nil"/>
                  </w:tcBorders>
                  <w:noWrap w:val="0"/>
                  <w:vAlign w:val="center"/>
                </w:tcPr>
                <w:p w14:paraId="5D457C99">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cs="Times New Roman"/>
                      <w:color w:val="auto"/>
                      <w:lang w:val="en-US" w:eastAsia="zh-CN"/>
                    </w:rPr>
                    <w:t>2.0</w:t>
                  </w:r>
                </w:p>
              </w:tc>
              <w:tc>
                <w:tcPr>
                  <w:tcW w:w="205" w:type="pct"/>
                  <w:tcBorders>
                    <w:tl2br w:val="nil"/>
                    <w:tr2bl w:val="nil"/>
                  </w:tcBorders>
                  <w:noWrap w:val="0"/>
                  <w:vAlign w:val="center"/>
                </w:tcPr>
                <w:p w14:paraId="365B3F94">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w:t>
                  </w:r>
                </w:p>
              </w:tc>
              <w:tc>
                <w:tcPr>
                  <w:tcW w:w="267" w:type="pct"/>
                  <w:tcBorders>
                    <w:tl2br w:val="nil"/>
                    <w:tr2bl w:val="nil"/>
                  </w:tcBorders>
                  <w:noWrap w:val="0"/>
                  <w:vAlign w:val="center"/>
                </w:tcPr>
                <w:p w14:paraId="4A6BEFBB">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58.98</w:t>
                  </w:r>
                </w:p>
              </w:tc>
              <w:tc>
                <w:tcPr>
                  <w:tcW w:w="358" w:type="pct"/>
                  <w:vMerge w:val="restart"/>
                  <w:tcBorders>
                    <w:tl2br w:val="nil"/>
                    <w:tr2bl w:val="nil"/>
                  </w:tcBorders>
                  <w:noWrap w:val="0"/>
                  <w:vAlign w:val="center"/>
                </w:tcPr>
                <w:p w14:paraId="753748C9">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0:00-24</w:t>
                  </w:r>
                  <w:r>
                    <w:rPr>
                      <w:rFonts w:hint="eastAsia" w:cs="Times New Roman"/>
                      <w:color w:val="auto"/>
                      <w:lang w:val="en-US" w:eastAsia="zh-CN"/>
                    </w:rPr>
                    <w:t>:</w:t>
                  </w:r>
                  <w:r>
                    <w:rPr>
                      <w:rFonts w:hint="eastAsia" w:ascii="Times New Roman" w:hAnsi="Times New Roman" w:eastAsia="宋体" w:cs="Times New Roman"/>
                      <w:color w:val="auto"/>
                      <w:lang w:val="en-US" w:eastAsia="zh-CN"/>
                    </w:rPr>
                    <w:t>00</w:t>
                  </w:r>
                </w:p>
              </w:tc>
              <w:tc>
                <w:tcPr>
                  <w:tcW w:w="292" w:type="pct"/>
                  <w:tcBorders>
                    <w:tl2br w:val="nil"/>
                    <w:tr2bl w:val="nil"/>
                  </w:tcBorders>
                  <w:noWrap w:val="0"/>
                  <w:vAlign w:val="center"/>
                </w:tcPr>
                <w:p w14:paraId="10670AA3">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w:t>
                  </w:r>
                </w:p>
              </w:tc>
              <w:tc>
                <w:tcPr>
                  <w:tcW w:w="269" w:type="pct"/>
                  <w:tcBorders>
                    <w:tl2br w:val="nil"/>
                    <w:tr2bl w:val="nil"/>
                  </w:tcBorders>
                  <w:noWrap w:val="0"/>
                  <w:vAlign w:val="center"/>
                </w:tcPr>
                <w:p w14:paraId="13251A0C">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33.98</w:t>
                  </w:r>
                </w:p>
              </w:tc>
              <w:tc>
                <w:tcPr>
                  <w:tcW w:w="304" w:type="pct"/>
                  <w:tcBorders>
                    <w:tl2br w:val="nil"/>
                    <w:tr2bl w:val="nil"/>
                  </w:tcBorders>
                  <w:noWrap w:val="0"/>
                  <w:vAlign w:val="center"/>
                </w:tcPr>
                <w:p w14:paraId="3E70EBAD">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14:paraId="6CA168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tcBorders>
                    <w:tl2br w:val="nil"/>
                    <w:tr2bl w:val="nil"/>
                  </w:tcBorders>
                  <w:noWrap w:val="0"/>
                  <w:vAlign w:val="center"/>
                </w:tcPr>
                <w:p w14:paraId="6EE74E44">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w:t>
                  </w:r>
                </w:p>
              </w:tc>
              <w:tc>
                <w:tcPr>
                  <w:tcW w:w="285" w:type="pct"/>
                  <w:vMerge w:val="continue"/>
                  <w:tcBorders>
                    <w:tl2br w:val="nil"/>
                    <w:tr2bl w:val="nil"/>
                  </w:tcBorders>
                  <w:noWrap w:val="0"/>
                  <w:vAlign w:val="center"/>
                </w:tcPr>
                <w:p w14:paraId="4F73908D">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09" w:type="pct"/>
                  <w:tcBorders>
                    <w:tl2br w:val="nil"/>
                    <w:tr2bl w:val="nil"/>
                  </w:tcBorders>
                  <w:noWrap w:val="0"/>
                  <w:vAlign w:val="center"/>
                </w:tcPr>
                <w:p w14:paraId="1BE97C72">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w:t>
                  </w:r>
                </w:p>
              </w:tc>
              <w:tc>
                <w:tcPr>
                  <w:tcW w:w="523" w:type="pct"/>
                  <w:tcBorders>
                    <w:tl2br w:val="nil"/>
                    <w:tr2bl w:val="nil"/>
                  </w:tcBorders>
                  <w:noWrap w:val="0"/>
                  <w:vAlign w:val="center"/>
                </w:tcPr>
                <w:p w14:paraId="79DEF4BD">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颚频式破碎机</w:t>
                  </w:r>
                </w:p>
              </w:tc>
              <w:tc>
                <w:tcPr>
                  <w:tcW w:w="497" w:type="pct"/>
                  <w:tcBorders>
                    <w:tl2br w:val="nil"/>
                    <w:tr2bl w:val="nil"/>
                  </w:tcBorders>
                  <w:noWrap w:val="0"/>
                  <w:vAlign w:val="center"/>
                </w:tcPr>
                <w:p w14:paraId="518C5BF4">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69</w:t>
                  </w:r>
                </w:p>
              </w:tc>
              <w:tc>
                <w:tcPr>
                  <w:tcW w:w="570" w:type="pct"/>
                  <w:tcBorders>
                    <w:tl2br w:val="nil"/>
                    <w:tr2bl w:val="nil"/>
                  </w:tcBorders>
                  <w:noWrap w:val="0"/>
                  <w:vAlign w:val="center"/>
                </w:tcPr>
                <w:p w14:paraId="5B83ADEF">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85/1</w:t>
                  </w:r>
                </w:p>
              </w:tc>
              <w:tc>
                <w:tcPr>
                  <w:tcW w:w="329" w:type="pct"/>
                  <w:vMerge w:val="continue"/>
                  <w:tcBorders>
                    <w:tl2br w:val="nil"/>
                    <w:tr2bl w:val="nil"/>
                  </w:tcBorders>
                  <w:noWrap w:val="0"/>
                  <w:vAlign w:val="center"/>
                </w:tcPr>
                <w:p w14:paraId="5AAB01BA">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29" w:type="pct"/>
                  <w:tcBorders>
                    <w:tl2br w:val="nil"/>
                    <w:tr2bl w:val="nil"/>
                  </w:tcBorders>
                  <w:noWrap w:val="0"/>
                  <w:vAlign w:val="center"/>
                </w:tcPr>
                <w:p w14:paraId="0A5F5950">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94</w:t>
                  </w:r>
                </w:p>
              </w:tc>
              <w:tc>
                <w:tcPr>
                  <w:tcW w:w="282" w:type="pct"/>
                  <w:tcBorders>
                    <w:tl2br w:val="nil"/>
                    <w:tr2bl w:val="nil"/>
                  </w:tcBorders>
                  <w:noWrap w:val="0"/>
                  <w:vAlign w:val="center"/>
                </w:tcPr>
                <w:p w14:paraId="40E2D6E6">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w:t>
                  </w:r>
                </w:p>
              </w:tc>
              <w:tc>
                <w:tcPr>
                  <w:tcW w:w="595" w:type="dxa"/>
                  <w:tcBorders>
                    <w:tl2br w:val="nil"/>
                    <w:tr2bl w:val="nil"/>
                  </w:tcBorders>
                  <w:noWrap w:val="0"/>
                  <w:vAlign w:val="center"/>
                </w:tcPr>
                <w:p w14:paraId="0C2BA37C">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1.5</w:t>
                  </w:r>
                </w:p>
              </w:tc>
              <w:tc>
                <w:tcPr>
                  <w:tcW w:w="205" w:type="pct"/>
                  <w:tcBorders>
                    <w:tl2br w:val="nil"/>
                    <w:tr2bl w:val="nil"/>
                  </w:tcBorders>
                  <w:noWrap w:val="0"/>
                  <w:vAlign w:val="center"/>
                </w:tcPr>
                <w:p w14:paraId="1D42DBA1">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w:t>
                  </w:r>
                </w:p>
              </w:tc>
              <w:tc>
                <w:tcPr>
                  <w:tcW w:w="267" w:type="pct"/>
                  <w:tcBorders>
                    <w:tl2br w:val="nil"/>
                    <w:tr2bl w:val="nil"/>
                  </w:tcBorders>
                  <w:noWrap w:val="0"/>
                  <w:vAlign w:val="center"/>
                </w:tcPr>
                <w:p w14:paraId="7F0C8C24">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68.98</w:t>
                  </w:r>
                </w:p>
              </w:tc>
              <w:tc>
                <w:tcPr>
                  <w:tcW w:w="358" w:type="pct"/>
                  <w:vMerge w:val="continue"/>
                  <w:tcBorders>
                    <w:tl2br w:val="nil"/>
                    <w:tr2bl w:val="nil"/>
                  </w:tcBorders>
                  <w:noWrap w:val="0"/>
                  <w:vAlign w:val="center"/>
                </w:tcPr>
                <w:p w14:paraId="2C3FC2F3">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92" w:type="pct"/>
                  <w:tcBorders>
                    <w:tl2br w:val="nil"/>
                    <w:tr2bl w:val="nil"/>
                  </w:tcBorders>
                  <w:noWrap w:val="0"/>
                  <w:vAlign w:val="center"/>
                </w:tcPr>
                <w:p w14:paraId="7C15B43B">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25</w:t>
                  </w:r>
                </w:p>
              </w:tc>
              <w:tc>
                <w:tcPr>
                  <w:tcW w:w="269" w:type="pct"/>
                  <w:tcBorders>
                    <w:tl2br w:val="nil"/>
                    <w:tr2bl w:val="nil"/>
                  </w:tcBorders>
                  <w:noWrap w:val="0"/>
                  <w:vAlign w:val="center"/>
                </w:tcPr>
                <w:p w14:paraId="79F4120F">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43.98</w:t>
                  </w:r>
                </w:p>
              </w:tc>
              <w:tc>
                <w:tcPr>
                  <w:tcW w:w="304" w:type="pct"/>
                  <w:tcBorders>
                    <w:tl2br w:val="nil"/>
                    <w:tr2bl w:val="nil"/>
                  </w:tcBorders>
                  <w:noWrap w:val="0"/>
                  <w:vAlign w:val="center"/>
                </w:tcPr>
                <w:p w14:paraId="58E137E7">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14:paraId="7E82A4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tcBorders>
                    <w:tl2br w:val="nil"/>
                    <w:tr2bl w:val="nil"/>
                  </w:tcBorders>
                  <w:noWrap w:val="0"/>
                  <w:vAlign w:val="center"/>
                </w:tcPr>
                <w:p w14:paraId="6ADBA64E">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w:t>
                  </w:r>
                </w:p>
              </w:tc>
              <w:tc>
                <w:tcPr>
                  <w:tcW w:w="285" w:type="pct"/>
                  <w:vMerge w:val="continue"/>
                  <w:tcBorders>
                    <w:tl2br w:val="nil"/>
                    <w:tr2bl w:val="nil"/>
                  </w:tcBorders>
                  <w:noWrap w:val="0"/>
                  <w:vAlign w:val="center"/>
                </w:tcPr>
                <w:p w14:paraId="0DB26D11">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09" w:type="pct"/>
                  <w:tcBorders>
                    <w:tl2br w:val="nil"/>
                    <w:tr2bl w:val="nil"/>
                  </w:tcBorders>
                  <w:noWrap w:val="0"/>
                  <w:vAlign w:val="center"/>
                </w:tcPr>
                <w:p w14:paraId="4B323CB8">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w:t>
                  </w:r>
                </w:p>
              </w:tc>
              <w:tc>
                <w:tcPr>
                  <w:tcW w:w="523" w:type="pct"/>
                  <w:tcBorders>
                    <w:tl2br w:val="nil"/>
                    <w:tr2bl w:val="nil"/>
                  </w:tcBorders>
                  <w:noWrap w:val="0"/>
                  <w:vAlign w:val="center"/>
                </w:tcPr>
                <w:p w14:paraId="688C8D53">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反击破碎机</w:t>
                  </w:r>
                </w:p>
              </w:tc>
              <w:tc>
                <w:tcPr>
                  <w:tcW w:w="497" w:type="pct"/>
                  <w:tcBorders>
                    <w:tl2br w:val="nil"/>
                    <w:tr2bl w:val="nil"/>
                  </w:tcBorders>
                  <w:noWrap w:val="0"/>
                  <w:vAlign w:val="center"/>
                </w:tcPr>
                <w:p w14:paraId="06FC06AF">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1214型</w:t>
                  </w:r>
                </w:p>
              </w:tc>
              <w:tc>
                <w:tcPr>
                  <w:tcW w:w="570" w:type="pct"/>
                  <w:tcBorders>
                    <w:tl2br w:val="nil"/>
                    <w:tr2bl w:val="nil"/>
                  </w:tcBorders>
                  <w:noWrap w:val="0"/>
                  <w:vAlign w:val="center"/>
                </w:tcPr>
                <w:p w14:paraId="5F3D535A">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85/1</w:t>
                  </w:r>
                </w:p>
              </w:tc>
              <w:tc>
                <w:tcPr>
                  <w:tcW w:w="329" w:type="pct"/>
                  <w:vMerge w:val="continue"/>
                  <w:tcBorders>
                    <w:tl2br w:val="nil"/>
                    <w:tr2bl w:val="nil"/>
                  </w:tcBorders>
                  <w:noWrap w:val="0"/>
                  <w:vAlign w:val="center"/>
                </w:tcPr>
                <w:p w14:paraId="1A77182C">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29" w:type="pct"/>
                  <w:tcBorders>
                    <w:tl2br w:val="nil"/>
                    <w:tr2bl w:val="nil"/>
                  </w:tcBorders>
                  <w:noWrap w:val="0"/>
                  <w:vAlign w:val="center"/>
                </w:tcPr>
                <w:p w14:paraId="0B134252">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76</w:t>
                  </w:r>
                </w:p>
              </w:tc>
              <w:tc>
                <w:tcPr>
                  <w:tcW w:w="282" w:type="pct"/>
                  <w:tcBorders>
                    <w:tl2br w:val="nil"/>
                    <w:tr2bl w:val="nil"/>
                  </w:tcBorders>
                  <w:noWrap w:val="0"/>
                  <w:vAlign w:val="center"/>
                </w:tcPr>
                <w:p w14:paraId="6C87731F">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-0.5</w:t>
                  </w:r>
                </w:p>
              </w:tc>
              <w:tc>
                <w:tcPr>
                  <w:tcW w:w="595" w:type="dxa"/>
                  <w:tcBorders>
                    <w:tl2br w:val="nil"/>
                    <w:tr2bl w:val="nil"/>
                  </w:tcBorders>
                  <w:noWrap w:val="0"/>
                  <w:vAlign w:val="center"/>
                </w:tcPr>
                <w:p w14:paraId="30C463B4">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2.5</w:t>
                  </w:r>
                </w:p>
              </w:tc>
              <w:tc>
                <w:tcPr>
                  <w:tcW w:w="205" w:type="pct"/>
                  <w:tcBorders>
                    <w:tl2br w:val="nil"/>
                    <w:tr2bl w:val="nil"/>
                  </w:tcBorders>
                  <w:noWrap w:val="0"/>
                  <w:vAlign w:val="center"/>
                </w:tcPr>
                <w:p w14:paraId="4E397C98">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w:t>
                  </w:r>
                </w:p>
              </w:tc>
              <w:tc>
                <w:tcPr>
                  <w:tcW w:w="267" w:type="pct"/>
                  <w:tcBorders>
                    <w:tl2br w:val="nil"/>
                    <w:tr2bl w:val="nil"/>
                  </w:tcBorders>
                  <w:noWrap w:val="0"/>
                  <w:vAlign w:val="center"/>
                </w:tcPr>
                <w:p w14:paraId="5E8E5756">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68.98</w:t>
                  </w:r>
                </w:p>
              </w:tc>
              <w:tc>
                <w:tcPr>
                  <w:tcW w:w="358" w:type="pct"/>
                  <w:vMerge w:val="continue"/>
                  <w:tcBorders>
                    <w:tl2br w:val="nil"/>
                    <w:tr2bl w:val="nil"/>
                  </w:tcBorders>
                  <w:noWrap w:val="0"/>
                  <w:vAlign w:val="center"/>
                </w:tcPr>
                <w:p w14:paraId="4EEBB4F0">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92" w:type="pct"/>
                  <w:tcBorders>
                    <w:tl2br w:val="nil"/>
                    <w:tr2bl w:val="nil"/>
                  </w:tcBorders>
                  <w:noWrap w:val="0"/>
                  <w:vAlign w:val="center"/>
                </w:tcPr>
                <w:p w14:paraId="6410AAD8">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25</w:t>
                  </w:r>
                </w:p>
              </w:tc>
              <w:tc>
                <w:tcPr>
                  <w:tcW w:w="269" w:type="pct"/>
                  <w:tcBorders>
                    <w:tl2br w:val="nil"/>
                    <w:tr2bl w:val="nil"/>
                  </w:tcBorders>
                  <w:noWrap w:val="0"/>
                  <w:vAlign w:val="center"/>
                </w:tcPr>
                <w:p w14:paraId="0AB6A296">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43.98</w:t>
                  </w:r>
                </w:p>
              </w:tc>
              <w:tc>
                <w:tcPr>
                  <w:tcW w:w="304" w:type="pct"/>
                  <w:tcBorders>
                    <w:tl2br w:val="nil"/>
                    <w:tr2bl w:val="nil"/>
                  </w:tcBorders>
                  <w:noWrap w:val="0"/>
                  <w:vAlign w:val="center"/>
                </w:tcPr>
                <w:p w14:paraId="38E5CF53">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14:paraId="392A21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tcBorders>
                    <w:tl2br w:val="nil"/>
                    <w:tr2bl w:val="nil"/>
                  </w:tcBorders>
                  <w:noWrap w:val="0"/>
                  <w:vAlign w:val="center"/>
                </w:tcPr>
                <w:p w14:paraId="0D21A550">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w:t>
                  </w:r>
                </w:p>
              </w:tc>
              <w:tc>
                <w:tcPr>
                  <w:tcW w:w="285" w:type="pct"/>
                  <w:vMerge w:val="continue"/>
                  <w:tcBorders>
                    <w:tl2br w:val="nil"/>
                    <w:tr2bl w:val="nil"/>
                  </w:tcBorders>
                  <w:noWrap w:val="0"/>
                  <w:vAlign w:val="center"/>
                </w:tcPr>
                <w:p w14:paraId="112C251D">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09" w:type="pct"/>
                  <w:tcBorders>
                    <w:tl2br w:val="nil"/>
                    <w:tr2bl w:val="nil"/>
                  </w:tcBorders>
                  <w:noWrap w:val="0"/>
                  <w:vAlign w:val="center"/>
                </w:tcPr>
                <w:p w14:paraId="252D5565">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w:t>
                  </w:r>
                </w:p>
              </w:tc>
              <w:tc>
                <w:tcPr>
                  <w:tcW w:w="523" w:type="pct"/>
                  <w:tcBorders>
                    <w:tl2br w:val="nil"/>
                    <w:tr2bl w:val="nil"/>
                  </w:tcBorders>
                  <w:noWrap w:val="0"/>
                  <w:vAlign w:val="center"/>
                </w:tcPr>
                <w:p w14:paraId="657470A5">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对滚机</w:t>
                  </w:r>
                </w:p>
              </w:tc>
              <w:tc>
                <w:tcPr>
                  <w:tcW w:w="497" w:type="pct"/>
                  <w:tcBorders>
                    <w:tl2br w:val="nil"/>
                    <w:tr2bl w:val="nil"/>
                  </w:tcBorders>
                  <w:noWrap w:val="0"/>
                  <w:vAlign w:val="center"/>
                </w:tcPr>
                <w:p w14:paraId="435320EF">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1210</w:t>
                  </w:r>
                </w:p>
              </w:tc>
              <w:tc>
                <w:tcPr>
                  <w:tcW w:w="570" w:type="pct"/>
                  <w:tcBorders>
                    <w:tl2br w:val="nil"/>
                    <w:tr2bl w:val="nil"/>
                  </w:tcBorders>
                  <w:noWrap w:val="0"/>
                  <w:vAlign w:val="center"/>
                </w:tcPr>
                <w:p w14:paraId="52D461D8">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80/1</w:t>
                  </w:r>
                </w:p>
              </w:tc>
              <w:tc>
                <w:tcPr>
                  <w:tcW w:w="329" w:type="pct"/>
                  <w:vMerge w:val="continue"/>
                  <w:tcBorders>
                    <w:tl2br w:val="nil"/>
                    <w:tr2bl w:val="nil"/>
                  </w:tcBorders>
                  <w:noWrap w:val="0"/>
                  <w:vAlign w:val="center"/>
                </w:tcPr>
                <w:p w14:paraId="6C496C72">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29" w:type="pct"/>
                  <w:tcBorders>
                    <w:tl2br w:val="nil"/>
                    <w:tr2bl w:val="nil"/>
                  </w:tcBorders>
                  <w:noWrap w:val="0"/>
                  <w:vAlign w:val="center"/>
                </w:tcPr>
                <w:p w14:paraId="5C889C56">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68</w:t>
                  </w:r>
                </w:p>
              </w:tc>
              <w:tc>
                <w:tcPr>
                  <w:tcW w:w="282" w:type="pct"/>
                  <w:tcBorders>
                    <w:tl2br w:val="nil"/>
                    <w:tr2bl w:val="nil"/>
                  </w:tcBorders>
                  <w:noWrap w:val="0"/>
                  <w:vAlign w:val="center"/>
                </w:tcPr>
                <w:p w14:paraId="1AFED1D5">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15</w:t>
                  </w:r>
                </w:p>
              </w:tc>
              <w:tc>
                <w:tcPr>
                  <w:tcW w:w="595" w:type="dxa"/>
                  <w:tcBorders>
                    <w:tl2br w:val="nil"/>
                    <w:tr2bl w:val="nil"/>
                  </w:tcBorders>
                  <w:noWrap w:val="0"/>
                  <w:vAlign w:val="center"/>
                </w:tcPr>
                <w:p w14:paraId="412617E0">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cs="Times New Roman"/>
                      <w:color w:val="auto"/>
                      <w:lang w:val="en-US" w:eastAsia="zh-CN"/>
                    </w:rPr>
                    <w:t>1.2</w:t>
                  </w:r>
                </w:p>
              </w:tc>
              <w:tc>
                <w:tcPr>
                  <w:tcW w:w="205" w:type="pct"/>
                  <w:tcBorders>
                    <w:tl2br w:val="nil"/>
                    <w:tr2bl w:val="nil"/>
                  </w:tcBorders>
                  <w:noWrap w:val="0"/>
                  <w:vAlign w:val="center"/>
                </w:tcPr>
                <w:p w14:paraId="3EBDF97D">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w:t>
                  </w:r>
                </w:p>
              </w:tc>
              <w:tc>
                <w:tcPr>
                  <w:tcW w:w="267" w:type="pct"/>
                  <w:tcBorders>
                    <w:tl2br w:val="nil"/>
                    <w:tr2bl w:val="nil"/>
                  </w:tcBorders>
                  <w:noWrap w:val="0"/>
                  <w:vAlign w:val="center"/>
                </w:tcPr>
                <w:p w14:paraId="6A5A62C8">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68.98</w:t>
                  </w:r>
                </w:p>
              </w:tc>
              <w:tc>
                <w:tcPr>
                  <w:tcW w:w="358" w:type="pct"/>
                  <w:vMerge w:val="continue"/>
                  <w:tcBorders>
                    <w:tl2br w:val="nil"/>
                    <w:tr2bl w:val="nil"/>
                  </w:tcBorders>
                  <w:noWrap w:val="0"/>
                  <w:vAlign w:val="center"/>
                </w:tcPr>
                <w:p w14:paraId="440D38C5">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292" w:type="pct"/>
                  <w:tcBorders>
                    <w:tl2br w:val="nil"/>
                    <w:tr2bl w:val="nil"/>
                  </w:tcBorders>
                  <w:noWrap w:val="0"/>
                  <w:vAlign w:val="center"/>
                </w:tcPr>
                <w:p w14:paraId="632AEBAD">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w:t>
                  </w:r>
                </w:p>
              </w:tc>
              <w:tc>
                <w:tcPr>
                  <w:tcW w:w="269" w:type="pct"/>
                  <w:tcBorders>
                    <w:tl2br w:val="nil"/>
                    <w:tr2bl w:val="nil"/>
                  </w:tcBorders>
                  <w:noWrap w:val="0"/>
                  <w:vAlign w:val="center"/>
                </w:tcPr>
                <w:p w14:paraId="1B15556B">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43.98</w:t>
                  </w:r>
                </w:p>
              </w:tc>
              <w:tc>
                <w:tcPr>
                  <w:tcW w:w="304" w:type="pct"/>
                  <w:tcBorders>
                    <w:tl2br w:val="nil"/>
                    <w:tr2bl w:val="nil"/>
                  </w:tcBorders>
                  <w:noWrap w:val="0"/>
                  <w:vAlign w:val="center"/>
                </w:tcPr>
                <w:p w14:paraId="195AB9F5">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w:t>
                  </w:r>
                </w:p>
              </w:tc>
            </w:tr>
            <w:tr w14:paraId="4A5CDD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tcBorders>
                    <w:tl2br w:val="nil"/>
                    <w:tr2bl w:val="nil"/>
                  </w:tcBorders>
                  <w:noWrap w:val="0"/>
                  <w:vAlign w:val="center"/>
                </w:tcPr>
                <w:p w14:paraId="42B20E2D">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w:t>
                  </w:r>
                </w:p>
              </w:tc>
              <w:tc>
                <w:tcPr>
                  <w:tcW w:w="285" w:type="pct"/>
                  <w:vMerge w:val="continue"/>
                  <w:tcBorders>
                    <w:tl2br w:val="nil"/>
                    <w:tr2bl w:val="nil"/>
                  </w:tcBorders>
                  <w:noWrap w:val="0"/>
                  <w:vAlign w:val="center"/>
                </w:tcPr>
                <w:p w14:paraId="5C288ADF">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09" w:type="pct"/>
                  <w:tcBorders>
                    <w:tl2br w:val="nil"/>
                    <w:tr2bl w:val="nil"/>
                  </w:tcBorders>
                  <w:noWrap w:val="0"/>
                  <w:vAlign w:val="center"/>
                </w:tcPr>
                <w:p w14:paraId="26C3BAE7">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w:t>
                  </w:r>
                </w:p>
              </w:tc>
              <w:tc>
                <w:tcPr>
                  <w:tcW w:w="523" w:type="pct"/>
                  <w:tcBorders>
                    <w:tl2br w:val="nil"/>
                    <w:tr2bl w:val="nil"/>
                  </w:tcBorders>
                  <w:noWrap w:val="0"/>
                  <w:vAlign w:val="center"/>
                </w:tcPr>
                <w:p w14:paraId="0BD6743F">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锤式破碎机</w:t>
                  </w:r>
                </w:p>
              </w:tc>
              <w:tc>
                <w:tcPr>
                  <w:tcW w:w="497" w:type="pct"/>
                  <w:tcBorders>
                    <w:tl2br w:val="nil"/>
                    <w:tr2bl w:val="nil"/>
                  </w:tcBorders>
                  <w:noWrap w:val="0"/>
                  <w:vAlign w:val="center"/>
                </w:tcPr>
                <w:p w14:paraId="011CC952">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1214</w:t>
                  </w:r>
                </w:p>
              </w:tc>
              <w:tc>
                <w:tcPr>
                  <w:tcW w:w="570" w:type="pct"/>
                  <w:tcBorders>
                    <w:tl2br w:val="nil"/>
                    <w:tr2bl w:val="nil"/>
                  </w:tcBorders>
                  <w:noWrap w:val="0"/>
                  <w:vAlign w:val="center"/>
                </w:tcPr>
                <w:p w14:paraId="1BE7EF6C">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85/1</w:t>
                  </w:r>
                </w:p>
              </w:tc>
              <w:tc>
                <w:tcPr>
                  <w:tcW w:w="329" w:type="pct"/>
                  <w:vMerge w:val="continue"/>
                  <w:tcBorders>
                    <w:tl2br w:val="nil"/>
                    <w:tr2bl w:val="nil"/>
                  </w:tcBorders>
                  <w:noWrap w:val="0"/>
                  <w:vAlign w:val="center"/>
                </w:tcPr>
                <w:p w14:paraId="783D91B2">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29" w:type="pct"/>
                  <w:tcBorders>
                    <w:tl2br w:val="nil"/>
                    <w:tr2bl w:val="nil"/>
                  </w:tcBorders>
                  <w:noWrap w:val="0"/>
                  <w:vAlign w:val="center"/>
                </w:tcPr>
                <w:p w14:paraId="5FE807F7">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106</w:t>
                  </w:r>
                </w:p>
              </w:tc>
              <w:tc>
                <w:tcPr>
                  <w:tcW w:w="282" w:type="pct"/>
                  <w:tcBorders>
                    <w:tl2br w:val="nil"/>
                    <w:tr2bl w:val="nil"/>
                  </w:tcBorders>
                  <w:noWrap w:val="0"/>
                  <w:vAlign w:val="center"/>
                </w:tcPr>
                <w:p w14:paraId="6B6E2D61">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52</w:t>
                  </w:r>
                </w:p>
              </w:tc>
              <w:tc>
                <w:tcPr>
                  <w:tcW w:w="595" w:type="dxa"/>
                  <w:tcBorders>
                    <w:tl2br w:val="nil"/>
                    <w:tr2bl w:val="nil"/>
                  </w:tcBorders>
                  <w:noWrap w:val="0"/>
                  <w:vAlign w:val="center"/>
                </w:tcPr>
                <w:p w14:paraId="26036E87">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cs="Times New Roman"/>
                      <w:color w:val="auto"/>
                      <w:lang w:val="en-US" w:eastAsia="zh-CN"/>
                    </w:rPr>
                    <w:t>2.2</w:t>
                  </w:r>
                </w:p>
              </w:tc>
              <w:tc>
                <w:tcPr>
                  <w:tcW w:w="205" w:type="pct"/>
                  <w:tcBorders>
                    <w:tl2br w:val="nil"/>
                    <w:tr2bl w:val="nil"/>
                  </w:tcBorders>
                  <w:noWrap w:val="0"/>
                  <w:vAlign w:val="center"/>
                </w:tcPr>
                <w:p w14:paraId="366A566A">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2</w:t>
                  </w:r>
                </w:p>
              </w:tc>
              <w:tc>
                <w:tcPr>
                  <w:tcW w:w="267" w:type="pct"/>
                  <w:tcBorders>
                    <w:tl2br w:val="nil"/>
                    <w:tr2bl w:val="nil"/>
                  </w:tcBorders>
                  <w:noWrap w:val="0"/>
                  <w:vAlign w:val="center"/>
                </w:tcPr>
                <w:p w14:paraId="2D4FFCE7">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63.98</w:t>
                  </w:r>
                </w:p>
              </w:tc>
              <w:tc>
                <w:tcPr>
                  <w:tcW w:w="358" w:type="pct"/>
                  <w:vMerge w:val="continue"/>
                  <w:tcBorders>
                    <w:tl2br w:val="nil"/>
                    <w:tr2bl w:val="nil"/>
                  </w:tcBorders>
                  <w:noWrap w:val="0"/>
                  <w:vAlign w:val="center"/>
                </w:tcPr>
                <w:p w14:paraId="3F6DCEFF">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292" w:type="pct"/>
                  <w:tcBorders>
                    <w:tl2br w:val="nil"/>
                    <w:tr2bl w:val="nil"/>
                  </w:tcBorders>
                  <w:noWrap w:val="0"/>
                  <w:vAlign w:val="center"/>
                </w:tcPr>
                <w:p w14:paraId="08CC23B8">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w:t>
                  </w:r>
                </w:p>
              </w:tc>
              <w:tc>
                <w:tcPr>
                  <w:tcW w:w="269" w:type="pct"/>
                  <w:tcBorders>
                    <w:tl2br w:val="nil"/>
                    <w:tr2bl w:val="nil"/>
                  </w:tcBorders>
                  <w:noWrap w:val="0"/>
                  <w:vAlign w:val="center"/>
                </w:tcPr>
                <w:p w14:paraId="042D49CC">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38.98</w:t>
                  </w:r>
                </w:p>
              </w:tc>
              <w:tc>
                <w:tcPr>
                  <w:tcW w:w="304" w:type="pct"/>
                  <w:tcBorders>
                    <w:tl2br w:val="nil"/>
                    <w:tr2bl w:val="nil"/>
                  </w:tcBorders>
                  <w:noWrap w:val="0"/>
                  <w:vAlign w:val="center"/>
                </w:tcPr>
                <w:p w14:paraId="328266B1">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1</w:t>
                  </w:r>
                </w:p>
              </w:tc>
            </w:tr>
            <w:tr w14:paraId="439149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tcBorders>
                    <w:tl2br w:val="nil"/>
                    <w:tr2bl w:val="nil"/>
                  </w:tcBorders>
                  <w:noWrap w:val="0"/>
                  <w:vAlign w:val="center"/>
                </w:tcPr>
                <w:p w14:paraId="0DAD9876">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w:t>
                  </w:r>
                </w:p>
              </w:tc>
              <w:tc>
                <w:tcPr>
                  <w:tcW w:w="285" w:type="pct"/>
                  <w:vMerge w:val="continue"/>
                  <w:tcBorders>
                    <w:tl2br w:val="nil"/>
                    <w:tr2bl w:val="nil"/>
                  </w:tcBorders>
                  <w:noWrap w:val="0"/>
                  <w:vAlign w:val="center"/>
                </w:tcPr>
                <w:p w14:paraId="3C841A18">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09" w:type="pct"/>
                  <w:tcBorders>
                    <w:tl2br w:val="nil"/>
                    <w:tr2bl w:val="nil"/>
                  </w:tcBorders>
                  <w:noWrap w:val="0"/>
                  <w:vAlign w:val="center"/>
                </w:tcPr>
                <w:p w14:paraId="41B74483">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w:t>
                  </w:r>
                </w:p>
              </w:tc>
              <w:tc>
                <w:tcPr>
                  <w:tcW w:w="523" w:type="pct"/>
                  <w:tcBorders>
                    <w:tl2br w:val="nil"/>
                    <w:tr2bl w:val="nil"/>
                  </w:tcBorders>
                  <w:noWrap w:val="0"/>
                  <w:vAlign w:val="center"/>
                </w:tcPr>
                <w:p w14:paraId="71DBC06F">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振动筛选机</w:t>
                  </w:r>
                </w:p>
              </w:tc>
              <w:tc>
                <w:tcPr>
                  <w:tcW w:w="497" w:type="pct"/>
                  <w:tcBorders>
                    <w:tl2br w:val="nil"/>
                    <w:tr2bl w:val="nil"/>
                  </w:tcBorders>
                  <w:noWrap w:val="0"/>
                  <w:vAlign w:val="center"/>
                </w:tcPr>
                <w:p w14:paraId="6F5D7401">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2470</w:t>
                  </w:r>
                </w:p>
              </w:tc>
              <w:tc>
                <w:tcPr>
                  <w:tcW w:w="570" w:type="pct"/>
                  <w:tcBorders>
                    <w:tl2br w:val="nil"/>
                    <w:tr2bl w:val="nil"/>
                  </w:tcBorders>
                  <w:noWrap w:val="0"/>
                  <w:vAlign w:val="center"/>
                </w:tcPr>
                <w:p w14:paraId="7515643E">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75/1</w:t>
                  </w:r>
                </w:p>
              </w:tc>
              <w:tc>
                <w:tcPr>
                  <w:tcW w:w="329" w:type="pct"/>
                  <w:vMerge w:val="continue"/>
                  <w:tcBorders>
                    <w:tl2br w:val="nil"/>
                    <w:tr2bl w:val="nil"/>
                  </w:tcBorders>
                  <w:noWrap w:val="0"/>
                  <w:vAlign w:val="center"/>
                </w:tcPr>
                <w:p w14:paraId="6336EF0F">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29" w:type="pct"/>
                  <w:tcBorders>
                    <w:tl2br w:val="nil"/>
                    <w:tr2bl w:val="nil"/>
                  </w:tcBorders>
                  <w:noWrap w:val="0"/>
                  <w:vAlign w:val="center"/>
                </w:tcPr>
                <w:p w14:paraId="49C3373C">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65</w:t>
                  </w:r>
                </w:p>
              </w:tc>
              <w:tc>
                <w:tcPr>
                  <w:tcW w:w="282" w:type="pct"/>
                  <w:tcBorders>
                    <w:tl2br w:val="nil"/>
                    <w:tr2bl w:val="nil"/>
                  </w:tcBorders>
                  <w:noWrap w:val="0"/>
                  <w:vAlign w:val="center"/>
                </w:tcPr>
                <w:p w14:paraId="71004882">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25</w:t>
                  </w:r>
                </w:p>
              </w:tc>
              <w:tc>
                <w:tcPr>
                  <w:tcW w:w="595" w:type="dxa"/>
                  <w:tcBorders>
                    <w:tl2br w:val="nil"/>
                    <w:tr2bl w:val="nil"/>
                  </w:tcBorders>
                  <w:noWrap w:val="0"/>
                  <w:vAlign w:val="center"/>
                </w:tcPr>
                <w:p w14:paraId="2AC51B1F">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cs="Times New Roman"/>
                      <w:color w:val="auto"/>
                      <w:lang w:val="en-US" w:eastAsia="zh-CN"/>
                    </w:rPr>
                    <w:t>1.8</w:t>
                  </w:r>
                </w:p>
              </w:tc>
              <w:tc>
                <w:tcPr>
                  <w:tcW w:w="205" w:type="pct"/>
                  <w:tcBorders>
                    <w:tl2br w:val="nil"/>
                    <w:tr2bl w:val="nil"/>
                  </w:tcBorders>
                  <w:noWrap w:val="0"/>
                  <w:vAlign w:val="center"/>
                </w:tcPr>
                <w:p w14:paraId="7F0D7176">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2</w:t>
                  </w:r>
                </w:p>
              </w:tc>
              <w:tc>
                <w:tcPr>
                  <w:tcW w:w="267" w:type="pct"/>
                  <w:tcBorders>
                    <w:tl2br w:val="nil"/>
                    <w:tr2bl w:val="nil"/>
                  </w:tcBorders>
                  <w:noWrap w:val="0"/>
                  <w:vAlign w:val="center"/>
                </w:tcPr>
                <w:p w14:paraId="46F5D011">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58.98</w:t>
                  </w:r>
                </w:p>
              </w:tc>
              <w:tc>
                <w:tcPr>
                  <w:tcW w:w="358" w:type="pct"/>
                  <w:vMerge w:val="continue"/>
                  <w:tcBorders>
                    <w:tl2br w:val="nil"/>
                    <w:tr2bl w:val="nil"/>
                  </w:tcBorders>
                  <w:noWrap w:val="0"/>
                  <w:vAlign w:val="center"/>
                </w:tcPr>
                <w:p w14:paraId="0F280C3B">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292" w:type="pct"/>
                  <w:tcBorders>
                    <w:tl2br w:val="nil"/>
                    <w:tr2bl w:val="nil"/>
                  </w:tcBorders>
                  <w:noWrap w:val="0"/>
                  <w:vAlign w:val="center"/>
                </w:tcPr>
                <w:p w14:paraId="63F5A4BA">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w:t>
                  </w:r>
                </w:p>
              </w:tc>
              <w:tc>
                <w:tcPr>
                  <w:tcW w:w="269" w:type="pct"/>
                  <w:tcBorders>
                    <w:tl2br w:val="nil"/>
                    <w:tr2bl w:val="nil"/>
                  </w:tcBorders>
                  <w:noWrap w:val="0"/>
                  <w:vAlign w:val="center"/>
                </w:tcPr>
                <w:p w14:paraId="6D04EACD">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33.98</w:t>
                  </w:r>
                </w:p>
              </w:tc>
              <w:tc>
                <w:tcPr>
                  <w:tcW w:w="304" w:type="pct"/>
                  <w:tcBorders>
                    <w:tl2br w:val="nil"/>
                    <w:tr2bl w:val="nil"/>
                  </w:tcBorders>
                  <w:noWrap w:val="0"/>
                  <w:vAlign w:val="center"/>
                </w:tcPr>
                <w:p w14:paraId="3C15CFB5">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1</w:t>
                  </w:r>
                </w:p>
              </w:tc>
            </w:tr>
            <w:tr w14:paraId="3970E5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tcBorders>
                    <w:tl2br w:val="nil"/>
                    <w:tr2bl w:val="nil"/>
                  </w:tcBorders>
                  <w:noWrap w:val="0"/>
                  <w:vAlign w:val="center"/>
                </w:tcPr>
                <w:p w14:paraId="1DAA6217">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w:t>
                  </w:r>
                </w:p>
              </w:tc>
              <w:tc>
                <w:tcPr>
                  <w:tcW w:w="285" w:type="pct"/>
                  <w:vMerge w:val="continue"/>
                  <w:tcBorders>
                    <w:tl2br w:val="nil"/>
                    <w:tr2bl w:val="nil"/>
                  </w:tcBorders>
                  <w:noWrap w:val="0"/>
                  <w:vAlign w:val="center"/>
                </w:tcPr>
                <w:p w14:paraId="408E6913">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09" w:type="pct"/>
                  <w:tcBorders>
                    <w:tl2br w:val="nil"/>
                    <w:tr2bl w:val="nil"/>
                  </w:tcBorders>
                  <w:noWrap w:val="0"/>
                  <w:vAlign w:val="center"/>
                </w:tcPr>
                <w:p w14:paraId="512AB243">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w:t>
                  </w:r>
                </w:p>
              </w:tc>
              <w:tc>
                <w:tcPr>
                  <w:tcW w:w="523" w:type="pct"/>
                  <w:tcBorders>
                    <w:tl2br w:val="nil"/>
                    <w:tr2bl w:val="nil"/>
                  </w:tcBorders>
                  <w:shd w:val="clear" w:color="auto" w:fill="auto"/>
                  <w:noWrap w:val="0"/>
                  <w:vAlign w:val="center"/>
                </w:tcPr>
                <w:p w14:paraId="3D6F9825">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振动筛选机</w:t>
                  </w:r>
                </w:p>
              </w:tc>
              <w:tc>
                <w:tcPr>
                  <w:tcW w:w="497" w:type="pct"/>
                  <w:tcBorders>
                    <w:tl2br w:val="nil"/>
                    <w:tr2bl w:val="nil"/>
                  </w:tcBorders>
                  <w:noWrap w:val="0"/>
                  <w:vAlign w:val="center"/>
                </w:tcPr>
                <w:p w14:paraId="1B4F5A68">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2470</w:t>
                  </w:r>
                </w:p>
              </w:tc>
              <w:tc>
                <w:tcPr>
                  <w:tcW w:w="570" w:type="pct"/>
                  <w:tcBorders>
                    <w:tl2br w:val="nil"/>
                    <w:tr2bl w:val="nil"/>
                  </w:tcBorders>
                  <w:noWrap w:val="0"/>
                  <w:vAlign w:val="center"/>
                </w:tcPr>
                <w:p w14:paraId="4ADA34EC">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75/1</w:t>
                  </w:r>
                </w:p>
              </w:tc>
              <w:tc>
                <w:tcPr>
                  <w:tcW w:w="329" w:type="pct"/>
                  <w:vMerge w:val="continue"/>
                  <w:tcBorders>
                    <w:tl2br w:val="nil"/>
                    <w:tr2bl w:val="nil"/>
                  </w:tcBorders>
                  <w:noWrap w:val="0"/>
                  <w:vAlign w:val="center"/>
                </w:tcPr>
                <w:p w14:paraId="74F66676">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29" w:type="pct"/>
                  <w:tcBorders>
                    <w:tl2br w:val="nil"/>
                    <w:tr2bl w:val="nil"/>
                  </w:tcBorders>
                  <w:noWrap w:val="0"/>
                  <w:vAlign w:val="center"/>
                </w:tcPr>
                <w:p w14:paraId="5C0AB360">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52</w:t>
                  </w:r>
                </w:p>
              </w:tc>
              <w:tc>
                <w:tcPr>
                  <w:tcW w:w="282" w:type="pct"/>
                  <w:tcBorders>
                    <w:tl2br w:val="nil"/>
                    <w:tr2bl w:val="nil"/>
                  </w:tcBorders>
                  <w:noWrap w:val="0"/>
                  <w:vAlign w:val="center"/>
                </w:tcPr>
                <w:p w14:paraId="09E75CD8">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-1</w:t>
                  </w:r>
                </w:p>
              </w:tc>
              <w:tc>
                <w:tcPr>
                  <w:tcW w:w="595" w:type="dxa"/>
                  <w:tcBorders>
                    <w:tl2br w:val="nil"/>
                    <w:tr2bl w:val="nil"/>
                  </w:tcBorders>
                  <w:noWrap w:val="0"/>
                  <w:vAlign w:val="center"/>
                </w:tcPr>
                <w:p w14:paraId="1E3F552A">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cs="Times New Roman"/>
                      <w:color w:val="auto"/>
                      <w:lang w:val="en-US" w:eastAsia="zh-CN"/>
                    </w:rPr>
                    <w:t>1.8</w:t>
                  </w:r>
                </w:p>
              </w:tc>
              <w:tc>
                <w:tcPr>
                  <w:tcW w:w="205" w:type="pct"/>
                  <w:tcBorders>
                    <w:tl2br w:val="nil"/>
                    <w:tr2bl w:val="nil"/>
                  </w:tcBorders>
                  <w:noWrap w:val="0"/>
                  <w:vAlign w:val="center"/>
                </w:tcPr>
                <w:p w14:paraId="7539E77C">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2</w:t>
                  </w:r>
                </w:p>
              </w:tc>
              <w:tc>
                <w:tcPr>
                  <w:tcW w:w="267" w:type="pct"/>
                  <w:tcBorders>
                    <w:tl2br w:val="nil"/>
                    <w:tr2bl w:val="nil"/>
                  </w:tcBorders>
                  <w:noWrap w:val="0"/>
                  <w:vAlign w:val="center"/>
                </w:tcPr>
                <w:p w14:paraId="5843591E">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58.98</w:t>
                  </w:r>
                </w:p>
              </w:tc>
              <w:tc>
                <w:tcPr>
                  <w:tcW w:w="358" w:type="pct"/>
                  <w:vMerge w:val="continue"/>
                  <w:tcBorders>
                    <w:tl2br w:val="nil"/>
                    <w:tr2bl w:val="nil"/>
                  </w:tcBorders>
                  <w:noWrap w:val="0"/>
                  <w:vAlign w:val="center"/>
                </w:tcPr>
                <w:p w14:paraId="235107C7">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292" w:type="pct"/>
                  <w:tcBorders>
                    <w:tl2br w:val="nil"/>
                    <w:tr2bl w:val="nil"/>
                  </w:tcBorders>
                  <w:noWrap w:val="0"/>
                  <w:vAlign w:val="center"/>
                </w:tcPr>
                <w:p w14:paraId="511835E5">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w:t>
                  </w:r>
                </w:p>
              </w:tc>
              <w:tc>
                <w:tcPr>
                  <w:tcW w:w="269" w:type="pct"/>
                  <w:tcBorders>
                    <w:tl2br w:val="nil"/>
                    <w:tr2bl w:val="nil"/>
                  </w:tcBorders>
                  <w:noWrap w:val="0"/>
                  <w:vAlign w:val="center"/>
                </w:tcPr>
                <w:p w14:paraId="168052F6">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33.98</w:t>
                  </w:r>
                </w:p>
              </w:tc>
              <w:tc>
                <w:tcPr>
                  <w:tcW w:w="304" w:type="pct"/>
                  <w:tcBorders>
                    <w:tl2br w:val="nil"/>
                    <w:tr2bl w:val="nil"/>
                  </w:tcBorders>
                  <w:noWrap w:val="0"/>
                  <w:vAlign w:val="center"/>
                </w:tcPr>
                <w:p w14:paraId="15F471BA">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1</w:t>
                  </w:r>
                </w:p>
              </w:tc>
            </w:tr>
            <w:tr w14:paraId="6611A6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tcBorders>
                    <w:tl2br w:val="nil"/>
                    <w:tr2bl w:val="nil"/>
                  </w:tcBorders>
                  <w:noWrap w:val="0"/>
                  <w:vAlign w:val="center"/>
                </w:tcPr>
                <w:p w14:paraId="6F2AA232">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8</w:t>
                  </w:r>
                </w:p>
              </w:tc>
              <w:tc>
                <w:tcPr>
                  <w:tcW w:w="285" w:type="pct"/>
                  <w:vMerge w:val="continue"/>
                  <w:tcBorders>
                    <w:tl2br w:val="nil"/>
                    <w:tr2bl w:val="nil"/>
                  </w:tcBorders>
                  <w:noWrap w:val="0"/>
                  <w:vAlign w:val="center"/>
                </w:tcPr>
                <w:p w14:paraId="7BBE35DE">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09" w:type="pct"/>
                  <w:tcBorders>
                    <w:tl2br w:val="nil"/>
                    <w:tr2bl w:val="nil"/>
                  </w:tcBorders>
                  <w:noWrap w:val="0"/>
                  <w:vAlign w:val="center"/>
                </w:tcPr>
                <w:p w14:paraId="614A810E">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w:t>
                  </w:r>
                </w:p>
              </w:tc>
              <w:tc>
                <w:tcPr>
                  <w:tcW w:w="523" w:type="pct"/>
                  <w:tcBorders>
                    <w:tl2br w:val="nil"/>
                    <w:tr2bl w:val="nil"/>
                  </w:tcBorders>
                  <w:noWrap w:val="0"/>
                  <w:vAlign w:val="center"/>
                </w:tcPr>
                <w:p w14:paraId="55A9E43F">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自动搅拌系统</w:t>
                  </w:r>
                </w:p>
              </w:tc>
              <w:tc>
                <w:tcPr>
                  <w:tcW w:w="497" w:type="pct"/>
                  <w:tcBorders>
                    <w:tl2br w:val="nil"/>
                    <w:tr2bl w:val="nil"/>
                  </w:tcBorders>
                  <w:noWrap w:val="0"/>
                  <w:vAlign w:val="center"/>
                </w:tcPr>
                <w:p w14:paraId="43F9B99E">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MP750</w:t>
                  </w:r>
                </w:p>
              </w:tc>
              <w:tc>
                <w:tcPr>
                  <w:tcW w:w="570" w:type="pct"/>
                  <w:tcBorders>
                    <w:tl2br w:val="nil"/>
                    <w:tr2bl w:val="nil"/>
                  </w:tcBorders>
                  <w:noWrap w:val="0"/>
                  <w:vAlign w:val="center"/>
                </w:tcPr>
                <w:p w14:paraId="55D5B8EF">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75/1</w:t>
                  </w:r>
                </w:p>
              </w:tc>
              <w:tc>
                <w:tcPr>
                  <w:tcW w:w="329" w:type="pct"/>
                  <w:vMerge w:val="continue"/>
                  <w:tcBorders>
                    <w:tl2br w:val="nil"/>
                    <w:tr2bl w:val="nil"/>
                  </w:tcBorders>
                  <w:noWrap w:val="0"/>
                  <w:vAlign w:val="center"/>
                </w:tcPr>
                <w:p w14:paraId="035FCACA">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29" w:type="pct"/>
                  <w:tcBorders>
                    <w:tl2br w:val="nil"/>
                    <w:tr2bl w:val="nil"/>
                  </w:tcBorders>
                  <w:noWrap w:val="0"/>
                  <w:vAlign w:val="center"/>
                </w:tcPr>
                <w:p w14:paraId="111C089C">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12</w:t>
                  </w:r>
                </w:p>
              </w:tc>
              <w:tc>
                <w:tcPr>
                  <w:tcW w:w="282" w:type="pct"/>
                  <w:tcBorders>
                    <w:tl2br w:val="nil"/>
                    <w:tr2bl w:val="nil"/>
                  </w:tcBorders>
                  <w:noWrap w:val="0"/>
                  <w:vAlign w:val="center"/>
                </w:tcPr>
                <w:p w14:paraId="099CF391">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5</w:t>
                  </w:r>
                </w:p>
              </w:tc>
              <w:tc>
                <w:tcPr>
                  <w:tcW w:w="595" w:type="dxa"/>
                  <w:tcBorders>
                    <w:tl2br w:val="nil"/>
                    <w:tr2bl w:val="nil"/>
                  </w:tcBorders>
                  <w:noWrap w:val="0"/>
                  <w:vAlign w:val="center"/>
                </w:tcPr>
                <w:p w14:paraId="44288FC2">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cs="Times New Roman"/>
                      <w:color w:val="auto"/>
                      <w:lang w:val="en-US" w:eastAsia="zh-CN"/>
                    </w:rPr>
                    <w:t>3.2</w:t>
                  </w:r>
                </w:p>
              </w:tc>
              <w:tc>
                <w:tcPr>
                  <w:tcW w:w="205" w:type="pct"/>
                  <w:tcBorders>
                    <w:tl2br w:val="nil"/>
                    <w:tr2bl w:val="nil"/>
                  </w:tcBorders>
                  <w:noWrap w:val="0"/>
                  <w:vAlign w:val="center"/>
                </w:tcPr>
                <w:p w14:paraId="2DB8DB0D">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2</w:t>
                  </w:r>
                </w:p>
              </w:tc>
              <w:tc>
                <w:tcPr>
                  <w:tcW w:w="267" w:type="pct"/>
                  <w:tcBorders>
                    <w:tl2br w:val="nil"/>
                    <w:tr2bl w:val="nil"/>
                  </w:tcBorders>
                  <w:noWrap w:val="0"/>
                  <w:vAlign w:val="center"/>
                </w:tcPr>
                <w:p w14:paraId="5D3D181E">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58.98</w:t>
                  </w:r>
                </w:p>
              </w:tc>
              <w:tc>
                <w:tcPr>
                  <w:tcW w:w="358" w:type="pct"/>
                  <w:vMerge w:val="continue"/>
                  <w:tcBorders>
                    <w:tl2br w:val="nil"/>
                    <w:tr2bl w:val="nil"/>
                  </w:tcBorders>
                  <w:noWrap w:val="0"/>
                  <w:vAlign w:val="center"/>
                </w:tcPr>
                <w:p w14:paraId="01379E6E">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292" w:type="pct"/>
                  <w:tcBorders>
                    <w:tl2br w:val="nil"/>
                    <w:tr2bl w:val="nil"/>
                  </w:tcBorders>
                  <w:noWrap w:val="0"/>
                  <w:vAlign w:val="center"/>
                </w:tcPr>
                <w:p w14:paraId="2327BE86">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w:t>
                  </w:r>
                </w:p>
              </w:tc>
              <w:tc>
                <w:tcPr>
                  <w:tcW w:w="269" w:type="pct"/>
                  <w:tcBorders>
                    <w:tl2br w:val="nil"/>
                    <w:tr2bl w:val="nil"/>
                  </w:tcBorders>
                  <w:noWrap w:val="0"/>
                  <w:vAlign w:val="center"/>
                </w:tcPr>
                <w:p w14:paraId="0AE186B6">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33.98</w:t>
                  </w:r>
                </w:p>
              </w:tc>
              <w:tc>
                <w:tcPr>
                  <w:tcW w:w="304" w:type="pct"/>
                  <w:tcBorders>
                    <w:tl2br w:val="nil"/>
                    <w:tr2bl w:val="nil"/>
                  </w:tcBorders>
                  <w:noWrap w:val="0"/>
                  <w:vAlign w:val="center"/>
                </w:tcPr>
                <w:p w14:paraId="7E974AFA">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1</w:t>
                  </w:r>
                </w:p>
              </w:tc>
            </w:tr>
            <w:tr w14:paraId="015CA8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tcBorders>
                    <w:tl2br w:val="nil"/>
                    <w:tr2bl w:val="nil"/>
                  </w:tcBorders>
                  <w:noWrap w:val="0"/>
                  <w:vAlign w:val="center"/>
                </w:tcPr>
                <w:p w14:paraId="301686CD">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9</w:t>
                  </w:r>
                </w:p>
              </w:tc>
              <w:tc>
                <w:tcPr>
                  <w:tcW w:w="285" w:type="pct"/>
                  <w:vMerge w:val="continue"/>
                  <w:tcBorders>
                    <w:tl2br w:val="nil"/>
                    <w:tr2bl w:val="nil"/>
                  </w:tcBorders>
                  <w:noWrap w:val="0"/>
                  <w:vAlign w:val="center"/>
                </w:tcPr>
                <w:p w14:paraId="05FA83D6">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09" w:type="pct"/>
                  <w:tcBorders>
                    <w:tl2br w:val="nil"/>
                    <w:tr2bl w:val="nil"/>
                  </w:tcBorders>
                  <w:noWrap w:val="0"/>
                  <w:vAlign w:val="center"/>
                </w:tcPr>
                <w:p w14:paraId="77D8EDD2">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w:t>
                  </w:r>
                </w:p>
              </w:tc>
              <w:tc>
                <w:tcPr>
                  <w:tcW w:w="523" w:type="pct"/>
                  <w:tcBorders>
                    <w:tl2br w:val="nil"/>
                    <w:tr2bl w:val="nil"/>
                  </w:tcBorders>
                  <w:noWrap w:val="0"/>
                  <w:vAlign w:val="center"/>
                </w:tcPr>
                <w:p w14:paraId="569E24FF">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自动搅拌系统</w:t>
                  </w:r>
                </w:p>
              </w:tc>
              <w:tc>
                <w:tcPr>
                  <w:tcW w:w="497" w:type="pct"/>
                  <w:tcBorders>
                    <w:tl2br w:val="nil"/>
                    <w:tr2bl w:val="nil"/>
                  </w:tcBorders>
                  <w:noWrap w:val="0"/>
                  <w:vAlign w:val="center"/>
                </w:tcPr>
                <w:p w14:paraId="6AA6C380">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MP750</w:t>
                  </w:r>
                </w:p>
              </w:tc>
              <w:tc>
                <w:tcPr>
                  <w:tcW w:w="570" w:type="pct"/>
                  <w:tcBorders>
                    <w:tl2br w:val="nil"/>
                    <w:tr2bl w:val="nil"/>
                  </w:tcBorders>
                  <w:noWrap w:val="0"/>
                  <w:vAlign w:val="center"/>
                </w:tcPr>
                <w:p w14:paraId="6BE4391B">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75/1</w:t>
                  </w:r>
                </w:p>
              </w:tc>
              <w:tc>
                <w:tcPr>
                  <w:tcW w:w="329" w:type="pct"/>
                  <w:vMerge w:val="continue"/>
                  <w:tcBorders>
                    <w:tl2br w:val="nil"/>
                    <w:tr2bl w:val="nil"/>
                  </w:tcBorders>
                  <w:noWrap w:val="0"/>
                  <w:vAlign w:val="center"/>
                </w:tcPr>
                <w:p w14:paraId="24C11B72">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29" w:type="pct"/>
                  <w:tcBorders>
                    <w:tl2br w:val="nil"/>
                    <w:tr2bl w:val="nil"/>
                  </w:tcBorders>
                  <w:noWrap w:val="0"/>
                  <w:vAlign w:val="center"/>
                </w:tcPr>
                <w:p w14:paraId="77421773">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17</w:t>
                  </w:r>
                </w:p>
              </w:tc>
              <w:tc>
                <w:tcPr>
                  <w:tcW w:w="282" w:type="pct"/>
                  <w:tcBorders>
                    <w:tl2br w:val="nil"/>
                    <w:tr2bl w:val="nil"/>
                  </w:tcBorders>
                  <w:noWrap w:val="0"/>
                  <w:vAlign w:val="center"/>
                </w:tcPr>
                <w:p w14:paraId="7F85DE8E">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25</w:t>
                  </w:r>
                </w:p>
              </w:tc>
              <w:tc>
                <w:tcPr>
                  <w:tcW w:w="595" w:type="dxa"/>
                  <w:tcBorders>
                    <w:tl2br w:val="nil"/>
                    <w:tr2bl w:val="nil"/>
                  </w:tcBorders>
                  <w:noWrap w:val="0"/>
                  <w:vAlign w:val="center"/>
                </w:tcPr>
                <w:p w14:paraId="0D3CDFA5">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cs="Times New Roman"/>
                      <w:color w:val="auto"/>
                      <w:lang w:val="en-US" w:eastAsia="zh-CN"/>
                    </w:rPr>
                    <w:t>3.2</w:t>
                  </w:r>
                </w:p>
              </w:tc>
              <w:tc>
                <w:tcPr>
                  <w:tcW w:w="205" w:type="pct"/>
                  <w:tcBorders>
                    <w:tl2br w:val="nil"/>
                    <w:tr2bl w:val="nil"/>
                  </w:tcBorders>
                  <w:noWrap w:val="0"/>
                  <w:vAlign w:val="center"/>
                </w:tcPr>
                <w:p w14:paraId="5CEC0D19">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2</w:t>
                  </w:r>
                </w:p>
              </w:tc>
              <w:tc>
                <w:tcPr>
                  <w:tcW w:w="267" w:type="pct"/>
                  <w:tcBorders>
                    <w:tl2br w:val="nil"/>
                    <w:tr2bl w:val="nil"/>
                  </w:tcBorders>
                  <w:noWrap w:val="0"/>
                  <w:vAlign w:val="center"/>
                </w:tcPr>
                <w:p w14:paraId="07DD0672">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58.98</w:t>
                  </w:r>
                </w:p>
              </w:tc>
              <w:tc>
                <w:tcPr>
                  <w:tcW w:w="358" w:type="pct"/>
                  <w:vMerge w:val="continue"/>
                  <w:tcBorders>
                    <w:tl2br w:val="nil"/>
                    <w:tr2bl w:val="nil"/>
                  </w:tcBorders>
                  <w:noWrap w:val="0"/>
                  <w:vAlign w:val="center"/>
                </w:tcPr>
                <w:p w14:paraId="56E8063C">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292" w:type="pct"/>
                  <w:tcBorders>
                    <w:tl2br w:val="nil"/>
                    <w:tr2bl w:val="nil"/>
                  </w:tcBorders>
                  <w:noWrap w:val="0"/>
                  <w:vAlign w:val="center"/>
                </w:tcPr>
                <w:p w14:paraId="4550CFDF">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w:t>
                  </w:r>
                </w:p>
              </w:tc>
              <w:tc>
                <w:tcPr>
                  <w:tcW w:w="269" w:type="pct"/>
                  <w:tcBorders>
                    <w:tl2br w:val="nil"/>
                    <w:tr2bl w:val="nil"/>
                  </w:tcBorders>
                  <w:noWrap w:val="0"/>
                  <w:vAlign w:val="center"/>
                </w:tcPr>
                <w:p w14:paraId="3CBCA814">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33.98</w:t>
                  </w:r>
                </w:p>
              </w:tc>
              <w:tc>
                <w:tcPr>
                  <w:tcW w:w="304" w:type="pct"/>
                  <w:tcBorders>
                    <w:tl2br w:val="nil"/>
                    <w:tr2bl w:val="nil"/>
                  </w:tcBorders>
                  <w:noWrap w:val="0"/>
                  <w:vAlign w:val="center"/>
                </w:tcPr>
                <w:p w14:paraId="4337BD83">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1</w:t>
                  </w:r>
                </w:p>
              </w:tc>
            </w:tr>
            <w:tr w14:paraId="3CD7FD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149" w:type="pct"/>
                  <w:tcBorders>
                    <w:tl2br w:val="nil"/>
                    <w:tr2bl w:val="nil"/>
                  </w:tcBorders>
                  <w:noWrap w:val="0"/>
                  <w:vAlign w:val="center"/>
                </w:tcPr>
                <w:p w14:paraId="7488DE14">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10</w:t>
                  </w:r>
                </w:p>
              </w:tc>
              <w:tc>
                <w:tcPr>
                  <w:tcW w:w="285" w:type="pct"/>
                  <w:vMerge w:val="continue"/>
                  <w:tcBorders>
                    <w:tl2br w:val="nil"/>
                    <w:tr2bl w:val="nil"/>
                  </w:tcBorders>
                  <w:noWrap w:val="0"/>
                  <w:vAlign w:val="center"/>
                </w:tcPr>
                <w:p w14:paraId="3FA7F3ED">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09" w:type="pct"/>
                  <w:tcBorders>
                    <w:tl2br w:val="nil"/>
                    <w:tr2bl w:val="nil"/>
                  </w:tcBorders>
                  <w:noWrap w:val="0"/>
                  <w:vAlign w:val="center"/>
                </w:tcPr>
                <w:p w14:paraId="47716DFE">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w:t>
                  </w:r>
                </w:p>
              </w:tc>
              <w:tc>
                <w:tcPr>
                  <w:tcW w:w="523" w:type="pct"/>
                  <w:tcBorders>
                    <w:tl2br w:val="nil"/>
                    <w:tr2bl w:val="nil"/>
                  </w:tcBorders>
                  <w:noWrap w:val="0"/>
                  <w:vAlign w:val="center"/>
                </w:tcPr>
                <w:p w14:paraId="6DDDAB3C">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码垛系统</w:t>
                  </w:r>
                </w:p>
              </w:tc>
              <w:tc>
                <w:tcPr>
                  <w:tcW w:w="497" w:type="pct"/>
                  <w:tcBorders>
                    <w:tl2br w:val="nil"/>
                    <w:tr2bl w:val="nil"/>
                  </w:tcBorders>
                  <w:noWrap w:val="0"/>
                  <w:vAlign w:val="center"/>
                </w:tcPr>
                <w:p w14:paraId="49BDEB7A">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w:t>
                  </w:r>
                </w:p>
              </w:tc>
              <w:tc>
                <w:tcPr>
                  <w:tcW w:w="570" w:type="pct"/>
                  <w:tcBorders>
                    <w:tl2br w:val="nil"/>
                    <w:tr2bl w:val="nil"/>
                  </w:tcBorders>
                  <w:noWrap w:val="0"/>
                  <w:vAlign w:val="center"/>
                </w:tcPr>
                <w:p w14:paraId="330CDE7C">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70/1</w:t>
                  </w:r>
                </w:p>
              </w:tc>
              <w:tc>
                <w:tcPr>
                  <w:tcW w:w="329" w:type="pct"/>
                  <w:vMerge w:val="continue"/>
                  <w:tcBorders>
                    <w:tl2br w:val="nil"/>
                    <w:tr2bl w:val="nil"/>
                  </w:tcBorders>
                  <w:noWrap w:val="0"/>
                  <w:vAlign w:val="center"/>
                </w:tcPr>
                <w:p w14:paraId="0CCBBA3D">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p>
              </w:tc>
              <w:tc>
                <w:tcPr>
                  <w:tcW w:w="229" w:type="pct"/>
                  <w:tcBorders>
                    <w:tl2br w:val="nil"/>
                    <w:tr2bl w:val="nil"/>
                  </w:tcBorders>
                  <w:noWrap w:val="0"/>
                  <w:vAlign w:val="center"/>
                </w:tcPr>
                <w:p w14:paraId="389AD293">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42</w:t>
                  </w:r>
                </w:p>
              </w:tc>
              <w:tc>
                <w:tcPr>
                  <w:tcW w:w="282" w:type="pct"/>
                  <w:tcBorders>
                    <w:tl2br w:val="nil"/>
                    <w:tr2bl w:val="nil"/>
                  </w:tcBorders>
                  <w:noWrap w:val="0"/>
                  <w:vAlign w:val="center"/>
                </w:tcPr>
                <w:p w14:paraId="43E159F6">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65</w:t>
                  </w:r>
                </w:p>
              </w:tc>
              <w:tc>
                <w:tcPr>
                  <w:tcW w:w="595" w:type="dxa"/>
                  <w:tcBorders>
                    <w:tl2br w:val="nil"/>
                    <w:tr2bl w:val="nil"/>
                  </w:tcBorders>
                  <w:noWrap w:val="0"/>
                  <w:vAlign w:val="center"/>
                </w:tcPr>
                <w:p w14:paraId="57259EBB">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eastAsia" w:cs="Times New Roman"/>
                      <w:color w:val="auto"/>
                      <w:lang w:val="en-US" w:eastAsia="zh-CN"/>
                    </w:rPr>
                    <w:t>1.8</w:t>
                  </w:r>
                </w:p>
              </w:tc>
              <w:tc>
                <w:tcPr>
                  <w:tcW w:w="205" w:type="pct"/>
                  <w:tcBorders>
                    <w:tl2br w:val="nil"/>
                    <w:tr2bl w:val="nil"/>
                  </w:tcBorders>
                  <w:noWrap w:val="0"/>
                  <w:vAlign w:val="center"/>
                </w:tcPr>
                <w:p w14:paraId="69358CCD">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2</w:t>
                  </w:r>
                </w:p>
              </w:tc>
              <w:tc>
                <w:tcPr>
                  <w:tcW w:w="267" w:type="pct"/>
                  <w:tcBorders>
                    <w:tl2br w:val="nil"/>
                    <w:tr2bl w:val="nil"/>
                  </w:tcBorders>
                  <w:noWrap w:val="0"/>
                  <w:vAlign w:val="center"/>
                </w:tcPr>
                <w:p w14:paraId="1910B61F">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53.98</w:t>
                  </w:r>
                </w:p>
              </w:tc>
              <w:tc>
                <w:tcPr>
                  <w:tcW w:w="358" w:type="pct"/>
                  <w:vMerge w:val="continue"/>
                  <w:tcBorders>
                    <w:tl2br w:val="nil"/>
                    <w:tr2bl w:val="nil"/>
                  </w:tcBorders>
                  <w:noWrap w:val="0"/>
                  <w:vAlign w:val="center"/>
                </w:tcPr>
                <w:p w14:paraId="302792D6">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p>
              </w:tc>
              <w:tc>
                <w:tcPr>
                  <w:tcW w:w="292" w:type="pct"/>
                  <w:tcBorders>
                    <w:tl2br w:val="nil"/>
                    <w:tr2bl w:val="nil"/>
                  </w:tcBorders>
                  <w:noWrap w:val="0"/>
                  <w:vAlign w:val="center"/>
                </w:tcPr>
                <w:p w14:paraId="7D98D367">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25</w:t>
                  </w:r>
                </w:p>
              </w:tc>
              <w:tc>
                <w:tcPr>
                  <w:tcW w:w="269" w:type="pct"/>
                  <w:tcBorders>
                    <w:tl2br w:val="nil"/>
                    <w:tr2bl w:val="nil"/>
                  </w:tcBorders>
                  <w:noWrap w:val="0"/>
                  <w:vAlign w:val="center"/>
                </w:tcPr>
                <w:p w14:paraId="37DB3E72">
                  <w:pPr>
                    <w:pStyle w:val="56"/>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28.98</w:t>
                  </w:r>
                </w:p>
              </w:tc>
              <w:tc>
                <w:tcPr>
                  <w:tcW w:w="304" w:type="pct"/>
                  <w:tcBorders>
                    <w:tl2br w:val="nil"/>
                    <w:tr2bl w:val="nil"/>
                  </w:tcBorders>
                  <w:noWrap w:val="0"/>
                  <w:vAlign w:val="center"/>
                </w:tcPr>
                <w:p w14:paraId="3C02A51F">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1</w:t>
                  </w:r>
                </w:p>
              </w:tc>
            </w:tr>
            <w:tr w14:paraId="78CAE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rPr>
              <w:tc>
                <w:tcPr>
                  <w:tcW w:w="5000" w:type="pct"/>
                  <w:gridSpan w:val="16"/>
                  <w:tcBorders>
                    <w:tl2br w:val="nil"/>
                    <w:tr2bl w:val="nil"/>
                  </w:tcBorders>
                  <w:noWrap w:val="0"/>
                  <w:vAlign w:val="center"/>
                </w:tcPr>
                <w:p w14:paraId="446BF0A9">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*注：设北厂界与西厂界的交点为设备位置原点（</w:t>
                  </w:r>
                  <w:r>
                    <w:rPr>
                      <w:rFonts w:hint="eastAsia" w:cs="Times New Roman"/>
                      <w:color w:val="auto"/>
                      <w:lang w:val="en-US" w:eastAsia="zh-CN"/>
                    </w:rPr>
                    <w:t>经度115度25分28.613秒，纬度28度10分33.238秒</w:t>
                  </w:r>
                  <w:r>
                    <w:rPr>
                      <w:rFonts w:hint="eastAsia" w:ascii="Times New Roman" w:hAnsi="Times New Roman" w:eastAsia="宋体" w:cs="Times New Roman"/>
                      <w:color w:val="auto"/>
                      <w:lang w:val="en-US" w:eastAsia="zh-CN"/>
                    </w:rPr>
                    <w:t>）。</w:t>
                  </w:r>
                </w:p>
              </w:tc>
            </w:tr>
          </w:tbl>
          <w:p w14:paraId="37F9CBD2">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工业企业噪声源强调查清单（室外声源）</w:t>
            </w:r>
          </w:p>
          <w:tbl>
            <w:tblPr>
              <w:tblStyle w:val="113"/>
              <w:tblW w:w="499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6"/>
              <w:gridCol w:w="1105"/>
              <w:gridCol w:w="875"/>
              <w:gridCol w:w="1172"/>
              <w:gridCol w:w="1245"/>
              <w:gridCol w:w="1288"/>
              <w:gridCol w:w="2201"/>
              <w:gridCol w:w="3303"/>
              <w:gridCol w:w="1625"/>
            </w:tblGrid>
            <w:tr w14:paraId="661234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jc w:val="center"/>
              </w:trPr>
              <w:tc>
                <w:tcPr>
                  <w:tcW w:w="239" w:type="pct"/>
                  <w:vMerge w:val="restart"/>
                  <w:tcBorders>
                    <w:tl2br w:val="nil"/>
                    <w:tr2bl w:val="nil"/>
                  </w:tcBorders>
                  <w:noWrap w:val="0"/>
                  <w:vAlign w:val="center"/>
                </w:tcPr>
                <w:p w14:paraId="7BAC66F2">
                  <w:pPr>
                    <w:pStyle w:val="56"/>
                    <w:bidi w:val="0"/>
                    <w:jc w:val="center"/>
                    <w:rPr>
                      <w:rFonts w:hint="default"/>
                      <w:color w:val="auto"/>
                    </w:rPr>
                  </w:pPr>
                  <w:r>
                    <w:rPr>
                      <w:rFonts w:hint="default"/>
                      <w:color w:val="auto"/>
                    </w:rPr>
                    <w:t>序号</w:t>
                  </w:r>
                </w:p>
              </w:tc>
              <w:tc>
                <w:tcPr>
                  <w:tcW w:w="410" w:type="pct"/>
                  <w:vMerge w:val="restart"/>
                  <w:tcBorders>
                    <w:tl2br w:val="nil"/>
                    <w:tr2bl w:val="nil"/>
                  </w:tcBorders>
                  <w:noWrap w:val="0"/>
                  <w:vAlign w:val="center"/>
                </w:tcPr>
                <w:p w14:paraId="3439FCFA">
                  <w:pPr>
                    <w:pStyle w:val="56"/>
                    <w:bidi w:val="0"/>
                    <w:jc w:val="center"/>
                    <w:rPr>
                      <w:rFonts w:hint="default"/>
                      <w:color w:val="auto"/>
                    </w:rPr>
                  </w:pPr>
                  <w:r>
                    <w:rPr>
                      <w:rFonts w:hint="default"/>
                      <w:color w:val="auto"/>
                    </w:rPr>
                    <w:t>声源名称</w:t>
                  </w:r>
                </w:p>
              </w:tc>
              <w:tc>
                <w:tcPr>
                  <w:tcW w:w="325" w:type="pct"/>
                  <w:vMerge w:val="restart"/>
                  <w:tcBorders>
                    <w:tl2br w:val="nil"/>
                    <w:tr2bl w:val="nil"/>
                  </w:tcBorders>
                  <w:noWrap w:val="0"/>
                  <w:vAlign w:val="center"/>
                </w:tcPr>
                <w:p w14:paraId="79BC1B16">
                  <w:pPr>
                    <w:pStyle w:val="56"/>
                    <w:bidi w:val="0"/>
                    <w:jc w:val="center"/>
                    <w:rPr>
                      <w:rFonts w:hint="default"/>
                      <w:color w:val="auto"/>
                    </w:rPr>
                  </w:pPr>
                  <w:r>
                    <w:rPr>
                      <w:rFonts w:hint="default"/>
                      <w:color w:val="auto"/>
                    </w:rPr>
                    <w:t>型号</w:t>
                  </w:r>
                </w:p>
              </w:tc>
              <w:tc>
                <w:tcPr>
                  <w:tcW w:w="1376" w:type="pct"/>
                  <w:gridSpan w:val="3"/>
                  <w:tcBorders>
                    <w:tl2br w:val="nil"/>
                    <w:tr2bl w:val="nil"/>
                  </w:tcBorders>
                  <w:noWrap w:val="0"/>
                  <w:vAlign w:val="center"/>
                </w:tcPr>
                <w:p w14:paraId="3AE92B67">
                  <w:pPr>
                    <w:pStyle w:val="56"/>
                    <w:bidi w:val="0"/>
                    <w:jc w:val="center"/>
                    <w:rPr>
                      <w:rFonts w:hint="default"/>
                      <w:color w:val="auto"/>
                    </w:rPr>
                  </w:pPr>
                  <w:r>
                    <w:rPr>
                      <w:rFonts w:hint="default"/>
                      <w:color w:val="auto"/>
                    </w:rPr>
                    <w:t>空间相对位置/m</w:t>
                  </w:r>
                </w:p>
              </w:tc>
              <w:tc>
                <w:tcPr>
                  <w:tcW w:w="817" w:type="pct"/>
                  <w:vMerge w:val="restart"/>
                  <w:tcBorders>
                    <w:tl2br w:val="nil"/>
                    <w:tr2bl w:val="nil"/>
                  </w:tcBorders>
                  <w:noWrap w:val="0"/>
                  <w:vAlign w:val="center"/>
                </w:tcPr>
                <w:p w14:paraId="14575473">
                  <w:pPr>
                    <w:pStyle w:val="56"/>
                    <w:bidi w:val="0"/>
                    <w:jc w:val="center"/>
                    <w:rPr>
                      <w:rFonts w:hint="default"/>
                      <w:color w:val="auto"/>
                      <w:lang w:eastAsia="zh-CN"/>
                    </w:rPr>
                  </w:pPr>
                  <w:r>
                    <w:rPr>
                      <w:rFonts w:hint="default"/>
                      <w:color w:val="auto"/>
                    </w:rPr>
                    <w:t>声源源强/dB（A）</w:t>
                  </w:r>
                </w:p>
              </w:tc>
              <w:tc>
                <w:tcPr>
                  <w:tcW w:w="1226" w:type="pct"/>
                  <w:vMerge w:val="restart"/>
                  <w:tcBorders>
                    <w:tl2br w:val="nil"/>
                    <w:tr2bl w:val="nil"/>
                  </w:tcBorders>
                  <w:noWrap w:val="0"/>
                  <w:vAlign w:val="center"/>
                </w:tcPr>
                <w:p w14:paraId="7E14448E">
                  <w:pPr>
                    <w:pStyle w:val="56"/>
                    <w:bidi w:val="0"/>
                    <w:jc w:val="center"/>
                    <w:rPr>
                      <w:rFonts w:hint="default"/>
                      <w:color w:val="auto"/>
                    </w:rPr>
                  </w:pPr>
                  <w:r>
                    <w:rPr>
                      <w:rFonts w:hint="default"/>
                      <w:color w:val="auto"/>
                    </w:rPr>
                    <w:t>声源控制措施</w:t>
                  </w:r>
                </w:p>
              </w:tc>
              <w:tc>
                <w:tcPr>
                  <w:tcW w:w="603" w:type="pct"/>
                  <w:vMerge w:val="restart"/>
                  <w:tcBorders>
                    <w:tl2br w:val="nil"/>
                    <w:tr2bl w:val="nil"/>
                  </w:tcBorders>
                  <w:noWrap w:val="0"/>
                  <w:vAlign w:val="center"/>
                </w:tcPr>
                <w:p w14:paraId="4B55460B">
                  <w:pPr>
                    <w:pStyle w:val="56"/>
                    <w:bidi w:val="0"/>
                    <w:jc w:val="center"/>
                    <w:rPr>
                      <w:rFonts w:hint="default"/>
                      <w:color w:val="auto"/>
                    </w:rPr>
                  </w:pPr>
                  <w:r>
                    <w:rPr>
                      <w:rFonts w:hint="default"/>
                      <w:color w:val="auto"/>
                    </w:rPr>
                    <w:t>运行时段</w:t>
                  </w:r>
                </w:p>
              </w:tc>
            </w:tr>
            <w:tr w14:paraId="62E76D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jc w:val="center"/>
              </w:trPr>
              <w:tc>
                <w:tcPr>
                  <w:tcW w:w="239" w:type="pct"/>
                  <w:vMerge w:val="continue"/>
                  <w:tcBorders>
                    <w:tl2br w:val="nil"/>
                    <w:tr2bl w:val="nil"/>
                  </w:tcBorders>
                  <w:noWrap w:val="0"/>
                  <w:vAlign w:val="center"/>
                </w:tcPr>
                <w:p w14:paraId="20CE416E">
                  <w:pPr>
                    <w:pStyle w:val="56"/>
                    <w:bidi w:val="0"/>
                    <w:jc w:val="center"/>
                    <w:rPr>
                      <w:rFonts w:hint="default"/>
                      <w:color w:val="auto"/>
                    </w:rPr>
                  </w:pPr>
                </w:p>
              </w:tc>
              <w:tc>
                <w:tcPr>
                  <w:tcW w:w="410" w:type="pct"/>
                  <w:vMerge w:val="continue"/>
                  <w:tcBorders>
                    <w:tl2br w:val="nil"/>
                    <w:tr2bl w:val="nil"/>
                  </w:tcBorders>
                  <w:noWrap w:val="0"/>
                  <w:vAlign w:val="center"/>
                </w:tcPr>
                <w:p w14:paraId="36CF534A">
                  <w:pPr>
                    <w:pStyle w:val="56"/>
                    <w:bidi w:val="0"/>
                    <w:jc w:val="center"/>
                    <w:rPr>
                      <w:rFonts w:hint="default"/>
                      <w:color w:val="auto"/>
                    </w:rPr>
                  </w:pPr>
                </w:p>
              </w:tc>
              <w:tc>
                <w:tcPr>
                  <w:tcW w:w="325" w:type="pct"/>
                  <w:vMerge w:val="continue"/>
                  <w:tcBorders>
                    <w:tl2br w:val="nil"/>
                    <w:tr2bl w:val="nil"/>
                  </w:tcBorders>
                  <w:noWrap w:val="0"/>
                  <w:vAlign w:val="center"/>
                </w:tcPr>
                <w:p w14:paraId="7DCC6D62">
                  <w:pPr>
                    <w:pStyle w:val="56"/>
                    <w:bidi w:val="0"/>
                    <w:jc w:val="center"/>
                    <w:rPr>
                      <w:rFonts w:hint="default"/>
                      <w:color w:val="auto"/>
                    </w:rPr>
                  </w:pPr>
                </w:p>
              </w:tc>
              <w:tc>
                <w:tcPr>
                  <w:tcW w:w="435" w:type="pct"/>
                  <w:tcBorders>
                    <w:tl2br w:val="nil"/>
                    <w:tr2bl w:val="nil"/>
                  </w:tcBorders>
                  <w:noWrap w:val="0"/>
                  <w:vAlign w:val="center"/>
                </w:tcPr>
                <w:p w14:paraId="791D86E4">
                  <w:pPr>
                    <w:pStyle w:val="56"/>
                    <w:bidi w:val="0"/>
                    <w:jc w:val="center"/>
                    <w:rPr>
                      <w:rFonts w:hint="default"/>
                      <w:color w:val="auto"/>
                    </w:rPr>
                  </w:pPr>
                  <w:r>
                    <w:rPr>
                      <w:rFonts w:hint="default"/>
                      <w:color w:val="auto"/>
                    </w:rPr>
                    <w:t>X</w:t>
                  </w:r>
                </w:p>
              </w:tc>
              <w:tc>
                <w:tcPr>
                  <w:tcW w:w="462" w:type="pct"/>
                  <w:tcBorders>
                    <w:tl2br w:val="nil"/>
                    <w:tr2bl w:val="nil"/>
                  </w:tcBorders>
                  <w:noWrap w:val="0"/>
                  <w:vAlign w:val="center"/>
                </w:tcPr>
                <w:p w14:paraId="6E98769B">
                  <w:pPr>
                    <w:pStyle w:val="56"/>
                    <w:bidi w:val="0"/>
                    <w:jc w:val="center"/>
                    <w:rPr>
                      <w:rFonts w:hint="default"/>
                      <w:color w:val="auto"/>
                    </w:rPr>
                  </w:pPr>
                  <w:r>
                    <w:rPr>
                      <w:rFonts w:hint="default"/>
                      <w:color w:val="auto"/>
                    </w:rPr>
                    <w:t>Y</w:t>
                  </w:r>
                </w:p>
              </w:tc>
              <w:tc>
                <w:tcPr>
                  <w:tcW w:w="478" w:type="pct"/>
                  <w:tcBorders>
                    <w:tl2br w:val="nil"/>
                    <w:tr2bl w:val="nil"/>
                  </w:tcBorders>
                  <w:noWrap w:val="0"/>
                  <w:vAlign w:val="center"/>
                </w:tcPr>
                <w:p w14:paraId="1F2C4981">
                  <w:pPr>
                    <w:pStyle w:val="56"/>
                    <w:bidi w:val="0"/>
                    <w:jc w:val="center"/>
                    <w:rPr>
                      <w:rFonts w:hint="default"/>
                      <w:color w:val="auto"/>
                    </w:rPr>
                  </w:pPr>
                  <w:r>
                    <w:rPr>
                      <w:rFonts w:hint="default"/>
                      <w:color w:val="auto"/>
                    </w:rPr>
                    <w:t>Z</w:t>
                  </w:r>
                </w:p>
              </w:tc>
              <w:tc>
                <w:tcPr>
                  <w:tcW w:w="817" w:type="pct"/>
                  <w:vMerge w:val="continue"/>
                  <w:tcBorders>
                    <w:tl2br w:val="nil"/>
                    <w:tr2bl w:val="nil"/>
                  </w:tcBorders>
                  <w:noWrap w:val="0"/>
                  <w:vAlign w:val="center"/>
                </w:tcPr>
                <w:p w14:paraId="5935C621">
                  <w:pPr>
                    <w:pStyle w:val="56"/>
                    <w:bidi w:val="0"/>
                    <w:jc w:val="center"/>
                    <w:rPr>
                      <w:rFonts w:hint="default"/>
                      <w:color w:val="auto"/>
                    </w:rPr>
                  </w:pPr>
                </w:p>
              </w:tc>
              <w:tc>
                <w:tcPr>
                  <w:tcW w:w="1226" w:type="pct"/>
                  <w:vMerge w:val="continue"/>
                  <w:tcBorders>
                    <w:tl2br w:val="nil"/>
                    <w:tr2bl w:val="nil"/>
                  </w:tcBorders>
                  <w:noWrap w:val="0"/>
                  <w:vAlign w:val="center"/>
                </w:tcPr>
                <w:p w14:paraId="0CA82E87">
                  <w:pPr>
                    <w:pStyle w:val="56"/>
                    <w:bidi w:val="0"/>
                    <w:jc w:val="center"/>
                    <w:rPr>
                      <w:rFonts w:hint="default"/>
                      <w:color w:val="auto"/>
                    </w:rPr>
                  </w:pPr>
                </w:p>
              </w:tc>
              <w:tc>
                <w:tcPr>
                  <w:tcW w:w="603" w:type="pct"/>
                  <w:vMerge w:val="continue"/>
                  <w:tcBorders>
                    <w:tl2br w:val="nil"/>
                    <w:tr2bl w:val="nil"/>
                  </w:tcBorders>
                  <w:noWrap w:val="0"/>
                  <w:vAlign w:val="center"/>
                </w:tcPr>
                <w:p w14:paraId="57E9C492">
                  <w:pPr>
                    <w:pStyle w:val="56"/>
                    <w:bidi w:val="0"/>
                    <w:jc w:val="center"/>
                    <w:rPr>
                      <w:rFonts w:hint="default"/>
                      <w:color w:val="auto"/>
                    </w:rPr>
                  </w:pPr>
                </w:p>
              </w:tc>
            </w:tr>
            <w:tr w14:paraId="4FA56B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jc w:val="center"/>
              </w:trPr>
              <w:tc>
                <w:tcPr>
                  <w:tcW w:w="239" w:type="pct"/>
                  <w:tcBorders>
                    <w:tl2br w:val="nil"/>
                    <w:tr2bl w:val="nil"/>
                  </w:tcBorders>
                  <w:noWrap w:val="0"/>
                  <w:vAlign w:val="center"/>
                </w:tcPr>
                <w:p w14:paraId="677E8B43">
                  <w:pPr>
                    <w:pStyle w:val="56"/>
                    <w:bidi w:val="0"/>
                    <w:jc w:val="center"/>
                    <w:rPr>
                      <w:rFonts w:hint="default"/>
                      <w:color w:val="auto"/>
                    </w:rPr>
                  </w:pPr>
                  <w:r>
                    <w:rPr>
                      <w:rFonts w:hint="default"/>
                      <w:color w:val="auto"/>
                    </w:rPr>
                    <w:t>1</w:t>
                  </w:r>
                </w:p>
              </w:tc>
              <w:tc>
                <w:tcPr>
                  <w:tcW w:w="410" w:type="pct"/>
                  <w:tcBorders>
                    <w:tl2br w:val="nil"/>
                    <w:tr2bl w:val="nil"/>
                  </w:tcBorders>
                  <w:noWrap w:val="0"/>
                  <w:vAlign w:val="center"/>
                </w:tcPr>
                <w:p w14:paraId="7C5D6B0E">
                  <w:pPr>
                    <w:pStyle w:val="56"/>
                    <w:bidi w:val="0"/>
                    <w:jc w:val="center"/>
                    <w:rPr>
                      <w:rFonts w:hint="default"/>
                      <w:color w:val="auto"/>
                    </w:rPr>
                  </w:pPr>
                  <w:r>
                    <w:rPr>
                      <w:rFonts w:hint="eastAsia"/>
                      <w:color w:val="auto"/>
                      <w:lang w:val="en-US" w:eastAsia="zh-CN"/>
                    </w:rPr>
                    <w:t>风机</w:t>
                  </w:r>
                </w:p>
              </w:tc>
              <w:tc>
                <w:tcPr>
                  <w:tcW w:w="325" w:type="pct"/>
                  <w:tcBorders>
                    <w:tl2br w:val="nil"/>
                    <w:tr2bl w:val="nil"/>
                  </w:tcBorders>
                  <w:noWrap w:val="0"/>
                  <w:vAlign w:val="center"/>
                </w:tcPr>
                <w:p w14:paraId="7AD08BE3">
                  <w:pPr>
                    <w:pStyle w:val="56"/>
                    <w:bidi w:val="0"/>
                    <w:jc w:val="center"/>
                    <w:rPr>
                      <w:rFonts w:hint="eastAsia"/>
                      <w:color w:val="auto"/>
                      <w:lang w:val="en-US" w:eastAsia="zh-CN"/>
                    </w:rPr>
                  </w:pPr>
                  <w:r>
                    <w:rPr>
                      <w:rFonts w:hint="eastAsia"/>
                      <w:color w:val="auto"/>
                      <w:lang w:val="en-US" w:eastAsia="zh-CN"/>
                    </w:rPr>
                    <w:t>/</w:t>
                  </w:r>
                </w:p>
              </w:tc>
              <w:tc>
                <w:tcPr>
                  <w:tcW w:w="435" w:type="pct"/>
                  <w:tcBorders>
                    <w:tl2br w:val="nil"/>
                    <w:tr2bl w:val="nil"/>
                  </w:tcBorders>
                  <w:noWrap w:val="0"/>
                  <w:vAlign w:val="center"/>
                </w:tcPr>
                <w:p w14:paraId="057CAEC2">
                  <w:pPr>
                    <w:pStyle w:val="56"/>
                    <w:bidi w:val="0"/>
                    <w:jc w:val="center"/>
                    <w:rPr>
                      <w:rFonts w:hint="default"/>
                      <w:color w:val="auto"/>
                      <w:lang w:val="en-US" w:eastAsia="zh-CN"/>
                    </w:rPr>
                  </w:pPr>
                  <w:r>
                    <w:rPr>
                      <w:rFonts w:hint="eastAsia"/>
                      <w:color w:val="auto"/>
                      <w:lang w:val="en-US" w:eastAsia="zh-CN"/>
                    </w:rPr>
                    <w:t>94</w:t>
                  </w:r>
                </w:p>
              </w:tc>
              <w:tc>
                <w:tcPr>
                  <w:tcW w:w="462" w:type="pct"/>
                  <w:tcBorders>
                    <w:tl2br w:val="nil"/>
                    <w:tr2bl w:val="nil"/>
                  </w:tcBorders>
                  <w:noWrap w:val="0"/>
                  <w:vAlign w:val="center"/>
                </w:tcPr>
                <w:p w14:paraId="13A8E5BC">
                  <w:pPr>
                    <w:pStyle w:val="56"/>
                    <w:bidi w:val="0"/>
                    <w:jc w:val="center"/>
                    <w:rPr>
                      <w:rFonts w:hint="default"/>
                      <w:color w:val="auto"/>
                      <w:lang w:val="en-US" w:eastAsia="zh-CN"/>
                    </w:rPr>
                  </w:pPr>
                  <w:r>
                    <w:rPr>
                      <w:rFonts w:hint="eastAsia"/>
                      <w:color w:val="auto"/>
                      <w:lang w:val="en-US" w:eastAsia="zh-CN"/>
                    </w:rPr>
                    <w:t>-16</w:t>
                  </w:r>
                </w:p>
              </w:tc>
              <w:tc>
                <w:tcPr>
                  <w:tcW w:w="478" w:type="pct"/>
                  <w:tcBorders>
                    <w:tl2br w:val="nil"/>
                    <w:tr2bl w:val="nil"/>
                  </w:tcBorders>
                  <w:noWrap w:val="0"/>
                  <w:vAlign w:val="center"/>
                </w:tcPr>
                <w:p w14:paraId="6145A376">
                  <w:pPr>
                    <w:pStyle w:val="56"/>
                    <w:bidi w:val="0"/>
                    <w:jc w:val="center"/>
                    <w:rPr>
                      <w:rFonts w:hint="default"/>
                      <w:color w:val="auto"/>
                      <w:lang w:val="en-US" w:eastAsia="zh-CN"/>
                    </w:rPr>
                  </w:pPr>
                  <w:r>
                    <w:rPr>
                      <w:rFonts w:hint="eastAsia"/>
                      <w:color w:val="auto"/>
                      <w:lang w:val="en-US" w:eastAsia="zh-CN"/>
                    </w:rPr>
                    <w:t>0.5</w:t>
                  </w:r>
                </w:p>
              </w:tc>
              <w:tc>
                <w:tcPr>
                  <w:tcW w:w="817" w:type="pct"/>
                  <w:tcBorders>
                    <w:tl2br w:val="nil"/>
                    <w:tr2bl w:val="nil"/>
                  </w:tcBorders>
                  <w:noWrap w:val="0"/>
                  <w:vAlign w:val="center"/>
                </w:tcPr>
                <w:p w14:paraId="7F23BB81">
                  <w:pPr>
                    <w:pStyle w:val="56"/>
                    <w:bidi w:val="0"/>
                    <w:jc w:val="center"/>
                    <w:rPr>
                      <w:rFonts w:hint="default"/>
                      <w:color w:val="auto"/>
                      <w:lang w:val="en-US" w:eastAsia="zh-CN"/>
                    </w:rPr>
                  </w:pPr>
                  <w:r>
                    <w:rPr>
                      <w:rFonts w:hint="eastAsia"/>
                      <w:color w:val="auto"/>
                      <w:lang w:val="en-US" w:eastAsia="zh-CN"/>
                    </w:rPr>
                    <w:t>85</w:t>
                  </w:r>
                </w:p>
              </w:tc>
              <w:tc>
                <w:tcPr>
                  <w:tcW w:w="1226" w:type="pct"/>
                  <w:tcBorders>
                    <w:tl2br w:val="nil"/>
                    <w:tr2bl w:val="nil"/>
                  </w:tcBorders>
                  <w:noWrap w:val="0"/>
                  <w:vAlign w:val="center"/>
                </w:tcPr>
                <w:p w14:paraId="1EB83AC0">
                  <w:pPr>
                    <w:pStyle w:val="56"/>
                    <w:bidi w:val="0"/>
                    <w:jc w:val="center"/>
                    <w:rPr>
                      <w:rFonts w:hint="default"/>
                      <w:color w:val="auto"/>
                      <w:lang w:val="en-US" w:eastAsia="zh-CN"/>
                    </w:rPr>
                  </w:pPr>
                  <w:r>
                    <w:rPr>
                      <w:rFonts w:hint="default"/>
                      <w:color w:val="auto"/>
                    </w:rPr>
                    <w:t>选用低噪声设备，安装减振垫、距离衰减等</w:t>
                  </w:r>
                  <w:r>
                    <w:rPr>
                      <w:rFonts w:hint="eastAsia"/>
                      <w:color w:val="auto"/>
                      <w:lang w:eastAsia="zh-CN"/>
                    </w:rPr>
                    <w:t>，</w:t>
                  </w:r>
                  <w:r>
                    <w:rPr>
                      <w:rFonts w:hint="eastAsia"/>
                      <w:color w:val="auto"/>
                      <w:lang w:val="en-US" w:eastAsia="zh-CN"/>
                    </w:rPr>
                    <w:t>风口安装消声器</w:t>
                  </w:r>
                </w:p>
              </w:tc>
              <w:tc>
                <w:tcPr>
                  <w:tcW w:w="603" w:type="pct"/>
                  <w:tcBorders>
                    <w:tl2br w:val="nil"/>
                    <w:tr2bl w:val="nil"/>
                  </w:tcBorders>
                  <w:noWrap w:val="0"/>
                  <w:vAlign w:val="center"/>
                </w:tcPr>
                <w:p w14:paraId="22C66F71">
                  <w:pPr>
                    <w:pStyle w:val="56"/>
                    <w:bidi w:val="0"/>
                    <w:jc w:val="center"/>
                    <w:rPr>
                      <w:rFonts w:hint="default"/>
                      <w:color w:val="auto"/>
                      <w:lang w:val="en-US" w:eastAsia="zh-CN"/>
                    </w:rPr>
                  </w:pPr>
                  <w:r>
                    <w:rPr>
                      <w:rFonts w:hint="eastAsia"/>
                      <w:color w:val="auto"/>
                      <w:lang w:val="en-US" w:eastAsia="zh-CN"/>
                    </w:rPr>
                    <w:t>0:00-24:00</w:t>
                  </w:r>
                </w:p>
              </w:tc>
            </w:tr>
          </w:tbl>
          <w:p w14:paraId="23195473">
            <w:pPr>
              <w:keepNext w:val="0"/>
              <w:keepLines w:val="0"/>
              <w:suppressLineNumbers w:val="0"/>
              <w:spacing w:before="0" w:beforeAutospacing="0" w:after="0" w:afterAutospacing="0"/>
              <w:ind w:left="0" w:leftChars="0" w:right="0" w:firstLine="0" w:firstLineChars="0"/>
              <w:rPr>
                <w:rFonts w:hint="eastAsia" w:cs="Times New Roman"/>
                <w:b/>
                <w:bCs/>
                <w:color w:val="auto"/>
                <w:lang w:val="en-US" w:eastAsia="zh-CN"/>
              </w:rPr>
            </w:pPr>
          </w:p>
        </w:tc>
      </w:tr>
    </w:tbl>
    <w:p w14:paraId="1A270D6D">
      <w:pPr>
        <w:rPr>
          <w:color w:val="auto"/>
        </w:rPr>
        <w:sectPr>
          <w:pgSz w:w="16840" w:h="11907" w:orient="landscape"/>
          <w:pgMar w:top="1800" w:right="1440" w:bottom="1800" w:left="1440" w:header="851" w:footer="851" w:gutter="0"/>
          <w:pgBorders w:offsetFrom="page">
            <w:top w:val="none" w:sz="0" w:space="0"/>
            <w:left w:val="none" w:sz="0" w:space="0"/>
            <w:bottom w:val="none" w:sz="0" w:space="0"/>
            <w:right w:val="none" w:sz="0" w:space="0"/>
          </w:pgBorders>
          <w:cols w:space="720" w:num="1"/>
          <w:docGrid w:linePitch="312" w:charSpace="0"/>
        </w:sectPr>
      </w:pPr>
    </w:p>
    <w:p w14:paraId="05119BFC">
      <w:pPr>
        <w:pStyle w:val="12"/>
        <w:rPr>
          <w:color w:val="auto"/>
        </w:rPr>
      </w:pPr>
    </w:p>
    <w:tbl>
      <w:tblPr>
        <w:tblStyle w:val="28"/>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48"/>
        <w:gridCol w:w="8075"/>
      </w:tblGrid>
      <w:tr w14:paraId="2B7E3C7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02" w:hRule="atLeast"/>
        </w:trPr>
        <w:tc>
          <w:tcPr>
            <w:tcW w:w="229" w:type="pct"/>
            <w:noWrap w:val="0"/>
            <w:vAlign w:val="center"/>
          </w:tcPr>
          <w:p w14:paraId="37EF52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宋体" w:hAnsi="宋体" w:cs="Times New Roman"/>
                <w:color w:val="auto"/>
                <w:sz w:val="24"/>
              </w:rPr>
            </w:pPr>
            <w:r>
              <w:rPr>
                <w:rFonts w:hint="eastAsia" w:cs="宋体"/>
                <w:color w:val="auto"/>
                <w:kern w:val="2"/>
                <w:szCs w:val="24"/>
              </w:rPr>
              <w:t>运营期环境影响</w:t>
            </w:r>
            <w:r>
              <w:rPr>
                <w:rFonts w:hint="default" w:cs="宋体"/>
                <w:color w:val="auto"/>
                <w:kern w:val="2"/>
                <w:szCs w:val="24"/>
              </w:rPr>
              <w:t>和</w:t>
            </w:r>
            <w:r>
              <w:rPr>
                <w:rFonts w:hint="eastAsia" w:cs="宋体"/>
                <w:color w:val="auto"/>
                <w:kern w:val="2"/>
                <w:szCs w:val="24"/>
              </w:rPr>
              <w:t>保护措施</w:t>
            </w:r>
          </w:p>
        </w:tc>
        <w:tc>
          <w:tcPr>
            <w:tcW w:w="4770" w:type="pct"/>
            <w:noWrap w:val="0"/>
            <w:vAlign w:val="top"/>
          </w:tcPr>
          <w:p w14:paraId="488AAA42">
            <w:pPr>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rPr>
              <w:t>（</w:t>
            </w:r>
            <w:r>
              <w:rPr>
                <w:rFonts w:hint="eastAsia" w:cs="Times New Roman"/>
                <w:color w:val="auto"/>
                <w:lang w:val="en-US" w:eastAsia="zh-CN"/>
              </w:rPr>
              <w:t>2</w:t>
            </w:r>
            <w:r>
              <w:rPr>
                <w:rFonts w:hint="eastAsia" w:cs="Times New Roman"/>
                <w:color w:val="auto"/>
              </w:rPr>
              <w:t>）声环境影响分析</w:t>
            </w:r>
          </w:p>
          <w:p w14:paraId="1F3DD2C1">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噪声源强</w:t>
            </w:r>
            <w:r>
              <w:rPr>
                <w:rFonts w:hint="eastAsia" w:cs="Times New Roman"/>
                <w:color w:val="auto"/>
              </w:rPr>
              <w:t>：</w:t>
            </w:r>
            <w:r>
              <w:rPr>
                <w:rFonts w:hint="default" w:cs="Times New Roman"/>
                <w:color w:val="auto"/>
              </w:rPr>
              <w:t>项目噪声主要</w:t>
            </w:r>
            <w:r>
              <w:rPr>
                <w:rFonts w:hint="eastAsia" w:cs="Times New Roman"/>
                <w:color w:val="auto"/>
                <w:lang w:eastAsia="zh-CN"/>
              </w:rPr>
              <w:t>来自</w:t>
            </w:r>
            <w:r>
              <w:rPr>
                <w:rFonts w:hint="eastAsia" w:cs="Times New Roman"/>
                <w:color w:val="auto"/>
              </w:rPr>
              <w:t>各</w:t>
            </w:r>
            <w:r>
              <w:rPr>
                <w:rFonts w:hint="default" w:cs="Times New Roman"/>
                <w:color w:val="auto"/>
              </w:rPr>
              <w:t>机械设备噪声，其声级为</w:t>
            </w:r>
            <w:r>
              <w:rPr>
                <w:rFonts w:hint="eastAsia" w:cs="Times New Roman"/>
                <w:color w:val="auto"/>
                <w:lang w:val="en-US" w:eastAsia="zh-CN"/>
              </w:rPr>
              <w:t>75</w:t>
            </w:r>
            <w:r>
              <w:rPr>
                <w:rFonts w:hint="default" w:cs="Times New Roman"/>
                <w:color w:val="auto"/>
              </w:rPr>
              <w:t>~</w:t>
            </w:r>
            <w:r>
              <w:rPr>
                <w:rFonts w:hint="eastAsia" w:cs="Times New Roman"/>
                <w:color w:val="auto"/>
                <w:lang w:val="en-US" w:eastAsia="zh-CN"/>
              </w:rPr>
              <w:t>90</w:t>
            </w:r>
            <w:r>
              <w:rPr>
                <w:rFonts w:hint="default" w:cs="Times New Roman"/>
                <w:color w:val="auto"/>
              </w:rPr>
              <w:t>dB(A</w:t>
            </w:r>
            <w:r>
              <w:rPr>
                <w:rFonts w:hint="eastAsia" w:cs="Times New Roman"/>
                <w:color w:val="auto"/>
                <w:lang w:eastAsia="zh-CN"/>
              </w:rPr>
              <w:t>）</w:t>
            </w:r>
            <w:r>
              <w:rPr>
                <w:rFonts w:hint="default" w:cs="Times New Roman"/>
                <w:color w:val="auto"/>
              </w:rPr>
              <w:t>。</w:t>
            </w:r>
          </w:p>
          <w:p w14:paraId="6A5C5837">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预测的基本思路是：将整个车间看成一个整体声源，然后计算整体声源辐射的声能在向受声点传播过程中由各种因素引起的衰减，最后求得预测受声点的噪声级。从噪声源到受声点的噪声总衰减量，是由噪声源到受声点的距离、墙体隔声量、空气吸收及建筑屏障的衰减综合而成，本预测只考虑距离的衰减和建筑墙体的隔声量，空气吸收因本建设项目噪声源离预测点较近而忽略不计。</w:t>
            </w:r>
          </w:p>
          <w:p w14:paraId="27715EFD">
            <w:pPr>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rPr>
              <w:t>①</w:t>
            </w:r>
            <w:r>
              <w:rPr>
                <w:rFonts w:hint="default" w:cs="Times New Roman"/>
                <w:color w:val="auto"/>
              </w:rPr>
              <w:t>单声源声压级的预测</w:t>
            </w:r>
          </w:p>
          <w:p w14:paraId="48DD4BF5">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将噪声源视为点源，以球面波传播，预测计算式为：</w:t>
            </w:r>
          </w:p>
          <w:p w14:paraId="25998051">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position w:val="-12"/>
              </w:rPr>
              <w:object>
                <v:shape id="_x0000_i1025" o:spt="75" type="#_x0000_t75" style="height:18pt;width:132pt;" o:ole="t" filled="f" o:preferrelative="t" stroked="f" coordsize="21600,21600">
                  <v:path/>
                  <v:fill on="f" focussize="0,0"/>
                  <v:stroke on="f"/>
                  <v:imagedata r:id="rId24" o:title=""/>
                  <o:lock v:ext="edit" aspectratio="t"/>
                  <w10:wrap type="none"/>
                  <w10:anchorlock/>
                </v:shape>
                <o:OLEObject Type="Embed" ProgID="Equation.3" ShapeID="_x0000_i1025" DrawAspect="Content" ObjectID="_1468075725" r:id="rId23">
                  <o:LockedField>false</o:LockedField>
                </o:OLEObject>
              </w:object>
            </w:r>
          </w:p>
          <w:p w14:paraId="27E193E7">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式中  Lr—距声源r米处的声压级，dB(A</w:t>
            </w:r>
            <w:r>
              <w:rPr>
                <w:rFonts w:hint="eastAsia" w:cs="Times New Roman"/>
                <w:color w:val="auto"/>
                <w:lang w:eastAsia="zh-CN"/>
              </w:rPr>
              <w:t>）</w:t>
            </w:r>
            <w:r>
              <w:rPr>
                <w:rFonts w:hint="default" w:cs="Times New Roman"/>
                <w:color w:val="auto"/>
              </w:rPr>
              <w:t>；</w:t>
            </w:r>
          </w:p>
          <w:p w14:paraId="4F798A58">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 xml:space="preserve">      Lr0—距声源r0处的声压级，dB(A</w:t>
            </w:r>
            <w:r>
              <w:rPr>
                <w:rFonts w:hint="eastAsia" w:cs="Times New Roman"/>
                <w:color w:val="auto"/>
                <w:lang w:eastAsia="zh-CN"/>
              </w:rPr>
              <w:t>）</w:t>
            </w:r>
            <w:r>
              <w:rPr>
                <w:rFonts w:hint="default" w:cs="Times New Roman"/>
                <w:color w:val="auto"/>
              </w:rPr>
              <w:t>；（r0取1米）；</w:t>
            </w:r>
          </w:p>
          <w:p w14:paraId="6EB6D427">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r —距声源的距离，米；TL —墙壁隔声量，13dB(A</w:t>
            </w:r>
            <w:r>
              <w:rPr>
                <w:rFonts w:hint="eastAsia" w:cs="Times New Roman"/>
                <w:color w:val="auto"/>
                <w:lang w:eastAsia="zh-CN"/>
              </w:rPr>
              <w:t>）</w:t>
            </w:r>
            <w:r>
              <w:rPr>
                <w:rFonts w:hint="default" w:cs="Times New Roman"/>
                <w:color w:val="auto"/>
              </w:rPr>
              <w:t>。</w:t>
            </w:r>
          </w:p>
          <w:p w14:paraId="4DC30861">
            <w:pPr>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rPr>
              <w:t>②</w:t>
            </w:r>
            <w:r>
              <w:rPr>
                <w:rFonts w:hint="default" w:cs="Times New Roman"/>
                <w:color w:val="auto"/>
              </w:rPr>
              <w:t>多声源声压级的预测</w:t>
            </w:r>
          </w:p>
          <w:p w14:paraId="2EAB8402">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在噪声源众多的情况下，某预测点的声压级为各噪声对该受声点的噪声级分贝值</w:t>
            </w:r>
            <w:r>
              <w:rPr>
                <w:rFonts w:hint="eastAsia" w:cs="Times New Roman"/>
                <w:color w:val="auto"/>
              </w:rPr>
              <w:t>叠</w:t>
            </w:r>
            <w:r>
              <w:rPr>
                <w:rFonts w:hint="default" w:cs="Times New Roman"/>
                <w:color w:val="auto"/>
              </w:rPr>
              <w:t>加之和。</w:t>
            </w:r>
          </w:p>
          <w:p w14:paraId="0EE60A7A">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计算式：</w:t>
            </w:r>
          </w:p>
          <w:p w14:paraId="313108BE">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position w:val="-30"/>
              </w:rPr>
              <w:object>
                <v:shape id="_x0000_i1026" o:spt="75" type="#_x0000_t75" style="height:36pt;width:113.25pt;" o:ole="t" filled="f" o:preferrelative="t" stroked="f" coordsize="21600,21600">
                  <v:path/>
                  <v:fill on="f" focussize="0,0"/>
                  <v:stroke on="f"/>
                  <v:imagedata r:id="rId26" o:title=""/>
                  <o:lock v:ext="edit" aspectratio="t"/>
                  <w10:wrap type="none"/>
                  <w10:anchorlock/>
                </v:shape>
                <o:OLEObject Type="Embed" ProgID="Equation.3" ShapeID="_x0000_i1026" DrawAspect="Content" ObjectID="_1468075726" r:id="rId25">
                  <o:LockedField>false</o:LockedField>
                </o:OLEObject>
              </w:object>
            </w:r>
          </w:p>
          <w:p w14:paraId="63DAB871">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 xml:space="preserve">式中  </w:t>
            </w:r>
            <w:r>
              <w:rPr>
                <w:rFonts w:hint="default" w:cs="Times New Roman"/>
                <w:color w:val="auto"/>
                <w:position w:val="-14"/>
              </w:rPr>
              <w:object>
                <v:shape id="_x0000_i1027" o:spt="75" type="#_x0000_t75" style="height:18.75pt;width:18.75pt;" o:ole="t" filled="f" o:preferrelative="t" stroked="f" coordsize="21600,21600">
                  <v:path/>
                  <v:fill on="f" focussize="0,0"/>
                  <v:stroke on="f"/>
                  <v:imagedata r:id="rId28" o:title=""/>
                  <o:lock v:ext="edit" aspectratio="t"/>
                  <w10:wrap type="none"/>
                  <w10:anchorlock/>
                </v:shape>
                <o:OLEObject Type="Embed" ProgID="Equation.3" ShapeID="_x0000_i1027" DrawAspect="Content" ObjectID="_1468075727" r:id="rId27">
                  <o:LockedField>false</o:LockedField>
                </o:OLEObject>
              </w:object>
            </w:r>
            <w:r>
              <w:rPr>
                <w:rFonts w:hint="default" w:cs="Times New Roman"/>
                <w:color w:val="auto"/>
              </w:rPr>
              <w:t>—某预测点迭加后的总声压级，dB(A</w:t>
            </w:r>
            <w:r>
              <w:rPr>
                <w:rFonts w:hint="eastAsia" w:cs="Times New Roman"/>
                <w:color w:val="auto"/>
                <w:lang w:eastAsia="zh-CN"/>
              </w:rPr>
              <w:t>）</w:t>
            </w:r>
            <w:r>
              <w:rPr>
                <w:rFonts w:hint="default" w:cs="Times New Roman"/>
                <w:color w:val="auto"/>
              </w:rPr>
              <w:t>；</w:t>
            </w:r>
          </w:p>
          <w:p w14:paraId="5278B9B6">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 xml:space="preserve">      </w:t>
            </w:r>
            <w:r>
              <w:rPr>
                <w:rFonts w:hint="default" w:cs="Times New Roman"/>
                <w:color w:val="auto"/>
                <w:position w:val="-14"/>
              </w:rPr>
              <w:object>
                <v:shape id="_x0000_i1028" o:spt="75" type="#_x0000_t75" style="height:18.75pt;width:17.25pt;" o:ole="t" filled="f" o:preferrelative="t" stroked="f" coordsize="21600,21600">
                  <v:path/>
                  <v:fill on="f" focussize="0,0"/>
                  <v:stroke on="f"/>
                  <v:imagedata r:id="rId30" o:title=""/>
                  <o:lock v:ext="edit" aspectratio="t"/>
                  <w10:wrap type="none"/>
                  <w10:anchorlock/>
                </v:shape>
                <o:OLEObject Type="Embed" ProgID="Equation.3" ShapeID="_x0000_i1028" DrawAspect="Content" ObjectID="_1468075728" r:id="rId29">
                  <o:LockedField>false</o:LockedField>
                </o:OLEObject>
              </w:object>
            </w:r>
            <w:r>
              <w:rPr>
                <w:rFonts w:hint="default" w:cs="Times New Roman"/>
                <w:color w:val="auto"/>
              </w:rPr>
              <w:t>—i声源对某预测点的贡献声压级，dB(A)</w:t>
            </w:r>
          </w:p>
          <w:p w14:paraId="3F7AB2E8">
            <w:pPr>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rPr>
              <w:t>③</w:t>
            </w:r>
            <w:r>
              <w:rPr>
                <w:rFonts w:hint="default" w:cs="Times New Roman"/>
                <w:color w:val="auto"/>
              </w:rPr>
              <w:t>厂界噪声衰减扩散预测</w:t>
            </w:r>
          </w:p>
          <w:p w14:paraId="4AA528A7">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根据《环境影响评价技术导则 声环境》（HJ2.4-2009）推荐的噪声户外传播衰减计算的替代方法，即用A声级计算，其计算公式如下：</w:t>
            </w:r>
          </w:p>
          <w:p w14:paraId="3E09648B">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position w:val="-12"/>
              </w:rPr>
              <w:object>
                <v:shape id="_x0000_i1029" o:spt="75" type="#_x0000_t75" style="height:18pt;width:206.2pt;" o:ole="t" filled="f" o:preferrelative="t" stroked="f" coordsize="21600,21600">
                  <v:path/>
                  <v:fill on="f" focussize="0,0"/>
                  <v:stroke on="f"/>
                  <v:imagedata r:id="rId32" o:title=""/>
                  <o:lock v:ext="edit" aspectratio="t"/>
                  <w10:wrap type="none"/>
                  <w10:anchorlock/>
                </v:shape>
                <o:OLEObject Type="Embed" ProgID="Equation.3" ShapeID="_x0000_i1029" DrawAspect="Content" ObjectID="_1468075729" r:id="rId31">
                  <o:LockedField>false</o:LockedField>
                </o:OLEObject>
              </w:object>
            </w:r>
          </w:p>
          <w:p w14:paraId="441B9C32">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position w:val="-10"/>
              </w:rPr>
              <w:object>
                <v:shape id="_x0000_i1030" o:spt="75" type="#_x0000_t75" style="height:17.25pt;width:9pt;" o:ole="t" filled="f" o:preferrelative="t" stroked="f" coordsize="21600,21600">
                  <v:path/>
                  <v:fill on="f" focussize="0,0"/>
                  <v:stroke on="f"/>
                  <v:imagedata r:id="rId34" o:title=""/>
                  <o:lock v:ext="edit" aspectratio="t"/>
                  <w10:wrap type="none"/>
                  <w10:anchorlock/>
                </v:shape>
                <o:OLEObject Type="Embed" ProgID="Equation.3" ShapeID="_x0000_i1030" DrawAspect="Content" ObjectID="_1468075730" r:id="rId33">
                  <o:LockedField>false</o:LockedField>
                </o:OLEObject>
              </w:object>
            </w:r>
            <w:r>
              <w:rPr>
                <w:rFonts w:hint="default" w:cs="Times New Roman"/>
                <w:color w:val="auto"/>
              </w:rPr>
              <w:tab/>
            </w:r>
            <w:r>
              <w:rPr>
                <w:rFonts w:hint="default" w:cs="Times New Roman"/>
                <w:color w:val="auto"/>
              </w:rPr>
              <w:t>式中：</w:t>
            </w:r>
            <w:r>
              <w:rPr>
                <w:rFonts w:hint="default" w:cs="Times New Roman"/>
                <w:color w:val="auto"/>
                <w:position w:val="-10"/>
              </w:rPr>
              <w:object>
                <v:shape id="_x0000_i1031" o:spt="75" type="#_x0000_t75" style="height:17.25pt;width:30.75pt;" o:ole="t" filled="f" o:preferrelative="t" stroked="f" coordsize="21600,21600">
                  <v:path/>
                  <v:fill on="f" focussize="0,0"/>
                  <v:stroke on="f"/>
                  <v:imagedata r:id="rId36" o:title=""/>
                  <o:lock v:ext="edit" aspectratio="t"/>
                  <w10:wrap type="none"/>
                  <w10:anchorlock/>
                </v:shape>
                <o:OLEObject Type="Embed" ProgID="Equation.3" ShapeID="_x0000_i1031" DrawAspect="Content" ObjectID="_1468075731" r:id="rId35">
                  <o:LockedField>false</o:LockedField>
                </o:OLEObject>
              </w:object>
            </w:r>
            <w:r>
              <w:rPr>
                <w:rFonts w:hint="default" w:cs="Times New Roman"/>
                <w:color w:val="auto"/>
              </w:rPr>
              <w:t xml:space="preserve"> —距声源r处的A声级，dB；</w:t>
            </w:r>
          </w:p>
          <w:p w14:paraId="7D5764F3">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position w:val="-10"/>
              </w:rPr>
              <w:object>
                <v:shape id="_x0000_i1032" o:spt="75" type="#_x0000_t75" style="height:17.25pt;width:9pt;" o:ole="t" filled="f" o:preferrelative="t" stroked="f" coordsize="21600,21600">
                  <v:path/>
                  <v:fill on="f" focussize="0,0"/>
                  <v:stroke on="f"/>
                  <v:imagedata r:id="rId34" o:title=""/>
                  <o:lock v:ext="edit" aspectratio="t"/>
                  <w10:wrap type="none"/>
                  <w10:anchorlock/>
                </v:shape>
                <o:OLEObject Type="Embed" ProgID="Equation.3" ShapeID="_x0000_i1032" DrawAspect="Content" ObjectID="_1468075732" r:id="rId37">
                  <o:LockedField>false</o:LockedField>
                </o:OLEObject>
              </w:object>
            </w:r>
            <w:r>
              <w:rPr>
                <w:rFonts w:hint="default" w:cs="Times New Roman"/>
                <w:color w:val="auto"/>
              </w:rPr>
              <w:t xml:space="preserve">       </w:t>
            </w:r>
            <w:r>
              <w:rPr>
                <w:rFonts w:hint="default" w:cs="Times New Roman"/>
                <w:color w:val="auto"/>
                <w:position w:val="-12"/>
              </w:rPr>
              <w:object>
                <v:shape id="_x0000_i1033" o:spt="75" type="#_x0000_t75" style="height:18pt;width:35.25pt;" o:ole="t" filled="f" o:preferrelative="t" stroked="f" coordsize="21600,21600">
                  <v:path/>
                  <v:fill on="f" focussize="0,0"/>
                  <v:stroke on="f"/>
                  <v:imagedata r:id="rId39" o:title=""/>
                  <o:lock v:ext="edit" aspectratio="t"/>
                  <w10:wrap type="none"/>
                  <w10:anchorlock/>
                </v:shape>
                <o:OLEObject Type="Embed" ProgID="Equation.3" ShapeID="_x0000_i1033" DrawAspect="Content" ObjectID="_1468075733" r:id="rId38">
                  <o:LockedField>false</o:LockedField>
                </o:OLEObject>
              </w:object>
            </w:r>
            <w:r>
              <w:rPr>
                <w:rFonts w:hint="default" w:cs="Times New Roman"/>
                <w:color w:val="auto"/>
              </w:rPr>
              <w:t>—参考位置r0处的A声级，dB；当r0=1m时，</w:t>
            </w:r>
            <w:r>
              <w:rPr>
                <w:rFonts w:hint="default" w:cs="Times New Roman"/>
                <w:color w:val="auto"/>
                <w:position w:val="-12"/>
              </w:rPr>
              <w:object>
                <v:shape id="_x0000_i1034" o:spt="75" type="#_x0000_t75" style="height:18pt;width:35.25pt;" o:ole="t" filled="f" o:preferrelative="t" stroked="f" coordsize="21600,21600">
                  <v:path/>
                  <v:fill on="f" focussize="0,0"/>
                  <v:stroke on="f"/>
                  <v:imagedata r:id="rId41" o:title=""/>
                  <o:lock v:ext="edit" aspectratio="t"/>
                  <w10:wrap type="none"/>
                  <w10:anchorlock/>
                </v:shape>
                <o:OLEObject Type="Embed" ProgID="Equation.3" ShapeID="_x0000_i1034" DrawAspect="Content" ObjectID="_1468075734" r:id="rId40">
                  <o:LockedField>false</o:LockedField>
                </o:OLEObject>
              </w:object>
            </w:r>
            <w:r>
              <w:rPr>
                <w:rFonts w:hint="default" w:cs="Times New Roman"/>
                <w:color w:val="auto"/>
              </w:rPr>
              <w:t xml:space="preserve"> 即为源强；本项目各车间的综合噪声源强。</w:t>
            </w:r>
          </w:p>
          <w:p w14:paraId="00B45D36">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position w:val="-10"/>
              </w:rPr>
              <w:object>
                <v:shape id="_x0000_i1035" o:spt="75" type="#_x0000_t75" style="height:17.25pt;width:9pt;" o:ole="t" filled="f" o:preferrelative="t" stroked="f" coordsize="21600,21600">
                  <v:path/>
                  <v:fill on="f" focussize="0,0"/>
                  <v:stroke on="f"/>
                  <v:imagedata r:id="rId34" o:title=""/>
                  <o:lock v:ext="edit" aspectratio="t"/>
                  <w10:wrap type="none"/>
                  <w10:anchorlock/>
                </v:shape>
                <o:OLEObject Type="Embed" ProgID="Equation.3" ShapeID="_x0000_i1035" DrawAspect="Content" ObjectID="_1468075735" r:id="rId42">
                  <o:LockedField>false</o:LockedField>
                </o:OLEObject>
              </w:object>
            </w:r>
            <w:r>
              <w:rPr>
                <w:rFonts w:hint="default" w:cs="Times New Roman"/>
                <w:color w:val="auto"/>
              </w:rPr>
              <w:t xml:space="preserve">       </w:t>
            </w:r>
            <w:r>
              <w:rPr>
                <w:rFonts w:hint="default" w:cs="Times New Roman"/>
                <w:color w:val="auto"/>
                <w:position w:val="-12"/>
              </w:rPr>
              <w:object>
                <v:shape id="_x0000_i1036" o:spt="75" type="#_x0000_t75" style="height:18pt;width:21pt;" o:ole="t" filled="f" o:preferrelative="t" stroked="f" coordsize="21600,21600">
                  <v:path/>
                  <v:fill on="f" focussize="0,0"/>
                  <v:stroke on="f"/>
                  <v:imagedata r:id="rId44" o:title=""/>
                  <o:lock v:ext="edit" aspectratio="t"/>
                  <w10:wrap type="none"/>
                  <w10:anchorlock/>
                </v:shape>
                <o:OLEObject Type="Embed" ProgID="Equation.3" ShapeID="_x0000_i1036" DrawAspect="Content" ObjectID="_1468075736" r:id="rId43">
                  <o:LockedField>false</o:LockedField>
                </o:OLEObject>
              </w:object>
            </w:r>
            <w:r>
              <w:rPr>
                <w:rFonts w:hint="default" w:cs="Times New Roman"/>
                <w:color w:val="auto"/>
              </w:rPr>
              <w:t>—声波几何发散引起的A声级衰减量，dB(A</w:t>
            </w:r>
            <w:r>
              <w:rPr>
                <w:rFonts w:hint="eastAsia" w:cs="Times New Roman"/>
                <w:color w:val="auto"/>
                <w:lang w:eastAsia="zh-CN"/>
              </w:rPr>
              <w:t>）</w:t>
            </w:r>
            <w:r>
              <w:rPr>
                <w:rFonts w:hint="default" w:cs="Times New Roman"/>
                <w:color w:val="auto"/>
              </w:rPr>
              <w:t>；</w:t>
            </w:r>
          </w:p>
          <w:p w14:paraId="45D7D3FC">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position w:val="-12"/>
              </w:rPr>
              <w:object>
                <v:shape id="_x0000_i1037" o:spt="75" type="#_x0000_t75" style="height:18pt;width:87.75pt;" o:ole="t" filled="f" o:preferrelative="t" stroked="f" coordsize="21600,21600">
                  <v:path/>
                  <v:fill on="f" focussize="0,0"/>
                  <v:stroke on="f"/>
                  <v:imagedata r:id="rId46" o:title=""/>
                  <o:lock v:ext="edit" aspectratio="t"/>
                  <w10:wrap type="none"/>
                  <w10:anchorlock/>
                </v:shape>
                <o:OLEObject Type="Embed" ProgID="Equation.3" ShapeID="_x0000_i1037" DrawAspect="Content" ObjectID="_1468075737" r:id="rId45">
                  <o:LockedField>false</o:LockedField>
                </o:OLEObject>
              </w:object>
            </w:r>
          </w:p>
          <w:p w14:paraId="1DDA5675">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position w:val="-10"/>
              </w:rPr>
              <w:object>
                <v:shape id="_x0000_i1038" o:spt="75" type="#_x0000_t75" style="height:17.25pt;width:9pt;" o:ole="t" filled="f" o:preferrelative="t" stroked="f" coordsize="21600,21600">
                  <v:path/>
                  <v:fill on="f" focussize="0,0"/>
                  <v:stroke on="f"/>
                  <v:imagedata r:id="rId34" o:title=""/>
                  <o:lock v:ext="edit" aspectratio="t"/>
                  <w10:wrap type="none"/>
                  <w10:anchorlock/>
                </v:shape>
                <o:OLEObject Type="Embed" ProgID="Equation.3" ShapeID="_x0000_i1038" DrawAspect="Content" ObjectID="_1468075738" r:id="rId47">
                  <o:LockedField>false</o:LockedField>
                </o:OLEObject>
              </w:object>
            </w:r>
            <w:r>
              <w:rPr>
                <w:rFonts w:hint="default" w:cs="Times New Roman"/>
                <w:color w:val="auto"/>
              </w:rPr>
              <w:t xml:space="preserve">       </w:t>
            </w:r>
            <w:r>
              <w:rPr>
                <w:rFonts w:hint="default" w:cs="Times New Roman"/>
                <w:color w:val="auto"/>
                <w:position w:val="-12"/>
              </w:rPr>
              <w:object>
                <v:shape id="_x0000_i1039" o:spt="75" type="#_x0000_t75" style="height:18pt;width:21.75pt;" o:ole="t" filled="f" o:preferrelative="t" stroked="f" coordsize="21600,21600">
                  <v:path/>
                  <v:fill on="f" focussize="0,0"/>
                  <v:stroke on="f"/>
                  <v:imagedata r:id="rId49" o:title=""/>
                  <o:lock v:ext="edit" aspectratio="t"/>
                  <w10:wrap type="none"/>
                  <w10:anchorlock/>
                </v:shape>
                <o:OLEObject Type="Embed" ProgID="Equation.3" ShapeID="_x0000_i1039" DrawAspect="Content" ObjectID="_1468075739" r:id="rId48">
                  <o:LockedField>false</o:LockedField>
                </o:OLEObject>
              </w:object>
            </w:r>
            <w:r>
              <w:rPr>
                <w:rFonts w:hint="default" w:cs="Times New Roman"/>
                <w:color w:val="auto"/>
              </w:rPr>
              <w:t>—遮挡物引起的A声级衰减量，dB，车间墙体遮挡衰减取13 dB(A</w:t>
            </w:r>
            <w:r>
              <w:rPr>
                <w:rFonts w:hint="eastAsia" w:cs="Times New Roman"/>
                <w:color w:val="auto"/>
                <w:lang w:eastAsia="zh-CN"/>
              </w:rPr>
              <w:t>）</w:t>
            </w:r>
            <w:r>
              <w:rPr>
                <w:rFonts w:hint="default" w:cs="Times New Roman"/>
                <w:color w:val="auto"/>
              </w:rPr>
              <w:t>；</w:t>
            </w:r>
          </w:p>
          <w:p w14:paraId="7DF68266">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position w:val="-10"/>
              </w:rPr>
              <w:object>
                <v:shape id="_x0000_i1040" o:spt="75" type="#_x0000_t75" style="height:17.25pt;width:9pt;" o:ole="t" filled="f" o:preferrelative="t" stroked="f" coordsize="21600,21600">
                  <v:path/>
                  <v:fill on="f" focussize="0,0"/>
                  <v:stroke on="f"/>
                  <v:imagedata r:id="rId34" o:title=""/>
                  <o:lock v:ext="edit" aspectratio="t"/>
                  <w10:wrap type="none"/>
                  <w10:anchorlock/>
                </v:shape>
                <o:OLEObject Type="Embed" ProgID="Equation.3" ShapeID="_x0000_i1040" DrawAspect="Content" ObjectID="_1468075740" r:id="rId50">
                  <o:LockedField>false</o:LockedField>
                </o:OLEObject>
              </w:object>
            </w:r>
            <w:r>
              <w:rPr>
                <w:rFonts w:hint="default" w:cs="Times New Roman"/>
                <w:color w:val="auto"/>
              </w:rPr>
              <w:t xml:space="preserve">       </w:t>
            </w:r>
            <w:r>
              <w:rPr>
                <w:rFonts w:hint="default" w:cs="Times New Roman"/>
                <w:color w:val="auto"/>
                <w:position w:val="-12"/>
              </w:rPr>
              <w:object>
                <v:shape id="_x0000_i1041" o:spt="75" type="#_x0000_t75" style="height:18pt;width:21.75pt;" o:ole="t" filled="f" o:preferrelative="t" stroked="f" coordsize="21600,21600">
                  <v:path/>
                  <v:fill on="f" focussize="0,0"/>
                  <v:stroke on="f"/>
                  <v:imagedata r:id="rId52" o:title=""/>
                  <o:lock v:ext="edit" aspectratio="t"/>
                  <w10:wrap type="none"/>
                  <w10:anchorlock/>
                </v:shape>
                <o:OLEObject Type="Embed" ProgID="Equation.3" ShapeID="_x0000_i1041" DrawAspect="Content" ObjectID="_1468075741" r:id="rId51">
                  <o:LockedField>false</o:LockedField>
                </o:OLEObject>
              </w:object>
            </w:r>
            <w:r>
              <w:rPr>
                <w:rFonts w:hint="default" w:cs="Times New Roman"/>
                <w:color w:val="auto"/>
              </w:rPr>
              <w:t>—空气吸收引起的A声级衰减量，dB(A</w:t>
            </w:r>
            <w:r>
              <w:rPr>
                <w:rFonts w:hint="eastAsia" w:cs="Times New Roman"/>
                <w:color w:val="auto"/>
                <w:lang w:eastAsia="zh-CN"/>
              </w:rPr>
              <w:t>）</w:t>
            </w:r>
            <w:r>
              <w:rPr>
                <w:rFonts w:hint="default" w:cs="Times New Roman"/>
                <w:color w:val="auto"/>
              </w:rPr>
              <w:t>；</w:t>
            </w:r>
          </w:p>
          <w:p w14:paraId="4AB5CDEA">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position w:val="-10"/>
              </w:rPr>
              <w:object>
                <v:shape id="_x0000_i1042" o:spt="75" type="#_x0000_t75" style="height:17.25pt;width:9pt;" o:ole="t" filled="f" o:preferrelative="t" stroked="f" coordsize="21600,21600">
                  <v:path/>
                  <v:fill on="f" focussize="0,0"/>
                  <v:stroke on="f"/>
                  <v:imagedata r:id="rId34" o:title=""/>
                  <o:lock v:ext="edit" aspectratio="t"/>
                  <w10:wrap type="none"/>
                  <w10:anchorlock/>
                </v:shape>
                <o:OLEObject Type="Embed" ProgID="Equation.3" ShapeID="_x0000_i1042" DrawAspect="Content" ObjectID="_1468075742" r:id="rId53">
                  <o:LockedField>false</o:LockedField>
                </o:OLEObject>
              </w:object>
            </w:r>
            <w:r>
              <w:rPr>
                <w:rFonts w:hint="default" w:cs="Times New Roman"/>
                <w:color w:val="auto"/>
              </w:rPr>
              <w:t xml:space="preserve">       </w:t>
            </w:r>
            <w:r>
              <w:rPr>
                <w:rFonts w:hint="default" w:cs="Times New Roman"/>
                <w:color w:val="auto"/>
                <w:position w:val="-12"/>
              </w:rPr>
              <w:object>
                <v:shape id="_x0000_i1043" o:spt="75" type="#_x0000_t75" style="height:18pt;width:21pt;" o:ole="t" filled="f" o:preferrelative="t" stroked="f" coordsize="21600,21600">
                  <v:path/>
                  <v:fill on="f" focussize="0,0"/>
                  <v:stroke on="f"/>
                  <v:imagedata r:id="rId55" o:title=""/>
                  <o:lock v:ext="edit" aspectratio="t"/>
                  <w10:wrap type="none"/>
                  <w10:anchorlock/>
                </v:shape>
                <o:OLEObject Type="Embed" ProgID="Equation.3" ShapeID="_x0000_i1043" DrawAspect="Content" ObjectID="_1468075743" r:id="rId54">
                  <o:LockedField>false</o:LockedField>
                </o:OLEObject>
              </w:object>
            </w:r>
            <w:r>
              <w:rPr>
                <w:rFonts w:hint="default" w:cs="Times New Roman"/>
                <w:color w:val="auto"/>
              </w:rPr>
              <w:t>—附加A声级衰减量，dB(A</w:t>
            </w:r>
            <w:r>
              <w:rPr>
                <w:rFonts w:hint="eastAsia" w:cs="Times New Roman"/>
                <w:color w:val="auto"/>
                <w:lang w:eastAsia="zh-CN"/>
              </w:rPr>
              <w:t>）</w:t>
            </w:r>
            <w:r>
              <w:rPr>
                <w:rFonts w:hint="default" w:cs="Times New Roman"/>
                <w:color w:val="auto"/>
              </w:rPr>
              <w:t>。</w:t>
            </w:r>
          </w:p>
          <w:p w14:paraId="1506A89C">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为避免计算中增大衰减量而造成预测值偏小，计算时忽略</w:t>
            </w:r>
            <w:r>
              <w:rPr>
                <w:rFonts w:hint="default" w:cs="Times New Roman"/>
                <w:color w:val="auto"/>
                <w:position w:val="-12"/>
              </w:rPr>
              <w:object>
                <v:shape id="_x0000_i1044" o:spt="75" type="#_x0000_t75" style="height:18pt;width:21.75pt;" o:ole="t" filled="f" o:preferrelative="t" stroked="f" coordsize="21600,21600">
                  <v:path/>
                  <v:fill on="f" focussize="0,0"/>
                  <v:stroke on="f"/>
                  <v:imagedata r:id="rId57" o:title=""/>
                  <o:lock v:ext="edit" aspectratio="t"/>
                  <w10:wrap type="none"/>
                  <w10:anchorlock/>
                </v:shape>
                <o:OLEObject Type="Embed" ProgID="Equation.3" ShapeID="_x0000_i1044" DrawAspect="Content" ObjectID="_1468075744" r:id="rId56">
                  <o:LockedField>false</o:LockedField>
                </o:OLEObject>
              </w:object>
            </w:r>
            <w:r>
              <w:rPr>
                <w:rFonts w:hint="default" w:cs="Times New Roman"/>
                <w:color w:val="auto"/>
              </w:rPr>
              <w:t>和</w:t>
            </w:r>
            <w:r>
              <w:rPr>
                <w:rFonts w:hint="default" w:cs="Times New Roman"/>
                <w:color w:val="auto"/>
                <w:position w:val="-12"/>
              </w:rPr>
              <w:object>
                <v:shape id="_x0000_i1045" o:spt="75" type="#_x0000_t75" style="height:18pt;width:21pt;" o:ole="t" filled="f" o:preferrelative="t" stroked="f" coordsize="21600,21600">
                  <v:path/>
                  <v:fill on="f" focussize="0,0"/>
                  <v:stroke on="f"/>
                  <v:imagedata r:id="rId59" o:title=""/>
                  <o:lock v:ext="edit" aspectratio="t"/>
                  <w10:wrap type="none"/>
                  <w10:anchorlock/>
                </v:shape>
                <o:OLEObject Type="Embed" ProgID="Equation.3" ShapeID="_x0000_i1045" DrawAspect="Content" ObjectID="_1468075745" r:id="rId58">
                  <o:LockedField>false</o:LockedField>
                </o:OLEObject>
              </w:object>
            </w:r>
            <w:r>
              <w:rPr>
                <w:rFonts w:hint="default" w:cs="Times New Roman"/>
                <w:color w:val="auto"/>
              </w:rPr>
              <w:t>。</w:t>
            </w:r>
          </w:p>
          <w:p w14:paraId="0BB89BE6">
            <w:pPr>
              <w:pStyle w:val="74"/>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rPr>
              <w:t>（</w:t>
            </w:r>
            <w:r>
              <w:rPr>
                <w:rFonts w:hint="eastAsia" w:cs="Times New Roman"/>
                <w:color w:val="auto"/>
                <w:lang w:val="en-US" w:eastAsia="zh-CN"/>
              </w:rPr>
              <w:t>3</w:t>
            </w:r>
            <w:r>
              <w:rPr>
                <w:rFonts w:hint="eastAsia" w:cs="Times New Roman"/>
                <w:color w:val="auto"/>
              </w:rPr>
              <w:t>）噪声</w:t>
            </w:r>
            <w:r>
              <w:rPr>
                <w:rFonts w:hint="default" w:cs="Times New Roman"/>
                <w:color w:val="auto"/>
              </w:rPr>
              <w:t>环境</w:t>
            </w:r>
            <w:r>
              <w:rPr>
                <w:rFonts w:hint="eastAsia" w:cs="Times New Roman"/>
                <w:color w:val="auto"/>
              </w:rPr>
              <w:t>影响</w:t>
            </w:r>
            <w:r>
              <w:rPr>
                <w:rFonts w:hint="default" w:cs="Times New Roman"/>
                <w:color w:val="auto"/>
              </w:rPr>
              <w:t>评价</w:t>
            </w:r>
            <w:r>
              <w:rPr>
                <w:rFonts w:hint="eastAsia" w:cs="Times New Roman"/>
                <w:color w:val="auto"/>
                <w:lang w:val="en-US" w:eastAsia="zh-CN"/>
              </w:rPr>
              <w:t>结论</w:t>
            </w:r>
          </w:p>
          <w:p w14:paraId="15AB45C4">
            <w:pPr>
              <w:keepNext w:val="0"/>
              <w:keepLines w:val="0"/>
              <w:suppressLineNumbers w:val="0"/>
              <w:bidi w:val="0"/>
              <w:spacing w:before="0" w:beforeAutospacing="0" w:after="0" w:afterAutospacing="0"/>
              <w:ind w:left="0" w:right="0"/>
              <w:rPr>
                <w:rFonts w:hint="default" w:eastAsia="宋体" w:cs="Times New Roman"/>
                <w:color w:val="auto"/>
                <w:highlight w:val="none"/>
                <w:lang w:val="en-US" w:eastAsia="zh-CN"/>
              </w:rPr>
            </w:pPr>
            <w:r>
              <w:rPr>
                <w:rFonts w:hint="default" w:cs="Times New Roman"/>
                <w:color w:val="auto"/>
                <w:highlight w:val="none"/>
              </w:rPr>
              <w:t>车间墙壁的隔声量按同类型厂区实测作为类比，一般为20～30dB，同时考虑到窗户的隔声效果，对</w:t>
            </w:r>
            <w:r>
              <w:rPr>
                <w:rFonts w:hint="eastAsia" w:cs="Times New Roman"/>
                <w:color w:val="auto"/>
                <w:highlight w:val="none"/>
                <w:lang w:val="en-US" w:eastAsia="zh-CN"/>
              </w:rPr>
              <w:t>此</w:t>
            </w:r>
            <w:r>
              <w:rPr>
                <w:rFonts w:hint="default" w:cs="Times New Roman"/>
                <w:color w:val="auto"/>
                <w:highlight w:val="none"/>
              </w:rPr>
              <w:t>进行一些修正。考虑车间墙体隔声、建筑物隔声和距离衰减等因素的作用，经计算得厂界噪声预测结果见下表所示。</w:t>
            </w:r>
          </w:p>
          <w:p w14:paraId="6EE33B94">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default"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项目噪声源对厂界声环境影响预测值（噪声贡献值）单位：dB(A)</w:t>
            </w:r>
          </w:p>
          <w:tbl>
            <w:tblPr>
              <w:tblStyle w:val="28"/>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55"/>
              <w:gridCol w:w="947"/>
              <w:gridCol w:w="2506"/>
              <w:gridCol w:w="1569"/>
              <w:gridCol w:w="1569"/>
            </w:tblGrid>
            <w:tr w14:paraId="74B3BA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7" w:hRule="atLeast"/>
              </w:trPr>
              <w:tc>
                <w:tcPr>
                  <w:tcW w:w="1403" w:type="pct"/>
                  <w:gridSpan w:val="2"/>
                  <w:tcBorders>
                    <w:tl2br w:val="nil"/>
                    <w:tr2bl w:val="nil"/>
                  </w:tcBorders>
                  <w:noWrap w:val="0"/>
                  <w:vAlign w:val="center"/>
                </w:tcPr>
                <w:p w14:paraId="509CC1BE">
                  <w:pPr>
                    <w:pStyle w:val="53"/>
                    <w:keepNext w:val="0"/>
                    <w:keepLines w:val="0"/>
                    <w:suppressLineNumbers w:val="0"/>
                    <w:bidi w:val="0"/>
                    <w:spacing w:before="0" w:beforeAutospacing="0" w:after="0" w:afterAutospacing="0"/>
                    <w:ind w:left="0" w:right="0"/>
                    <w:rPr>
                      <w:rFonts w:hint="default" w:cs="Times New Roman"/>
                      <w:color w:val="auto"/>
                      <w:highlight w:val="none"/>
                    </w:rPr>
                  </w:pPr>
                  <w:r>
                    <w:rPr>
                      <w:rFonts w:hint="default" w:cs="Times New Roman"/>
                      <w:color w:val="auto"/>
                      <w:highlight w:val="none"/>
                    </w:rPr>
                    <w:t>厂界噪声预测</w:t>
                  </w:r>
                </w:p>
              </w:tc>
              <w:tc>
                <w:tcPr>
                  <w:tcW w:w="1596" w:type="pct"/>
                  <w:tcBorders>
                    <w:tl2br w:val="nil"/>
                    <w:tr2bl w:val="nil"/>
                  </w:tcBorders>
                  <w:noWrap w:val="0"/>
                  <w:vAlign w:val="center"/>
                </w:tcPr>
                <w:p w14:paraId="71285CAF">
                  <w:pPr>
                    <w:pStyle w:val="53"/>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建设项目贡献值</w:t>
                  </w:r>
                </w:p>
              </w:tc>
              <w:tc>
                <w:tcPr>
                  <w:tcW w:w="999" w:type="pct"/>
                  <w:tcBorders>
                    <w:tl2br w:val="nil"/>
                    <w:tr2bl w:val="nil"/>
                  </w:tcBorders>
                  <w:noWrap w:val="0"/>
                  <w:vAlign w:val="center"/>
                </w:tcPr>
                <w:p w14:paraId="1F04AA38">
                  <w:pPr>
                    <w:pStyle w:val="53"/>
                    <w:keepNext w:val="0"/>
                    <w:keepLines w:val="0"/>
                    <w:suppressLineNumbers w:val="0"/>
                    <w:bidi w:val="0"/>
                    <w:spacing w:before="0" w:beforeAutospacing="0" w:after="0" w:afterAutospacing="0"/>
                    <w:ind w:left="0" w:right="0"/>
                    <w:rPr>
                      <w:rFonts w:hint="default" w:cs="Times New Roman"/>
                      <w:color w:val="auto"/>
                      <w:highlight w:val="none"/>
                    </w:rPr>
                  </w:pPr>
                  <w:r>
                    <w:rPr>
                      <w:rFonts w:hint="default" w:cs="Times New Roman"/>
                      <w:color w:val="auto"/>
                      <w:highlight w:val="none"/>
                    </w:rPr>
                    <w:t>执行标准</w:t>
                  </w:r>
                </w:p>
              </w:tc>
              <w:tc>
                <w:tcPr>
                  <w:tcW w:w="999" w:type="pct"/>
                  <w:tcBorders>
                    <w:tl2br w:val="nil"/>
                    <w:tr2bl w:val="nil"/>
                  </w:tcBorders>
                  <w:noWrap w:val="0"/>
                  <w:vAlign w:val="center"/>
                </w:tcPr>
                <w:p w14:paraId="456D2F47">
                  <w:pPr>
                    <w:pStyle w:val="53"/>
                    <w:keepNext w:val="0"/>
                    <w:keepLines w:val="0"/>
                    <w:suppressLineNumbers w:val="0"/>
                    <w:bidi w:val="0"/>
                    <w:spacing w:before="0" w:beforeAutospacing="0" w:after="0" w:afterAutospacing="0"/>
                    <w:ind w:left="0" w:right="0"/>
                    <w:rPr>
                      <w:rFonts w:hint="default" w:cs="Times New Roman"/>
                      <w:color w:val="auto"/>
                      <w:highlight w:val="none"/>
                    </w:rPr>
                  </w:pPr>
                  <w:r>
                    <w:rPr>
                      <w:rFonts w:hint="default" w:cs="Times New Roman"/>
                      <w:color w:val="auto"/>
                      <w:highlight w:val="none"/>
                    </w:rPr>
                    <w:t>是否达标</w:t>
                  </w:r>
                </w:p>
              </w:tc>
            </w:tr>
            <w:tr w14:paraId="3C367D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0" w:type="pct"/>
                  <w:vMerge w:val="restart"/>
                  <w:tcBorders>
                    <w:tl2br w:val="nil"/>
                    <w:tr2bl w:val="nil"/>
                  </w:tcBorders>
                  <w:noWrap w:val="0"/>
                  <w:vAlign w:val="center"/>
                </w:tcPr>
                <w:p w14:paraId="586DA6CE">
                  <w:pPr>
                    <w:pStyle w:val="53"/>
                    <w:keepNext w:val="0"/>
                    <w:keepLines w:val="0"/>
                    <w:suppressLineNumbers w:val="0"/>
                    <w:bidi w:val="0"/>
                    <w:spacing w:before="0" w:beforeAutospacing="0" w:after="0" w:afterAutospacing="0"/>
                    <w:ind w:left="0" w:right="0"/>
                    <w:rPr>
                      <w:rFonts w:hint="default" w:cs="Times New Roman"/>
                      <w:color w:val="auto"/>
                      <w:highlight w:val="none"/>
                    </w:rPr>
                  </w:pPr>
                  <w:r>
                    <w:rPr>
                      <w:rFonts w:hint="default" w:cs="Times New Roman"/>
                      <w:color w:val="auto"/>
                      <w:highlight w:val="none"/>
                    </w:rPr>
                    <w:t>东厂界</w:t>
                  </w:r>
                </w:p>
              </w:tc>
              <w:tc>
                <w:tcPr>
                  <w:tcW w:w="602" w:type="pct"/>
                  <w:tcBorders>
                    <w:tl2br w:val="nil"/>
                    <w:tr2bl w:val="nil"/>
                  </w:tcBorders>
                  <w:noWrap w:val="0"/>
                  <w:vAlign w:val="center"/>
                </w:tcPr>
                <w:p w14:paraId="19835D20">
                  <w:pPr>
                    <w:pStyle w:val="53"/>
                    <w:keepNext w:val="0"/>
                    <w:keepLines w:val="0"/>
                    <w:suppressLineNumbers w:val="0"/>
                    <w:bidi w:val="0"/>
                    <w:spacing w:before="0" w:beforeAutospacing="0" w:after="0" w:afterAutospacing="0"/>
                    <w:ind w:left="0" w:right="0"/>
                    <w:rPr>
                      <w:rFonts w:hint="eastAsia" w:eastAsia="宋体" w:cs="Times New Roman"/>
                      <w:color w:val="auto"/>
                      <w:highlight w:val="none"/>
                      <w:lang w:val="en-US" w:eastAsia="zh-CN"/>
                    </w:rPr>
                  </w:pPr>
                  <w:r>
                    <w:rPr>
                      <w:rFonts w:hint="default" w:cs="Times New Roman"/>
                      <w:color w:val="auto"/>
                      <w:highlight w:val="none"/>
                    </w:rPr>
                    <w:t>昼间</w:t>
                  </w:r>
                </w:p>
              </w:tc>
              <w:tc>
                <w:tcPr>
                  <w:tcW w:w="1596" w:type="pct"/>
                  <w:tcBorders>
                    <w:tl2br w:val="nil"/>
                    <w:tr2bl w:val="nil"/>
                  </w:tcBorders>
                  <w:noWrap w:val="0"/>
                  <w:vAlign w:val="center"/>
                </w:tcPr>
                <w:p w14:paraId="0C092C6A">
                  <w:pPr>
                    <w:pStyle w:val="53"/>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41.98</w:t>
                  </w:r>
                </w:p>
              </w:tc>
              <w:tc>
                <w:tcPr>
                  <w:tcW w:w="999" w:type="pct"/>
                  <w:tcBorders>
                    <w:tl2br w:val="nil"/>
                    <w:tr2bl w:val="nil"/>
                  </w:tcBorders>
                  <w:noWrap w:val="0"/>
                  <w:vAlign w:val="center"/>
                </w:tcPr>
                <w:p w14:paraId="592DF9A8">
                  <w:pPr>
                    <w:pStyle w:val="53"/>
                    <w:keepNext w:val="0"/>
                    <w:keepLines w:val="0"/>
                    <w:suppressLineNumbers w:val="0"/>
                    <w:bidi w:val="0"/>
                    <w:spacing w:before="0" w:beforeAutospacing="0" w:after="0" w:afterAutospacing="0"/>
                    <w:ind w:left="0" w:right="0"/>
                    <w:rPr>
                      <w:rFonts w:hint="default" w:cs="Times New Roman"/>
                      <w:color w:val="auto"/>
                      <w:highlight w:val="none"/>
                      <w:lang w:val="en-US" w:eastAsia="zh-CN"/>
                    </w:rPr>
                  </w:pPr>
                  <w:r>
                    <w:rPr>
                      <w:rFonts w:hint="eastAsia" w:cs="Times New Roman"/>
                      <w:color w:val="auto"/>
                      <w:highlight w:val="none"/>
                      <w:lang w:val="en-US" w:eastAsia="zh-CN"/>
                    </w:rPr>
                    <w:t>65</w:t>
                  </w:r>
                </w:p>
              </w:tc>
              <w:tc>
                <w:tcPr>
                  <w:tcW w:w="999" w:type="pct"/>
                  <w:tcBorders>
                    <w:tl2br w:val="nil"/>
                    <w:tr2bl w:val="nil"/>
                  </w:tcBorders>
                  <w:noWrap w:val="0"/>
                  <w:vAlign w:val="center"/>
                </w:tcPr>
                <w:p w14:paraId="0944E86C">
                  <w:pPr>
                    <w:pStyle w:val="53"/>
                    <w:keepNext w:val="0"/>
                    <w:keepLines w:val="0"/>
                    <w:suppressLineNumbers w:val="0"/>
                    <w:bidi w:val="0"/>
                    <w:spacing w:before="0" w:beforeAutospacing="0" w:after="0" w:afterAutospacing="0"/>
                    <w:ind w:left="0" w:right="0" w:firstLine="0" w:firstLineChars="0"/>
                    <w:rPr>
                      <w:rFonts w:hint="default" w:cs="Times New Roman"/>
                      <w:color w:val="auto"/>
                      <w:highlight w:val="none"/>
                    </w:rPr>
                  </w:pPr>
                  <w:r>
                    <w:rPr>
                      <w:rFonts w:hint="default" w:cs="Times New Roman"/>
                      <w:color w:val="auto"/>
                      <w:highlight w:val="none"/>
                    </w:rPr>
                    <w:t>达标</w:t>
                  </w:r>
                </w:p>
              </w:tc>
            </w:tr>
            <w:tr w14:paraId="65554C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0" w:type="pct"/>
                  <w:vMerge w:val="continue"/>
                  <w:tcBorders>
                    <w:tl2br w:val="nil"/>
                    <w:tr2bl w:val="nil"/>
                  </w:tcBorders>
                  <w:noWrap w:val="0"/>
                  <w:vAlign w:val="center"/>
                </w:tcPr>
                <w:p w14:paraId="70D928E7">
                  <w:pPr>
                    <w:pStyle w:val="53"/>
                    <w:keepNext w:val="0"/>
                    <w:keepLines w:val="0"/>
                    <w:suppressLineNumbers w:val="0"/>
                    <w:bidi w:val="0"/>
                    <w:spacing w:before="0" w:beforeAutospacing="0" w:after="0" w:afterAutospacing="0"/>
                    <w:ind w:left="0" w:right="0"/>
                    <w:rPr>
                      <w:rFonts w:hint="default" w:cs="Times New Roman"/>
                      <w:color w:val="auto"/>
                      <w:highlight w:val="none"/>
                    </w:rPr>
                  </w:pPr>
                </w:p>
              </w:tc>
              <w:tc>
                <w:tcPr>
                  <w:tcW w:w="602" w:type="pct"/>
                  <w:tcBorders>
                    <w:tl2br w:val="nil"/>
                    <w:tr2bl w:val="nil"/>
                  </w:tcBorders>
                  <w:noWrap w:val="0"/>
                  <w:vAlign w:val="center"/>
                </w:tcPr>
                <w:p w14:paraId="51CE0089">
                  <w:pPr>
                    <w:pStyle w:val="53"/>
                    <w:keepNext w:val="0"/>
                    <w:keepLines w:val="0"/>
                    <w:suppressLineNumbers w:val="0"/>
                    <w:bidi w:val="0"/>
                    <w:spacing w:before="0" w:beforeAutospacing="0" w:after="0" w:afterAutospacing="0"/>
                    <w:ind w:left="0" w:right="0"/>
                    <w:rPr>
                      <w:rFonts w:hint="default" w:cs="Times New Roman"/>
                      <w:color w:val="auto"/>
                      <w:highlight w:val="none"/>
                    </w:rPr>
                  </w:pPr>
                  <w:r>
                    <w:rPr>
                      <w:rFonts w:hint="eastAsia" w:cs="Times New Roman"/>
                      <w:color w:val="auto"/>
                      <w:highlight w:val="none"/>
                      <w:lang w:val="en-US" w:eastAsia="zh-CN"/>
                    </w:rPr>
                    <w:t>夜间</w:t>
                  </w:r>
                </w:p>
              </w:tc>
              <w:tc>
                <w:tcPr>
                  <w:tcW w:w="1596" w:type="pct"/>
                  <w:tcBorders>
                    <w:tl2br w:val="nil"/>
                    <w:tr2bl w:val="nil"/>
                  </w:tcBorders>
                  <w:noWrap w:val="0"/>
                  <w:vAlign w:val="center"/>
                </w:tcPr>
                <w:p w14:paraId="61631DC8">
                  <w:pPr>
                    <w:pStyle w:val="53"/>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41.98</w:t>
                  </w:r>
                </w:p>
              </w:tc>
              <w:tc>
                <w:tcPr>
                  <w:tcW w:w="999" w:type="pct"/>
                  <w:tcBorders>
                    <w:tl2br w:val="nil"/>
                    <w:tr2bl w:val="nil"/>
                  </w:tcBorders>
                  <w:noWrap w:val="0"/>
                  <w:vAlign w:val="center"/>
                </w:tcPr>
                <w:p w14:paraId="7D7F81E2">
                  <w:pPr>
                    <w:pStyle w:val="53"/>
                    <w:keepNext w:val="0"/>
                    <w:keepLines w:val="0"/>
                    <w:suppressLineNumbers w:val="0"/>
                    <w:bidi w:val="0"/>
                    <w:spacing w:before="0" w:beforeAutospacing="0" w:after="0" w:afterAutospacing="0"/>
                    <w:ind w:left="0" w:right="0"/>
                    <w:rPr>
                      <w:rFonts w:hint="default" w:cs="Times New Roman"/>
                      <w:color w:val="auto"/>
                      <w:highlight w:val="none"/>
                      <w:lang w:val="en-US" w:eastAsia="zh-CN"/>
                    </w:rPr>
                  </w:pPr>
                  <w:r>
                    <w:rPr>
                      <w:rFonts w:hint="eastAsia" w:cs="Times New Roman"/>
                      <w:color w:val="auto"/>
                      <w:highlight w:val="none"/>
                      <w:lang w:val="en-US" w:eastAsia="zh-CN"/>
                    </w:rPr>
                    <w:t>55</w:t>
                  </w:r>
                </w:p>
              </w:tc>
              <w:tc>
                <w:tcPr>
                  <w:tcW w:w="999" w:type="pct"/>
                  <w:tcBorders>
                    <w:tl2br w:val="nil"/>
                    <w:tr2bl w:val="nil"/>
                  </w:tcBorders>
                  <w:noWrap w:val="0"/>
                  <w:vAlign w:val="center"/>
                </w:tcPr>
                <w:p w14:paraId="326AC4A2">
                  <w:pPr>
                    <w:pStyle w:val="53"/>
                    <w:keepNext w:val="0"/>
                    <w:keepLines w:val="0"/>
                    <w:suppressLineNumbers w:val="0"/>
                    <w:bidi w:val="0"/>
                    <w:spacing w:before="0" w:beforeAutospacing="0" w:after="0" w:afterAutospacing="0"/>
                    <w:ind w:left="0" w:right="0" w:firstLine="0" w:firstLineChars="0"/>
                    <w:rPr>
                      <w:rFonts w:hint="default" w:cs="Times New Roman"/>
                      <w:color w:val="auto"/>
                      <w:highlight w:val="none"/>
                    </w:rPr>
                  </w:pPr>
                  <w:r>
                    <w:rPr>
                      <w:rFonts w:hint="default" w:cs="Times New Roman"/>
                      <w:color w:val="auto"/>
                      <w:highlight w:val="none"/>
                    </w:rPr>
                    <w:t>达标</w:t>
                  </w:r>
                </w:p>
              </w:tc>
            </w:tr>
            <w:tr w14:paraId="3D5B47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0" w:type="pct"/>
                  <w:vMerge w:val="restart"/>
                  <w:tcBorders>
                    <w:tl2br w:val="nil"/>
                    <w:tr2bl w:val="nil"/>
                  </w:tcBorders>
                  <w:noWrap w:val="0"/>
                  <w:vAlign w:val="center"/>
                </w:tcPr>
                <w:p w14:paraId="1A76AAE5">
                  <w:pPr>
                    <w:pStyle w:val="53"/>
                    <w:keepNext w:val="0"/>
                    <w:keepLines w:val="0"/>
                    <w:suppressLineNumbers w:val="0"/>
                    <w:bidi w:val="0"/>
                    <w:spacing w:before="0" w:beforeAutospacing="0" w:after="0" w:afterAutospacing="0"/>
                    <w:ind w:left="0" w:right="0"/>
                    <w:rPr>
                      <w:rFonts w:hint="default" w:cs="Times New Roman"/>
                      <w:color w:val="auto"/>
                      <w:highlight w:val="none"/>
                    </w:rPr>
                  </w:pPr>
                  <w:r>
                    <w:rPr>
                      <w:rFonts w:hint="default" w:cs="Times New Roman"/>
                      <w:color w:val="auto"/>
                      <w:highlight w:val="none"/>
                    </w:rPr>
                    <w:t>南厂界</w:t>
                  </w:r>
                </w:p>
              </w:tc>
              <w:tc>
                <w:tcPr>
                  <w:tcW w:w="602" w:type="pct"/>
                  <w:tcBorders>
                    <w:tl2br w:val="nil"/>
                    <w:tr2bl w:val="nil"/>
                  </w:tcBorders>
                  <w:noWrap w:val="0"/>
                  <w:vAlign w:val="center"/>
                </w:tcPr>
                <w:p w14:paraId="36EC5615">
                  <w:pPr>
                    <w:pStyle w:val="53"/>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highlight w:val="none"/>
                    </w:rPr>
                  </w:pPr>
                  <w:r>
                    <w:rPr>
                      <w:rFonts w:hint="default" w:cs="Times New Roman"/>
                      <w:color w:val="auto"/>
                      <w:highlight w:val="none"/>
                    </w:rPr>
                    <w:t>昼间</w:t>
                  </w:r>
                </w:p>
              </w:tc>
              <w:tc>
                <w:tcPr>
                  <w:tcW w:w="1596" w:type="pct"/>
                  <w:tcBorders>
                    <w:tl2br w:val="nil"/>
                    <w:tr2bl w:val="nil"/>
                  </w:tcBorders>
                  <w:noWrap w:val="0"/>
                  <w:vAlign w:val="center"/>
                </w:tcPr>
                <w:p w14:paraId="5E7635B9">
                  <w:pPr>
                    <w:pStyle w:val="53"/>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40.05</w:t>
                  </w:r>
                </w:p>
              </w:tc>
              <w:tc>
                <w:tcPr>
                  <w:tcW w:w="999" w:type="pct"/>
                  <w:tcBorders>
                    <w:tl2br w:val="nil"/>
                    <w:tr2bl w:val="nil"/>
                  </w:tcBorders>
                  <w:noWrap w:val="0"/>
                  <w:vAlign w:val="center"/>
                </w:tcPr>
                <w:p w14:paraId="6856F127">
                  <w:pPr>
                    <w:pStyle w:val="53"/>
                    <w:keepNext w:val="0"/>
                    <w:keepLines w:val="0"/>
                    <w:suppressLineNumbers w:val="0"/>
                    <w:bidi w:val="0"/>
                    <w:spacing w:before="0" w:beforeAutospacing="0" w:after="0" w:afterAutospacing="0"/>
                    <w:ind w:left="0" w:right="0" w:firstLine="0" w:firstLineChars="0"/>
                    <w:rPr>
                      <w:rFonts w:hint="default" w:cs="Times New Roman"/>
                      <w:color w:val="auto"/>
                      <w:highlight w:val="none"/>
                      <w:lang w:val="en-US"/>
                    </w:rPr>
                  </w:pPr>
                  <w:r>
                    <w:rPr>
                      <w:rFonts w:hint="eastAsia" w:cs="Times New Roman"/>
                      <w:color w:val="auto"/>
                      <w:highlight w:val="none"/>
                      <w:lang w:val="en-US" w:eastAsia="zh-CN"/>
                    </w:rPr>
                    <w:t>65</w:t>
                  </w:r>
                </w:p>
              </w:tc>
              <w:tc>
                <w:tcPr>
                  <w:tcW w:w="999" w:type="pct"/>
                  <w:tcBorders>
                    <w:tl2br w:val="nil"/>
                    <w:tr2bl w:val="nil"/>
                  </w:tcBorders>
                  <w:noWrap w:val="0"/>
                  <w:vAlign w:val="center"/>
                </w:tcPr>
                <w:p w14:paraId="4921ABDB">
                  <w:pPr>
                    <w:pStyle w:val="53"/>
                    <w:keepNext w:val="0"/>
                    <w:keepLines w:val="0"/>
                    <w:suppressLineNumbers w:val="0"/>
                    <w:bidi w:val="0"/>
                    <w:spacing w:before="0" w:beforeAutospacing="0" w:after="0" w:afterAutospacing="0"/>
                    <w:ind w:left="0" w:right="0" w:firstLine="0" w:firstLineChars="0"/>
                    <w:rPr>
                      <w:rFonts w:hint="default" w:cs="Times New Roman"/>
                      <w:color w:val="auto"/>
                      <w:highlight w:val="none"/>
                    </w:rPr>
                  </w:pPr>
                  <w:r>
                    <w:rPr>
                      <w:rFonts w:hint="default" w:cs="Times New Roman"/>
                      <w:color w:val="auto"/>
                      <w:highlight w:val="none"/>
                    </w:rPr>
                    <w:t>达标</w:t>
                  </w:r>
                </w:p>
              </w:tc>
            </w:tr>
            <w:tr w14:paraId="3F6738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0" w:type="pct"/>
                  <w:vMerge w:val="continue"/>
                  <w:tcBorders>
                    <w:tl2br w:val="nil"/>
                    <w:tr2bl w:val="nil"/>
                  </w:tcBorders>
                  <w:noWrap w:val="0"/>
                  <w:vAlign w:val="center"/>
                </w:tcPr>
                <w:p w14:paraId="7A327512">
                  <w:pPr>
                    <w:pStyle w:val="53"/>
                    <w:keepNext w:val="0"/>
                    <w:keepLines w:val="0"/>
                    <w:suppressLineNumbers w:val="0"/>
                    <w:bidi w:val="0"/>
                    <w:spacing w:before="0" w:beforeAutospacing="0" w:after="0" w:afterAutospacing="0"/>
                    <w:ind w:left="0" w:right="0"/>
                    <w:rPr>
                      <w:rFonts w:hint="default" w:cs="Times New Roman"/>
                      <w:color w:val="auto"/>
                      <w:highlight w:val="none"/>
                    </w:rPr>
                  </w:pPr>
                </w:p>
              </w:tc>
              <w:tc>
                <w:tcPr>
                  <w:tcW w:w="602" w:type="pct"/>
                  <w:tcBorders>
                    <w:tl2br w:val="nil"/>
                    <w:tr2bl w:val="nil"/>
                  </w:tcBorders>
                  <w:noWrap w:val="0"/>
                  <w:vAlign w:val="center"/>
                </w:tcPr>
                <w:p w14:paraId="7230A937">
                  <w:pPr>
                    <w:pStyle w:val="53"/>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highlight w:val="none"/>
                    </w:rPr>
                  </w:pPr>
                  <w:r>
                    <w:rPr>
                      <w:rFonts w:hint="eastAsia" w:cs="Times New Roman"/>
                      <w:color w:val="auto"/>
                      <w:highlight w:val="none"/>
                      <w:lang w:val="en-US" w:eastAsia="zh-CN"/>
                    </w:rPr>
                    <w:t>夜间</w:t>
                  </w:r>
                </w:p>
              </w:tc>
              <w:tc>
                <w:tcPr>
                  <w:tcW w:w="1596" w:type="pct"/>
                  <w:tcBorders>
                    <w:tl2br w:val="nil"/>
                    <w:tr2bl w:val="nil"/>
                  </w:tcBorders>
                  <w:noWrap w:val="0"/>
                  <w:vAlign w:val="center"/>
                </w:tcPr>
                <w:p w14:paraId="0CC00EE6">
                  <w:pPr>
                    <w:pStyle w:val="53"/>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40.05</w:t>
                  </w:r>
                </w:p>
              </w:tc>
              <w:tc>
                <w:tcPr>
                  <w:tcW w:w="999" w:type="pct"/>
                  <w:tcBorders>
                    <w:tl2br w:val="nil"/>
                    <w:tr2bl w:val="nil"/>
                  </w:tcBorders>
                  <w:noWrap w:val="0"/>
                  <w:vAlign w:val="center"/>
                </w:tcPr>
                <w:p w14:paraId="592FC808">
                  <w:pPr>
                    <w:pStyle w:val="53"/>
                    <w:keepNext w:val="0"/>
                    <w:keepLines w:val="0"/>
                    <w:suppressLineNumbers w:val="0"/>
                    <w:bidi w:val="0"/>
                    <w:spacing w:before="0" w:beforeAutospacing="0" w:after="0" w:afterAutospacing="0"/>
                    <w:ind w:left="0" w:right="0" w:firstLine="0" w:firstLineChars="0"/>
                    <w:rPr>
                      <w:rFonts w:hint="default" w:cs="Times New Roman"/>
                      <w:color w:val="auto"/>
                      <w:highlight w:val="none"/>
                      <w:lang w:val="en-US" w:eastAsia="zh-CN"/>
                    </w:rPr>
                  </w:pPr>
                  <w:r>
                    <w:rPr>
                      <w:rFonts w:hint="eastAsia" w:cs="Times New Roman"/>
                      <w:color w:val="auto"/>
                      <w:highlight w:val="none"/>
                      <w:lang w:val="en-US" w:eastAsia="zh-CN"/>
                    </w:rPr>
                    <w:t>55</w:t>
                  </w:r>
                </w:p>
              </w:tc>
              <w:tc>
                <w:tcPr>
                  <w:tcW w:w="999" w:type="pct"/>
                  <w:tcBorders>
                    <w:tl2br w:val="nil"/>
                    <w:tr2bl w:val="nil"/>
                  </w:tcBorders>
                  <w:noWrap w:val="0"/>
                  <w:vAlign w:val="center"/>
                </w:tcPr>
                <w:p w14:paraId="7655751B">
                  <w:pPr>
                    <w:pStyle w:val="53"/>
                    <w:keepNext w:val="0"/>
                    <w:keepLines w:val="0"/>
                    <w:suppressLineNumbers w:val="0"/>
                    <w:bidi w:val="0"/>
                    <w:spacing w:before="0" w:beforeAutospacing="0" w:after="0" w:afterAutospacing="0"/>
                    <w:ind w:left="0" w:right="0" w:firstLine="0" w:firstLineChars="0"/>
                    <w:rPr>
                      <w:rFonts w:hint="default" w:cs="Times New Roman"/>
                      <w:color w:val="auto"/>
                      <w:highlight w:val="none"/>
                    </w:rPr>
                  </w:pPr>
                  <w:r>
                    <w:rPr>
                      <w:rFonts w:hint="default" w:cs="Times New Roman"/>
                      <w:color w:val="auto"/>
                      <w:highlight w:val="none"/>
                    </w:rPr>
                    <w:t>达标</w:t>
                  </w:r>
                </w:p>
              </w:tc>
            </w:tr>
            <w:tr w14:paraId="1A849F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0" w:type="pct"/>
                  <w:vMerge w:val="restart"/>
                  <w:tcBorders>
                    <w:tl2br w:val="nil"/>
                    <w:tr2bl w:val="nil"/>
                  </w:tcBorders>
                  <w:noWrap w:val="0"/>
                  <w:vAlign w:val="center"/>
                </w:tcPr>
                <w:p w14:paraId="2FA183F9">
                  <w:pPr>
                    <w:pStyle w:val="53"/>
                    <w:keepNext w:val="0"/>
                    <w:keepLines w:val="0"/>
                    <w:suppressLineNumbers w:val="0"/>
                    <w:bidi w:val="0"/>
                    <w:spacing w:before="0" w:beforeAutospacing="0" w:after="0" w:afterAutospacing="0"/>
                    <w:ind w:left="0" w:right="0"/>
                    <w:rPr>
                      <w:rFonts w:hint="default" w:cs="Times New Roman"/>
                      <w:color w:val="auto"/>
                      <w:highlight w:val="none"/>
                    </w:rPr>
                  </w:pPr>
                  <w:r>
                    <w:rPr>
                      <w:rFonts w:hint="default" w:cs="Times New Roman"/>
                      <w:color w:val="auto"/>
                      <w:highlight w:val="none"/>
                    </w:rPr>
                    <w:t>西厂界</w:t>
                  </w:r>
                </w:p>
              </w:tc>
              <w:tc>
                <w:tcPr>
                  <w:tcW w:w="602" w:type="pct"/>
                  <w:tcBorders>
                    <w:tl2br w:val="nil"/>
                    <w:tr2bl w:val="nil"/>
                  </w:tcBorders>
                  <w:noWrap w:val="0"/>
                  <w:vAlign w:val="center"/>
                </w:tcPr>
                <w:p w14:paraId="37029A5E">
                  <w:pPr>
                    <w:pStyle w:val="53"/>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highlight w:val="none"/>
                    </w:rPr>
                  </w:pPr>
                  <w:r>
                    <w:rPr>
                      <w:rFonts w:hint="default" w:cs="Times New Roman"/>
                      <w:color w:val="auto"/>
                      <w:highlight w:val="none"/>
                    </w:rPr>
                    <w:t>昼间</w:t>
                  </w:r>
                </w:p>
              </w:tc>
              <w:tc>
                <w:tcPr>
                  <w:tcW w:w="1596" w:type="pct"/>
                  <w:tcBorders>
                    <w:tl2br w:val="nil"/>
                    <w:tr2bl w:val="nil"/>
                  </w:tcBorders>
                  <w:noWrap w:val="0"/>
                  <w:vAlign w:val="center"/>
                </w:tcPr>
                <w:p w14:paraId="6ABEDE11">
                  <w:pPr>
                    <w:pStyle w:val="53"/>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39.067</w:t>
                  </w:r>
                </w:p>
              </w:tc>
              <w:tc>
                <w:tcPr>
                  <w:tcW w:w="999" w:type="pct"/>
                  <w:tcBorders>
                    <w:tl2br w:val="nil"/>
                    <w:tr2bl w:val="nil"/>
                  </w:tcBorders>
                  <w:noWrap w:val="0"/>
                  <w:vAlign w:val="center"/>
                </w:tcPr>
                <w:p w14:paraId="055329BD">
                  <w:pPr>
                    <w:pStyle w:val="53"/>
                    <w:keepNext w:val="0"/>
                    <w:keepLines w:val="0"/>
                    <w:suppressLineNumbers w:val="0"/>
                    <w:bidi w:val="0"/>
                    <w:spacing w:before="0" w:beforeAutospacing="0" w:after="0" w:afterAutospacing="0"/>
                    <w:ind w:left="0" w:leftChars="0" w:right="0" w:rightChars="0" w:firstLine="0" w:firstLineChars="0"/>
                    <w:rPr>
                      <w:rFonts w:hint="default" w:cs="Times New Roman"/>
                      <w:color w:val="auto"/>
                      <w:highlight w:val="none"/>
                    </w:rPr>
                  </w:pPr>
                  <w:r>
                    <w:rPr>
                      <w:rFonts w:hint="eastAsia" w:cs="Times New Roman"/>
                      <w:color w:val="auto"/>
                      <w:highlight w:val="none"/>
                      <w:lang w:val="en-US" w:eastAsia="zh-CN"/>
                    </w:rPr>
                    <w:t>65</w:t>
                  </w:r>
                </w:p>
              </w:tc>
              <w:tc>
                <w:tcPr>
                  <w:tcW w:w="999" w:type="pct"/>
                  <w:tcBorders>
                    <w:tl2br w:val="nil"/>
                    <w:tr2bl w:val="nil"/>
                  </w:tcBorders>
                  <w:noWrap w:val="0"/>
                  <w:vAlign w:val="center"/>
                </w:tcPr>
                <w:p w14:paraId="7DF1DE2C">
                  <w:pPr>
                    <w:pStyle w:val="53"/>
                    <w:keepNext w:val="0"/>
                    <w:keepLines w:val="0"/>
                    <w:suppressLineNumbers w:val="0"/>
                    <w:bidi w:val="0"/>
                    <w:spacing w:before="0" w:beforeAutospacing="0" w:after="0" w:afterAutospacing="0"/>
                    <w:ind w:left="0" w:right="0" w:firstLine="0" w:firstLineChars="0"/>
                    <w:rPr>
                      <w:rFonts w:hint="default" w:cs="Times New Roman"/>
                      <w:color w:val="auto"/>
                      <w:highlight w:val="none"/>
                    </w:rPr>
                  </w:pPr>
                  <w:r>
                    <w:rPr>
                      <w:rFonts w:hint="default" w:cs="Times New Roman"/>
                      <w:color w:val="auto"/>
                      <w:highlight w:val="none"/>
                    </w:rPr>
                    <w:t>达标</w:t>
                  </w:r>
                </w:p>
              </w:tc>
            </w:tr>
            <w:tr w14:paraId="623E1C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0" w:type="pct"/>
                  <w:vMerge w:val="continue"/>
                  <w:tcBorders>
                    <w:tl2br w:val="nil"/>
                    <w:tr2bl w:val="nil"/>
                  </w:tcBorders>
                  <w:noWrap w:val="0"/>
                  <w:vAlign w:val="center"/>
                </w:tcPr>
                <w:p w14:paraId="746DF584">
                  <w:pPr>
                    <w:pStyle w:val="53"/>
                    <w:keepNext w:val="0"/>
                    <w:keepLines w:val="0"/>
                    <w:suppressLineNumbers w:val="0"/>
                    <w:bidi w:val="0"/>
                    <w:spacing w:before="0" w:beforeAutospacing="0" w:after="0" w:afterAutospacing="0"/>
                    <w:ind w:left="0" w:right="0"/>
                    <w:rPr>
                      <w:rFonts w:hint="default" w:cs="Times New Roman"/>
                      <w:color w:val="auto"/>
                      <w:highlight w:val="none"/>
                    </w:rPr>
                  </w:pPr>
                </w:p>
              </w:tc>
              <w:tc>
                <w:tcPr>
                  <w:tcW w:w="602" w:type="pct"/>
                  <w:tcBorders>
                    <w:tl2br w:val="nil"/>
                    <w:tr2bl w:val="nil"/>
                  </w:tcBorders>
                  <w:noWrap w:val="0"/>
                  <w:vAlign w:val="center"/>
                </w:tcPr>
                <w:p w14:paraId="6349E4F0">
                  <w:pPr>
                    <w:pStyle w:val="53"/>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highlight w:val="none"/>
                    </w:rPr>
                  </w:pPr>
                  <w:r>
                    <w:rPr>
                      <w:rFonts w:hint="eastAsia" w:cs="Times New Roman"/>
                      <w:color w:val="auto"/>
                      <w:highlight w:val="none"/>
                      <w:lang w:val="en-US" w:eastAsia="zh-CN"/>
                    </w:rPr>
                    <w:t>夜间</w:t>
                  </w:r>
                </w:p>
              </w:tc>
              <w:tc>
                <w:tcPr>
                  <w:tcW w:w="1596" w:type="pct"/>
                  <w:tcBorders>
                    <w:tl2br w:val="nil"/>
                    <w:tr2bl w:val="nil"/>
                  </w:tcBorders>
                  <w:noWrap w:val="0"/>
                  <w:vAlign w:val="center"/>
                </w:tcPr>
                <w:p w14:paraId="3DB29803">
                  <w:pPr>
                    <w:pStyle w:val="53"/>
                    <w:keepNext w:val="0"/>
                    <w:keepLines w:val="0"/>
                    <w:suppressLineNumbers w:val="0"/>
                    <w:bidi w:val="0"/>
                    <w:spacing w:before="0" w:beforeAutospacing="0" w:after="0" w:afterAutospacing="0"/>
                    <w:ind w:left="0" w:right="0" w:firstLine="0" w:firstLineChars="0"/>
                    <w:rPr>
                      <w:rFonts w:hint="default" w:cs="Times New Roman"/>
                      <w:color w:val="auto"/>
                      <w:highlight w:val="none"/>
                      <w:lang w:val="en-US" w:eastAsia="zh-CN"/>
                    </w:rPr>
                  </w:pPr>
                  <w:r>
                    <w:rPr>
                      <w:rFonts w:hint="eastAsia" w:cs="Times New Roman"/>
                      <w:color w:val="auto"/>
                      <w:highlight w:val="none"/>
                      <w:lang w:val="en-US" w:eastAsia="zh-CN"/>
                    </w:rPr>
                    <w:t>39.07</w:t>
                  </w:r>
                </w:p>
              </w:tc>
              <w:tc>
                <w:tcPr>
                  <w:tcW w:w="999" w:type="pct"/>
                  <w:tcBorders>
                    <w:tl2br w:val="nil"/>
                    <w:tr2bl w:val="nil"/>
                  </w:tcBorders>
                  <w:noWrap w:val="0"/>
                  <w:vAlign w:val="center"/>
                </w:tcPr>
                <w:p w14:paraId="41045731">
                  <w:pPr>
                    <w:pStyle w:val="53"/>
                    <w:keepNext w:val="0"/>
                    <w:keepLines w:val="0"/>
                    <w:suppressLineNumbers w:val="0"/>
                    <w:bidi w:val="0"/>
                    <w:spacing w:before="0" w:beforeAutospacing="0" w:after="0" w:afterAutospacing="0"/>
                    <w:ind w:left="0" w:leftChars="0" w:right="0" w:rightChars="0" w:firstLine="0" w:firstLineChars="0"/>
                    <w:rPr>
                      <w:rFonts w:hint="eastAsia" w:cs="Times New Roman"/>
                      <w:color w:val="auto"/>
                      <w:highlight w:val="none"/>
                      <w:lang w:val="en-US" w:eastAsia="zh-CN"/>
                    </w:rPr>
                  </w:pPr>
                  <w:r>
                    <w:rPr>
                      <w:rFonts w:hint="eastAsia" w:cs="Times New Roman"/>
                      <w:color w:val="auto"/>
                      <w:highlight w:val="none"/>
                      <w:lang w:val="en-US" w:eastAsia="zh-CN"/>
                    </w:rPr>
                    <w:t>55</w:t>
                  </w:r>
                </w:p>
              </w:tc>
              <w:tc>
                <w:tcPr>
                  <w:tcW w:w="999" w:type="pct"/>
                  <w:tcBorders>
                    <w:tl2br w:val="nil"/>
                    <w:tr2bl w:val="nil"/>
                  </w:tcBorders>
                  <w:noWrap w:val="0"/>
                  <w:vAlign w:val="center"/>
                </w:tcPr>
                <w:p w14:paraId="701C3EFE">
                  <w:pPr>
                    <w:pStyle w:val="53"/>
                    <w:keepNext w:val="0"/>
                    <w:keepLines w:val="0"/>
                    <w:suppressLineNumbers w:val="0"/>
                    <w:bidi w:val="0"/>
                    <w:spacing w:before="0" w:beforeAutospacing="0" w:after="0" w:afterAutospacing="0"/>
                    <w:ind w:left="0" w:right="0" w:firstLine="0" w:firstLineChars="0"/>
                    <w:rPr>
                      <w:rFonts w:hint="default" w:cs="Times New Roman"/>
                      <w:color w:val="auto"/>
                      <w:highlight w:val="none"/>
                    </w:rPr>
                  </w:pPr>
                  <w:r>
                    <w:rPr>
                      <w:rFonts w:hint="default" w:cs="Times New Roman"/>
                      <w:color w:val="auto"/>
                      <w:highlight w:val="none"/>
                    </w:rPr>
                    <w:t>达标</w:t>
                  </w:r>
                </w:p>
              </w:tc>
            </w:tr>
            <w:tr w14:paraId="5FEC32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0" w:type="pct"/>
                  <w:vMerge w:val="restart"/>
                  <w:tcBorders>
                    <w:tl2br w:val="nil"/>
                    <w:tr2bl w:val="nil"/>
                  </w:tcBorders>
                  <w:noWrap w:val="0"/>
                  <w:vAlign w:val="center"/>
                </w:tcPr>
                <w:p w14:paraId="6B5C49C8">
                  <w:pPr>
                    <w:pStyle w:val="53"/>
                    <w:keepNext w:val="0"/>
                    <w:keepLines w:val="0"/>
                    <w:suppressLineNumbers w:val="0"/>
                    <w:bidi w:val="0"/>
                    <w:spacing w:before="0" w:beforeAutospacing="0" w:after="0" w:afterAutospacing="0"/>
                    <w:ind w:left="0" w:right="0"/>
                    <w:rPr>
                      <w:rFonts w:hint="default" w:cs="Times New Roman"/>
                      <w:color w:val="auto"/>
                      <w:highlight w:val="none"/>
                    </w:rPr>
                  </w:pPr>
                  <w:r>
                    <w:rPr>
                      <w:rFonts w:hint="default" w:cs="Times New Roman"/>
                      <w:color w:val="auto"/>
                      <w:highlight w:val="none"/>
                    </w:rPr>
                    <w:t>北厂界</w:t>
                  </w:r>
                </w:p>
              </w:tc>
              <w:tc>
                <w:tcPr>
                  <w:tcW w:w="602" w:type="pct"/>
                  <w:tcBorders>
                    <w:tl2br w:val="nil"/>
                    <w:tr2bl w:val="nil"/>
                  </w:tcBorders>
                  <w:noWrap w:val="0"/>
                  <w:vAlign w:val="center"/>
                </w:tcPr>
                <w:p w14:paraId="16FF3390">
                  <w:pPr>
                    <w:pStyle w:val="53"/>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highlight w:val="none"/>
                    </w:rPr>
                  </w:pPr>
                  <w:r>
                    <w:rPr>
                      <w:rFonts w:hint="default" w:cs="Times New Roman"/>
                      <w:color w:val="auto"/>
                      <w:highlight w:val="none"/>
                    </w:rPr>
                    <w:t>昼间</w:t>
                  </w:r>
                </w:p>
              </w:tc>
              <w:tc>
                <w:tcPr>
                  <w:tcW w:w="1596" w:type="pct"/>
                  <w:tcBorders>
                    <w:tl2br w:val="nil"/>
                    <w:tr2bl w:val="nil"/>
                  </w:tcBorders>
                  <w:noWrap w:val="0"/>
                  <w:vAlign w:val="center"/>
                </w:tcPr>
                <w:p w14:paraId="1649ED4C">
                  <w:pPr>
                    <w:pStyle w:val="53"/>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40.78</w:t>
                  </w:r>
                </w:p>
              </w:tc>
              <w:tc>
                <w:tcPr>
                  <w:tcW w:w="999" w:type="pct"/>
                  <w:tcBorders>
                    <w:tl2br w:val="nil"/>
                    <w:tr2bl w:val="nil"/>
                  </w:tcBorders>
                  <w:noWrap w:val="0"/>
                  <w:vAlign w:val="center"/>
                </w:tcPr>
                <w:p w14:paraId="516E4383">
                  <w:pPr>
                    <w:pStyle w:val="53"/>
                    <w:keepNext w:val="0"/>
                    <w:keepLines w:val="0"/>
                    <w:suppressLineNumbers w:val="0"/>
                    <w:bidi w:val="0"/>
                    <w:spacing w:before="0" w:beforeAutospacing="0" w:after="0" w:afterAutospacing="0"/>
                    <w:ind w:left="0" w:leftChars="0" w:right="0" w:rightChars="0" w:firstLine="0" w:firstLineChars="0"/>
                    <w:rPr>
                      <w:rFonts w:hint="default" w:cs="Times New Roman"/>
                      <w:color w:val="auto"/>
                      <w:highlight w:val="none"/>
                    </w:rPr>
                  </w:pPr>
                  <w:r>
                    <w:rPr>
                      <w:rFonts w:hint="eastAsia" w:cs="Times New Roman"/>
                      <w:color w:val="auto"/>
                      <w:highlight w:val="none"/>
                      <w:lang w:val="en-US" w:eastAsia="zh-CN"/>
                    </w:rPr>
                    <w:t>65</w:t>
                  </w:r>
                </w:p>
              </w:tc>
              <w:tc>
                <w:tcPr>
                  <w:tcW w:w="999" w:type="pct"/>
                  <w:tcBorders>
                    <w:tl2br w:val="nil"/>
                    <w:tr2bl w:val="nil"/>
                  </w:tcBorders>
                  <w:noWrap w:val="0"/>
                  <w:vAlign w:val="center"/>
                </w:tcPr>
                <w:p w14:paraId="46C816ED">
                  <w:pPr>
                    <w:pStyle w:val="53"/>
                    <w:keepNext w:val="0"/>
                    <w:keepLines w:val="0"/>
                    <w:suppressLineNumbers w:val="0"/>
                    <w:bidi w:val="0"/>
                    <w:spacing w:before="0" w:beforeAutospacing="0" w:after="0" w:afterAutospacing="0"/>
                    <w:ind w:left="0" w:right="0" w:firstLine="0" w:firstLineChars="0"/>
                    <w:rPr>
                      <w:rFonts w:hint="default" w:cs="Times New Roman"/>
                      <w:color w:val="auto"/>
                      <w:highlight w:val="none"/>
                    </w:rPr>
                  </w:pPr>
                  <w:r>
                    <w:rPr>
                      <w:rFonts w:hint="default" w:cs="Times New Roman"/>
                      <w:color w:val="auto"/>
                      <w:highlight w:val="none"/>
                    </w:rPr>
                    <w:t>达标</w:t>
                  </w:r>
                </w:p>
              </w:tc>
            </w:tr>
            <w:tr w14:paraId="372C2F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0" w:type="pct"/>
                  <w:vMerge w:val="continue"/>
                  <w:tcBorders>
                    <w:tl2br w:val="nil"/>
                    <w:tr2bl w:val="nil"/>
                  </w:tcBorders>
                  <w:noWrap w:val="0"/>
                  <w:vAlign w:val="center"/>
                </w:tcPr>
                <w:p w14:paraId="5E9CE98B">
                  <w:pPr>
                    <w:pStyle w:val="53"/>
                    <w:keepNext w:val="0"/>
                    <w:keepLines w:val="0"/>
                    <w:suppressLineNumbers w:val="0"/>
                    <w:bidi w:val="0"/>
                    <w:spacing w:before="0" w:beforeAutospacing="0" w:after="0" w:afterAutospacing="0"/>
                    <w:ind w:left="0" w:right="0"/>
                    <w:rPr>
                      <w:rFonts w:hint="default" w:cs="Times New Roman"/>
                      <w:color w:val="auto"/>
                      <w:highlight w:val="none"/>
                    </w:rPr>
                  </w:pPr>
                </w:p>
              </w:tc>
              <w:tc>
                <w:tcPr>
                  <w:tcW w:w="602" w:type="pct"/>
                  <w:tcBorders>
                    <w:tl2br w:val="nil"/>
                    <w:tr2bl w:val="nil"/>
                  </w:tcBorders>
                  <w:noWrap w:val="0"/>
                  <w:vAlign w:val="center"/>
                </w:tcPr>
                <w:p w14:paraId="0382842D">
                  <w:pPr>
                    <w:pStyle w:val="53"/>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highlight w:val="none"/>
                    </w:rPr>
                  </w:pPr>
                  <w:r>
                    <w:rPr>
                      <w:rFonts w:hint="eastAsia" w:cs="Times New Roman"/>
                      <w:color w:val="auto"/>
                      <w:highlight w:val="none"/>
                      <w:lang w:val="en-US" w:eastAsia="zh-CN"/>
                    </w:rPr>
                    <w:t>夜间</w:t>
                  </w:r>
                </w:p>
              </w:tc>
              <w:tc>
                <w:tcPr>
                  <w:tcW w:w="1596" w:type="pct"/>
                  <w:tcBorders>
                    <w:tl2br w:val="nil"/>
                    <w:tr2bl w:val="nil"/>
                  </w:tcBorders>
                  <w:noWrap w:val="0"/>
                  <w:vAlign w:val="center"/>
                </w:tcPr>
                <w:p w14:paraId="3C501885">
                  <w:pPr>
                    <w:pStyle w:val="53"/>
                    <w:keepNext w:val="0"/>
                    <w:keepLines w:val="0"/>
                    <w:suppressLineNumbers w:val="0"/>
                    <w:bidi w:val="0"/>
                    <w:spacing w:before="0" w:beforeAutospacing="0" w:after="0" w:afterAutospacing="0"/>
                    <w:ind w:left="0" w:right="0" w:firstLine="0" w:firstLineChars="0"/>
                    <w:rPr>
                      <w:rFonts w:hint="default" w:cs="Times New Roman"/>
                      <w:color w:val="auto"/>
                      <w:highlight w:val="none"/>
                      <w:lang w:val="en-US" w:eastAsia="zh-CN"/>
                    </w:rPr>
                  </w:pPr>
                  <w:r>
                    <w:rPr>
                      <w:rFonts w:hint="eastAsia" w:cs="Times New Roman"/>
                      <w:color w:val="auto"/>
                      <w:highlight w:val="none"/>
                      <w:lang w:val="en-US" w:eastAsia="zh-CN"/>
                    </w:rPr>
                    <w:t>40.78</w:t>
                  </w:r>
                </w:p>
              </w:tc>
              <w:tc>
                <w:tcPr>
                  <w:tcW w:w="999" w:type="pct"/>
                  <w:tcBorders>
                    <w:tl2br w:val="nil"/>
                    <w:tr2bl w:val="nil"/>
                  </w:tcBorders>
                  <w:noWrap w:val="0"/>
                  <w:vAlign w:val="center"/>
                </w:tcPr>
                <w:p w14:paraId="6FA8C0F9">
                  <w:pPr>
                    <w:pStyle w:val="53"/>
                    <w:keepNext w:val="0"/>
                    <w:keepLines w:val="0"/>
                    <w:suppressLineNumbers w:val="0"/>
                    <w:bidi w:val="0"/>
                    <w:spacing w:before="0" w:beforeAutospacing="0" w:after="0" w:afterAutospacing="0"/>
                    <w:ind w:left="0" w:leftChars="0" w:right="0" w:rightChars="0" w:firstLine="0" w:firstLineChars="0"/>
                    <w:rPr>
                      <w:rFonts w:hint="eastAsia" w:cs="Times New Roman"/>
                      <w:color w:val="auto"/>
                      <w:highlight w:val="none"/>
                      <w:lang w:val="en-US" w:eastAsia="zh-CN"/>
                    </w:rPr>
                  </w:pPr>
                  <w:r>
                    <w:rPr>
                      <w:rFonts w:hint="eastAsia" w:cs="Times New Roman"/>
                      <w:color w:val="auto"/>
                      <w:highlight w:val="none"/>
                      <w:lang w:val="en-US" w:eastAsia="zh-CN"/>
                    </w:rPr>
                    <w:t>55</w:t>
                  </w:r>
                </w:p>
              </w:tc>
              <w:tc>
                <w:tcPr>
                  <w:tcW w:w="999" w:type="pct"/>
                  <w:tcBorders>
                    <w:tl2br w:val="nil"/>
                    <w:tr2bl w:val="nil"/>
                  </w:tcBorders>
                  <w:noWrap w:val="0"/>
                  <w:vAlign w:val="center"/>
                </w:tcPr>
                <w:p w14:paraId="59B5D498">
                  <w:pPr>
                    <w:pStyle w:val="53"/>
                    <w:keepNext w:val="0"/>
                    <w:keepLines w:val="0"/>
                    <w:suppressLineNumbers w:val="0"/>
                    <w:bidi w:val="0"/>
                    <w:spacing w:before="0" w:beforeAutospacing="0" w:after="0" w:afterAutospacing="0"/>
                    <w:ind w:left="0" w:right="0" w:firstLine="0" w:firstLineChars="0"/>
                    <w:rPr>
                      <w:rFonts w:hint="default" w:cs="Times New Roman"/>
                      <w:color w:val="auto"/>
                      <w:highlight w:val="none"/>
                    </w:rPr>
                  </w:pPr>
                  <w:r>
                    <w:rPr>
                      <w:rFonts w:hint="default" w:cs="Times New Roman"/>
                      <w:color w:val="auto"/>
                      <w:highlight w:val="none"/>
                    </w:rPr>
                    <w:t>达标</w:t>
                  </w:r>
                </w:p>
              </w:tc>
            </w:tr>
          </w:tbl>
          <w:p w14:paraId="228E5000">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由上表可知，项目噪声经建筑物隔声及距离衰减后，传至项目厂界均能满足</w:t>
            </w:r>
            <w:r>
              <w:rPr>
                <w:rFonts w:hint="eastAsia" w:cs="Times New Roman"/>
                <w:color w:val="auto"/>
              </w:rPr>
              <w:t>《工业企业厂界环境噪声排放标准》（GB12348-2008）</w:t>
            </w:r>
            <w:r>
              <w:rPr>
                <w:rFonts w:hint="default" w:cs="Times New Roman"/>
                <w:color w:val="auto"/>
              </w:rPr>
              <w:t>中</w:t>
            </w:r>
            <w:r>
              <w:rPr>
                <w:rFonts w:hint="eastAsia" w:cs="Times New Roman"/>
                <w:color w:val="auto"/>
                <w:lang w:val="en-US" w:eastAsia="zh-CN"/>
              </w:rPr>
              <w:t>3</w:t>
            </w:r>
            <w:r>
              <w:rPr>
                <w:rFonts w:hint="default" w:cs="Times New Roman"/>
                <w:color w:val="auto"/>
              </w:rPr>
              <w:t>类标准要求，所以项目噪声对周围环境影响很小</w:t>
            </w:r>
            <w:r>
              <w:rPr>
                <w:rFonts w:hint="eastAsia" w:cs="Times New Roman"/>
                <w:color w:val="auto"/>
              </w:rPr>
              <w:t>，</w:t>
            </w:r>
            <w:r>
              <w:rPr>
                <w:rFonts w:hint="default" w:cs="Times New Roman"/>
                <w:color w:val="auto"/>
              </w:rPr>
              <w:t>本项目对周围环境及环境保护目标不会产生不利影响。</w:t>
            </w:r>
          </w:p>
          <w:p w14:paraId="1948C7BC">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为使本项目对周边声环境影响降到最低，本环评要求建设单位对该项目的噪声源采取隔声降噪措施。具体措施如下：</w:t>
            </w:r>
          </w:p>
          <w:p w14:paraId="7686CAD3">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①从声源上控制，选择低噪声和符合国家噪声标准的设备；</w:t>
            </w:r>
          </w:p>
          <w:p w14:paraId="44AA1B5C">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②合理布局本项目高噪声的设备，将生产设备全部布置于车间内部，同时将厂房进行封闭，减少对外界的影响；</w:t>
            </w:r>
          </w:p>
          <w:p w14:paraId="19489C1A">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③加强对高噪声设备维护，确保设备处于良好的运转状态，杜绝因设备不正常运转时产生的高噪声现象。</w:t>
            </w:r>
          </w:p>
          <w:p w14:paraId="0267A22B">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④风机进、排风管安装消声器，风机与进、排风管采用橡胶柔性接管连接，在风机和基础之间安装隔振器，尽可能增加机座惰性块的重量，一般为2～3倍机组重量。</w:t>
            </w:r>
          </w:p>
          <w:p w14:paraId="7EBA2169">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⑤在设备和基础之间加弹簧和弹性材料制作的减振器或减振垫层以减少设备基础与墙体振动形成的噪声；</w:t>
            </w:r>
          </w:p>
          <w:p w14:paraId="7A61D400">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⑥在机械设备结构的连接处作减振处理，如采用弹性的连轴节，弹性垫或其它装置。</w:t>
            </w:r>
          </w:p>
          <w:p w14:paraId="0BDBB48A">
            <w:pPr>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ascii="宋体" w:hAnsi="宋体" w:eastAsia="宋体" w:cs="宋体"/>
                <w:color w:val="auto"/>
              </w:rPr>
              <w:t>⑦</w:t>
            </w:r>
            <w:r>
              <w:rPr>
                <w:rFonts w:hint="eastAsia" w:eastAsia="宋体" w:cs="Times New Roman"/>
                <w:color w:val="auto"/>
                <w:lang w:val="en-US" w:eastAsia="zh-CN"/>
              </w:rPr>
              <w:t>在夜间停止高噪音设备运行，如破碎机等，以减少对周边环境的影响。</w:t>
            </w:r>
          </w:p>
          <w:p w14:paraId="7F08791E">
            <w:pPr>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从总体上来说企业在切实落实本评价所提各</w:t>
            </w:r>
            <w:r>
              <w:rPr>
                <w:rFonts w:hint="eastAsia" w:cs="Times New Roman"/>
                <w:color w:val="auto"/>
                <w:lang w:eastAsia="zh-CN"/>
              </w:rPr>
              <w:t>项</w:t>
            </w:r>
            <w:r>
              <w:rPr>
                <w:rFonts w:hint="default" w:cs="Times New Roman"/>
                <w:color w:val="auto"/>
              </w:rPr>
              <w:t>措施</w:t>
            </w:r>
            <w:r>
              <w:rPr>
                <w:rFonts w:hint="eastAsia" w:cs="Times New Roman"/>
                <w:color w:val="auto"/>
                <w:lang w:val="en-US" w:eastAsia="zh-CN"/>
              </w:rPr>
              <w:t>后</w:t>
            </w:r>
            <w:r>
              <w:rPr>
                <w:rFonts w:hint="default" w:cs="Times New Roman"/>
                <w:color w:val="auto"/>
              </w:rPr>
              <w:t>，可以认为本项目产生噪声对外环境影响较小。</w:t>
            </w:r>
          </w:p>
          <w:p w14:paraId="22E0BEB5">
            <w:pPr>
              <w:pStyle w:val="74"/>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rPr>
              <w:t>（</w:t>
            </w:r>
            <w:r>
              <w:rPr>
                <w:rFonts w:hint="eastAsia" w:cs="Times New Roman"/>
                <w:color w:val="auto"/>
                <w:lang w:val="en-US" w:eastAsia="zh-CN"/>
              </w:rPr>
              <w:t>4</w:t>
            </w:r>
            <w:r>
              <w:rPr>
                <w:rFonts w:hint="eastAsia" w:cs="Times New Roman"/>
                <w:color w:val="auto"/>
              </w:rPr>
              <w:t>）噪声监测</w:t>
            </w:r>
            <w:r>
              <w:rPr>
                <w:rFonts w:hint="eastAsia" w:cs="Times New Roman"/>
                <w:color w:val="auto"/>
                <w:lang w:val="en-US" w:eastAsia="zh-CN"/>
              </w:rPr>
              <w:t>计划</w:t>
            </w:r>
          </w:p>
          <w:p w14:paraId="23E7CF2B">
            <w:pPr>
              <w:pStyle w:val="74"/>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rPr>
              <w:t>根据</w:t>
            </w:r>
            <w:r>
              <w:rPr>
                <w:rFonts w:hint="eastAsia" w:cs="Times New Roman"/>
                <w:color w:val="auto"/>
                <w:shd w:val="clear" w:color="auto" w:fill="auto"/>
              </w:rPr>
              <w:t>《</w:t>
            </w:r>
            <w:r>
              <w:rPr>
                <w:rFonts w:hint="eastAsia" w:cs="Times New Roman"/>
                <w:color w:val="auto"/>
                <w:shd w:val="clear" w:color="auto" w:fill="auto"/>
                <w:lang w:eastAsia="zh-CN"/>
              </w:rPr>
              <w:t>排污单位自行监测技术指南 工业固体废物和危险废物治理</w:t>
            </w:r>
            <w:r>
              <w:rPr>
                <w:rFonts w:hint="eastAsia" w:cs="Times New Roman"/>
                <w:color w:val="auto"/>
                <w:shd w:val="clear" w:color="auto" w:fill="auto"/>
              </w:rPr>
              <w:t>》（</w:t>
            </w:r>
            <w:r>
              <w:rPr>
                <w:rFonts w:hint="eastAsia" w:cs="Times New Roman"/>
                <w:color w:val="auto"/>
                <w:shd w:val="clear" w:color="auto" w:fill="auto"/>
                <w:lang w:eastAsia="zh-CN"/>
              </w:rPr>
              <w:t>HJ 1250—2022</w:t>
            </w:r>
            <w:r>
              <w:rPr>
                <w:rFonts w:hint="eastAsia" w:cs="Times New Roman"/>
                <w:color w:val="auto"/>
                <w:shd w:val="clear" w:color="auto" w:fill="auto"/>
              </w:rPr>
              <w:t>）</w:t>
            </w:r>
            <w:r>
              <w:rPr>
                <w:rFonts w:hint="eastAsia" w:cs="Times New Roman"/>
                <w:color w:val="auto"/>
                <w:shd w:val="clear" w:color="auto" w:fill="auto"/>
                <w:lang w:val="en-US" w:eastAsia="zh-CN"/>
              </w:rPr>
              <w:t>以及《排污单位自行监测技术指南 砖瓦工业》HJ 1254-2022）</w:t>
            </w:r>
            <w:r>
              <w:rPr>
                <w:rFonts w:hint="eastAsia" w:cs="Times New Roman"/>
                <w:color w:val="auto"/>
              </w:rPr>
              <w:t>，运营期本项目噪声监测</w:t>
            </w:r>
            <w:r>
              <w:rPr>
                <w:rFonts w:hint="eastAsia" w:cs="Times New Roman"/>
                <w:color w:val="auto"/>
                <w:lang w:val="en-US" w:eastAsia="zh-CN"/>
              </w:rPr>
              <w:t>见</w:t>
            </w:r>
            <w:r>
              <w:rPr>
                <w:rFonts w:hint="default" w:cs="Times New Roman"/>
                <w:color w:val="auto"/>
              </w:rPr>
              <w:t>表</w:t>
            </w:r>
            <w:r>
              <w:rPr>
                <w:rFonts w:hint="eastAsia" w:cs="Times New Roman"/>
                <w:color w:val="auto"/>
              </w:rPr>
              <w:t>4-</w:t>
            </w:r>
            <w:r>
              <w:rPr>
                <w:rFonts w:hint="eastAsia" w:cs="Times New Roman"/>
                <w:color w:val="auto"/>
                <w:lang w:val="en-US" w:eastAsia="zh-CN"/>
              </w:rPr>
              <w:t>13</w:t>
            </w:r>
            <w:r>
              <w:rPr>
                <w:rFonts w:hint="default" w:cs="Times New Roman"/>
                <w:color w:val="auto"/>
              </w:rPr>
              <w:t>：</w:t>
            </w:r>
          </w:p>
          <w:p w14:paraId="56A2D067">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监测要求及排放标准一览表</w:t>
            </w:r>
          </w:p>
          <w:tbl>
            <w:tblPr>
              <w:tblStyle w:val="28"/>
              <w:tblW w:w="4997"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382"/>
              <w:gridCol w:w="1258"/>
              <w:gridCol w:w="1577"/>
              <w:gridCol w:w="3632"/>
            </w:tblGrid>
            <w:tr w14:paraId="296CC03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80" w:type="pct"/>
                  <w:tcBorders>
                    <w:tl2br w:val="nil"/>
                    <w:tr2bl w:val="nil"/>
                  </w:tcBorders>
                  <w:noWrap w:val="0"/>
                  <w:vAlign w:val="center"/>
                </w:tcPr>
                <w:p w14:paraId="37F49B7D">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监测点位</w:t>
                  </w:r>
                </w:p>
              </w:tc>
              <w:tc>
                <w:tcPr>
                  <w:tcW w:w="801" w:type="pct"/>
                  <w:tcBorders>
                    <w:tl2br w:val="nil"/>
                    <w:tr2bl w:val="nil"/>
                  </w:tcBorders>
                  <w:noWrap w:val="0"/>
                  <w:vAlign w:val="center"/>
                </w:tcPr>
                <w:p w14:paraId="03FC1597">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监测指标</w:t>
                  </w:r>
                </w:p>
              </w:tc>
              <w:tc>
                <w:tcPr>
                  <w:tcW w:w="1004" w:type="pct"/>
                  <w:tcBorders>
                    <w:tl2br w:val="nil"/>
                    <w:tr2bl w:val="nil"/>
                  </w:tcBorders>
                  <w:noWrap w:val="0"/>
                  <w:vAlign w:val="center"/>
                </w:tcPr>
                <w:p w14:paraId="499E120B">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监测频次</w:t>
                  </w:r>
                </w:p>
              </w:tc>
              <w:tc>
                <w:tcPr>
                  <w:tcW w:w="2312" w:type="pct"/>
                  <w:tcBorders>
                    <w:tl2br w:val="nil"/>
                    <w:tr2bl w:val="nil"/>
                  </w:tcBorders>
                  <w:noWrap w:val="0"/>
                  <w:vAlign w:val="center"/>
                </w:tcPr>
                <w:p w14:paraId="1B81F26F">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执行排放标准</w:t>
                  </w:r>
                </w:p>
              </w:tc>
            </w:tr>
            <w:tr w14:paraId="0E7AA38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80" w:type="pct"/>
                  <w:tcBorders>
                    <w:tl2br w:val="nil"/>
                    <w:tr2bl w:val="nil"/>
                  </w:tcBorders>
                  <w:noWrap w:val="0"/>
                  <w:vAlign w:val="center"/>
                </w:tcPr>
                <w:p w14:paraId="673D0FF2">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厂界四周</w:t>
                  </w:r>
                </w:p>
              </w:tc>
              <w:tc>
                <w:tcPr>
                  <w:tcW w:w="801" w:type="pct"/>
                  <w:tcBorders>
                    <w:tl2br w:val="nil"/>
                    <w:tr2bl w:val="nil"/>
                  </w:tcBorders>
                  <w:noWrap w:val="0"/>
                  <w:vAlign w:val="center"/>
                </w:tcPr>
                <w:p w14:paraId="49EF16C6">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lang w:val="en-US" w:eastAsia="zh-CN"/>
                    </w:rPr>
                    <w:t>等效连续 A声级</w:t>
                  </w:r>
                </w:p>
              </w:tc>
              <w:tc>
                <w:tcPr>
                  <w:tcW w:w="1004" w:type="pct"/>
                  <w:tcBorders>
                    <w:tl2br w:val="nil"/>
                    <w:tr2bl w:val="nil"/>
                  </w:tcBorders>
                  <w:noWrap w:val="0"/>
                  <w:vAlign w:val="center"/>
                </w:tcPr>
                <w:p w14:paraId="02DFD95A">
                  <w:pPr>
                    <w:pStyle w:val="56"/>
                    <w:keepNext w:val="0"/>
                    <w:keepLines w:val="0"/>
                    <w:suppressLineNumbers w:val="0"/>
                    <w:bidi w:val="0"/>
                    <w:spacing w:before="0" w:beforeAutospacing="0" w:after="0" w:afterAutospacing="0"/>
                    <w:ind w:left="0" w:right="0"/>
                    <w:rPr>
                      <w:rFonts w:hint="eastAsia" w:eastAsia="宋体" w:cs="Times New Roman"/>
                      <w:color w:val="auto"/>
                      <w:lang w:eastAsia="zh-CN"/>
                    </w:rPr>
                  </w:pPr>
                  <w:r>
                    <w:rPr>
                      <w:rFonts w:hint="default" w:cs="Times New Roman"/>
                      <w:color w:val="auto"/>
                    </w:rPr>
                    <w:t>每季度一次</w:t>
                  </w:r>
                  <w:r>
                    <w:rPr>
                      <w:rFonts w:hint="eastAsia" w:cs="Times New Roman"/>
                      <w:color w:val="auto"/>
                      <w:lang w:eastAsia="zh-CN"/>
                    </w:rPr>
                    <w:t>，</w:t>
                  </w:r>
                  <w:r>
                    <w:rPr>
                      <w:rFonts w:hint="default" w:cs="Times New Roman"/>
                      <w:color w:val="auto"/>
                      <w:highlight w:val="none"/>
                    </w:rPr>
                    <w:t>昼</w:t>
                  </w:r>
                  <w:r>
                    <w:rPr>
                      <w:rFonts w:hint="eastAsia" w:cs="Times New Roman"/>
                      <w:color w:val="auto"/>
                      <w:highlight w:val="none"/>
                      <w:lang w:eastAsia="zh-CN"/>
                    </w:rPr>
                    <w:t>夜各</w:t>
                  </w:r>
                  <w:r>
                    <w:rPr>
                      <w:rFonts w:hint="default" w:cs="Times New Roman"/>
                      <w:color w:val="auto"/>
                      <w:highlight w:val="none"/>
                    </w:rPr>
                    <w:t>1次</w:t>
                  </w:r>
                </w:p>
              </w:tc>
              <w:tc>
                <w:tcPr>
                  <w:tcW w:w="2312" w:type="pct"/>
                  <w:tcBorders>
                    <w:tl2br w:val="nil"/>
                    <w:tr2bl w:val="nil"/>
                  </w:tcBorders>
                  <w:noWrap w:val="0"/>
                  <w:vAlign w:val="center"/>
                </w:tcPr>
                <w:p w14:paraId="7B4260F0">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《工业企业厂界环境噪声排放标准》（GB12348-2008）</w:t>
                  </w:r>
                  <w:r>
                    <w:rPr>
                      <w:rFonts w:hint="eastAsia" w:cs="Times New Roman"/>
                      <w:color w:val="auto"/>
                      <w:lang w:val="en-US" w:eastAsia="zh-CN"/>
                    </w:rPr>
                    <w:t>3</w:t>
                  </w:r>
                  <w:r>
                    <w:rPr>
                      <w:rFonts w:hint="default" w:cs="Times New Roman"/>
                      <w:color w:val="auto"/>
                    </w:rPr>
                    <w:t>类标准</w:t>
                  </w:r>
                </w:p>
              </w:tc>
            </w:tr>
          </w:tbl>
          <w:p w14:paraId="05EF656A">
            <w:pPr>
              <w:keepNext w:val="0"/>
              <w:keepLines w:val="0"/>
              <w:suppressLineNumbers w:val="0"/>
              <w:adjustRightInd w:val="0"/>
              <w:snapToGrid w:val="0"/>
              <w:spacing w:before="0" w:beforeAutospacing="0" w:after="0" w:afterAutospacing="0" w:line="360" w:lineRule="auto"/>
              <w:ind w:left="0" w:right="0" w:firstLine="480" w:firstLineChars="200"/>
              <w:rPr>
                <w:rFonts w:hint="default" w:cs="Times New Roman"/>
                <w:color w:val="auto"/>
                <w:sz w:val="24"/>
              </w:rPr>
            </w:pPr>
            <w:r>
              <w:rPr>
                <w:rFonts w:hint="default" w:cs="Times New Roman"/>
                <w:color w:val="auto"/>
                <w:sz w:val="24"/>
              </w:rPr>
              <w:t>4.固体废物</w:t>
            </w:r>
          </w:p>
          <w:p w14:paraId="2C2DDE14">
            <w:pPr>
              <w:keepNext w:val="0"/>
              <w:keepLines w:val="0"/>
              <w:suppressLineNumbers w:val="0"/>
              <w:adjustRightInd w:val="0"/>
              <w:snapToGrid w:val="0"/>
              <w:spacing w:before="0" w:beforeAutospacing="0" w:after="0" w:afterAutospacing="0" w:line="360" w:lineRule="auto"/>
              <w:ind w:left="0" w:right="0" w:firstLine="480" w:firstLineChars="200"/>
              <w:rPr>
                <w:rFonts w:hint="default" w:cs="Times New Roman"/>
                <w:color w:val="auto"/>
                <w:sz w:val="24"/>
                <w:lang w:val="en-US" w:eastAsia="zh-CN"/>
              </w:rPr>
            </w:pPr>
            <w:r>
              <w:rPr>
                <w:rFonts w:hint="default" w:cs="Times New Roman"/>
                <w:color w:val="auto"/>
                <w:sz w:val="24"/>
              </w:rPr>
              <w:t>本</w:t>
            </w:r>
            <w:r>
              <w:rPr>
                <w:rFonts w:hint="default" w:ascii="Times New Roman" w:hAnsi="Times New Roman" w:eastAsia="宋体" w:cs="Times New Roman"/>
                <w:color w:val="auto"/>
                <w:sz w:val="24"/>
              </w:rPr>
              <w:t>项目</w:t>
            </w:r>
            <w:r>
              <w:rPr>
                <w:rFonts w:hint="eastAsia" w:ascii="Times New Roman" w:hAnsi="Times New Roman" w:eastAsia="宋体" w:cs="Times New Roman"/>
                <w:color w:val="auto"/>
                <w:sz w:val="24"/>
                <w:lang w:val="en-US" w:eastAsia="zh-CN"/>
              </w:rPr>
              <w:t>主要的固体废物有一般工业固废（</w:t>
            </w:r>
            <w:r>
              <w:rPr>
                <w:rFonts w:hint="default" w:ascii="Times New Roman" w:hAnsi="Times New Roman" w:eastAsia="宋体" w:cs="Times New Roman"/>
                <w:color w:val="auto"/>
                <w:sz w:val="24"/>
              </w:rPr>
              <w:t>布袋收集</w:t>
            </w:r>
            <w:r>
              <w:rPr>
                <w:rFonts w:hint="eastAsia" w:ascii="Times New Roman" w:hAnsi="Times New Roman" w:eastAsia="宋体" w:cs="Times New Roman"/>
                <w:color w:val="auto"/>
                <w:sz w:val="24"/>
                <w:lang w:val="en-US" w:eastAsia="zh-CN"/>
              </w:rPr>
              <w:t>尘、</w:t>
            </w:r>
            <w:r>
              <w:rPr>
                <w:rFonts w:hint="default" w:ascii="Times New Roman" w:hAnsi="Times New Roman" w:eastAsia="宋体" w:cs="Times New Roman"/>
                <w:color w:val="auto"/>
                <w:sz w:val="24"/>
              </w:rPr>
              <w:t>废布袋、</w:t>
            </w:r>
            <w:r>
              <w:rPr>
                <w:rFonts w:hint="eastAsia" w:ascii="Times New Roman" w:hAnsi="Times New Roman" w:eastAsia="宋体" w:cs="Times New Roman"/>
                <w:color w:val="auto"/>
                <w:sz w:val="24"/>
                <w:lang w:val="en-US" w:eastAsia="zh-CN"/>
              </w:rPr>
              <w:t>废包装袋</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不可利用</w:t>
            </w:r>
            <w:r>
              <w:rPr>
                <w:rFonts w:hint="eastAsia" w:ascii="Times New Roman" w:hAnsi="Times New Roman" w:eastAsia="宋体" w:cs="Times New Roman"/>
                <w:color w:val="auto"/>
                <w:sz w:val="24"/>
                <w:lang w:val="en-US" w:eastAsia="zh-CN"/>
              </w:rPr>
              <w:t>物</w:t>
            </w:r>
            <w:r>
              <w:rPr>
                <w:rFonts w:hint="eastAsia" w:cs="Times New Roman"/>
                <w:color w:val="auto"/>
                <w:sz w:val="24"/>
                <w:lang w:val="en-US" w:eastAsia="zh-CN"/>
              </w:rPr>
              <w:t>）、危</w:t>
            </w:r>
            <w:r>
              <w:rPr>
                <w:rFonts w:hint="eastAsia" w:ascii="Times New Roman" w:hAnsi="Times New Roman" w:eastAsia="宋体" w:cs="Times New Roman"/>
                <w:color w:val="auto"/>
                <w:sz w:val="24"/>
                <w:lang w:val="en-US" w:eastAsia="zh-CN"/>
              </w:rPr>
              <w:t>险废物（废润滑油、废含油抹布）和</w:t>
            </w:r>
            <w:r>
              <w:rPr>
                <w:rFonts w:hint="eastAsia" w:cs="Times New Roman"/>
                <w:color w:val="auto"/>
                <w:sz w:val="24"/>
                <w:lang w:val="en-US" w:eastAsia="zh-CN"/>
              </w:rPr>
              <w:t>生活垃圾。</w:t>
            </w:r>
          </w:p>
          <w:p w14:paraId="51DE482D">
            <w:pPr>
              <w:keepNext w:val="0"/>
              <w:keepLines w:val="0"/>
              <w:suppressLineNumbers w:val="0"/>
              <w:adjustRightInd w:val="0"/>
              <w:snapToGrid w:val="0"/>
              <w:spacing w:before="0" w:beforeAutospacing="0" w:after="0" w:afterAutospacing="0" w:line="360" w:lineRule="auto"/>
              <w:ind w:left="0" w:right="0" w:firstLine="480" w:firstLineChars="200"/>
              <w:rPr>
                <w:rFonts w:hint="eastAsia" w:eastAsia="宋体" w:cs="Times New Roman"/>
                <w:color w:val="auto"/>
                <w:sz w:val="24"/>
                <w:lang w:val="en-US" w:eastAsia="zh-CN"/>
              </w:rPr>
            </w:pPr>
            <w:r>
              <w:rPr>
                <w:rFonts w:hint="default" w:cs="Times New Roman"/>
                <w:color w:val="auto"/>
                <w:sz w:val="24"/>
              </w:rPr>
              <w:t>（1）</w:t>
            </w:r>
            <w:r>
              <w:rPr>
                <w:rFonts w:hint="eastAsia" w:cs="Times New Roman"/>
                <w:color w:val="auto"/>
                <w:sz w:val="24"/>
                <w:lang w:val="en-US" w:eastAsia="zh-CN"/>
              </w:rPr>
              <w:t>一般工业固废</w:t>
            </w:r>
          </w:p>
          <w:p w14:paraId="38F11DA5">
            <w:pPr>
              <w:keepNext w:val="0"/>
              <w:keepLines w:val="0"/>
              <w:suppressLineNumbers w:val="0"/>
              <w:adjustRightInd w:val="0"/>
              <w:snapToGrid w:val="0"/>
              <w:spacing w:before="0" w:beforeAutospacing="0" w:after="0" w:afterAutospacing="0" w:line="360" w:lineRule="auto"/>
              <w:ind w:left="0" w:right="0" w:firstLine="480" w:firstLineChars="200"/>
              <w:rPr>
                <w:rFonts w:hint="default" w:cs="Times New Roman"/>
                <w:color w:val="auto"/>
                <w:sz w:val="24"/>
                <w:lang w:val="en-US" w:eastAsia="zh-CN"/>
              </w:rPr>
            </w:pPr>
            <w:r>
              <w:rPr>
                <w:rFonts w:hint="eastAsia" w:cs="Times New Roman"/>
                <w:color w:val="auto"/>
                <w:sz w:val="24"/>
                <w:lang w:val="en-US" w:eastAsia="zh-CN"/>
              </w:rPr>
              <w:t>收集粉尘：根据废气污染源强核算，本项目</w:t>
            </w:r>
            <w:r>
              <w:rPr>
                <w:rFonts w:hint="default" w:cs="Times New Roman"/>
                <w:color w:val="auto"/>
                <w:sz w:val="24"/>
              </w:rPr>
              <w:t>布袋</w:t>
            </w:r>
            <w:r>
              <w:rPr>
                <w:rFonts w:hint="eastAsia" w:cs="Times New Roman"/>
                <w:color w:val="auto"/>
                <w:sz w:val="24"/>
                <w:lang w:val="en-US" w:eastAsia="zh-CN"/>
              </w:rPr>
              <w:t>收集粉尘约64.92</w:t>
            </w:r>
            <w:r>
              <w:rPr>
                <w:rFonts w:hint="default" w:cs="Times New Roman"/>
                <w:color w:val="auto"/>
                <w:sz w:val="24"/>
              </w:rPr>
              <w:t>t/a</w:t>
            </w:r>
            <w:r>
              <w:rPr>
                <w:rFonts w:hint="eastAsia" w:cs="Times New Roman"/>
                <w:color w:val="auto"/>
                <w:sz w:val="24"/>
                <w:lang w:eastAsia="zh-CN"/>
              </w:rPr>
              <w:t>，</w:t>
            </w:r>
            <w:r>
              <w:rPr>
                <w:rFonts w:hint="eastAsia" w:cs="Times New Roman"/>
                <w:color w:val="auto"/>
                <w:sz w:val="24"/>
                <w:lang w:val="en-US" w:eastAsia="zh-CN"/>
              </w:rPr>
              <w:t>回用于生产，根据《固体废物分类和代码目录》（生态环境部2024年第4号令）属于SW59其他工业固体废物，固废代码为：900-099-S59。</w:t>
            </w:r>
          </w:p>
          <w:p w14:paraId="5B966C34">
            <w:pPr>
              <w:keepNext w:val="0"/>
              <w:keepLines w:val="0"/>
              <w:suppressLineNumbers w:val="0"/>
              <w:adjustRightInd w:val="0"/>
              <w:snapToGrid w:val="0"/>
              <w:spacing w:before="0" w:beforeAutospacing="0" w:after="0" w:afterAutospacing="0" w:line="360" w:lineRule="auto"/>
              <w:ind w:left="0" w:right="0" w:firstLine="480" w:firstLineChars="200"/>
              <w:rPr>
                <w:rFonts w:hint="default" w:cs="Times New Roman"/>
                <w:color w:val="auto"/>
                <w:sz w:val="24"/>
              </w:rPr>
            </w:pPr>
            <w:r>
              <w:rPr>
                <w:rFonts w:hint="eastAsia" w:cs="Times New Roman"/>
                <w:color w:val="auto"/>
                <w:sz w:val="24"/>
                <w:lang w:val="en-US" w:eastAsia="zh-CN"/>
              </w:rPr>
              <w:t>废布袋：</w:t>
            </w:r>
            <w:r>
              <w:rPr>
                <w:rFonts w:hint="eastAsia" w:ascii="Times New Roman" w:hAnsi="Times New Roman" w:eastAsia="宋体" w:cs="Times New Roman"/>
                <w:color w:val="auto"/>
                <w:sz w:val="24"/>
                <w:lang w:val="en-US" w:eastAsia="zh-CN"/>
              </w:rPr>
              <w:t>袋式除尘器更换产生的</w:t>
            </w:r>
            <w:r>
              <w:rPr>
                <w:rFonts w:hint="default" w:ascii="Times New Roman" w:hAnsi="Times New Roman" w:eastAsia="宋体" w:cs="Times New Roman"/>
                <w:color w:val="auto"/>
                <w:sz w:val="24"/>
              </w:rPr>
              <w:t>废布袋</w:t>
            </w:r>
            <w:r>
              <w:rPr>
                <w:rFonts w:hint="default" w:cs="Times New Roman"/>
                <w:color w:val="auto"/>
                <w:sz w:val="24"/>
              </w:rPr>
              <w:t>年产生量约</w:t>
            </w:r>
            <w:r>
              <w:rPr>
                <w:rFonts w:hint="eastAsia" w:cs="Times New Roman"/>
                <w:color w:val="auto"/>
                <w:sz w:val="24"/>
                <w:lang w:val="en-US" w:eastAsia="zh-CN"/>
              </w:rPr>
              <w:t>1</w:t>
            </w:r>
            <w:r>
              <w:rPr>
                <w:rFonts w:hint="default" w:cs="Times New Roman"/>
                <w:color w:val="auto"/>
                <w:sz w:val="24"/>
              </w:rPr>
              <w:t>t/a，</w:t>
            </w:r>
            <w:r>
              <w:rPr>
                <w:rFonts w:hint="eastAsia" w:cs="Times New Roman"/>
                <w:color w:val="auto"/>
                <w:sz w:val="24"/>
                <w:lang w:val="en-US" w:eastAsia="zh-CN"/>
              </w:rPr>
              <w:t>交由厂家回收处理，根据《固体废物分类和代码目录》（生态环境部2024年第4号令）属于SW59其他工业固体废物，固废代码为：900-009-S59。</w:t>
            </w:r>
          </w:p>
          <w:p w14:paraId="45AC3598">
            <w:pPr>
              <w:keepNext w:val="0"/>
              <w:keepLines w:val="0"/>
              <w:suppressLineNumbers w:val="0"/>
              <w:adjustRightInd w:val="0"/>
              <w:snapToGrid w:val="0"/>
              <w:spacing w:before="0" w:beforeAutospacing="0" w:after="0" w:afterAutospacing="0" w:line="360" w:lineRule="auto"/>
              <w:ind w:left="0" w:right="0" w:firstLine="480" w:firstLineChars="200"/>
              <w:rPr>
                <w:rFonts w:hint="default" w:cs="Times New Roman"/>
                <w:color w:val="auto"/>
                <w:sz w:val="24"/>
              </w:rPr>
            </w:pPr>
            <w:r>
              <w:rPr>
                <w:rFonts w:hint="eastAsia" w:cs="Times New Roman"/>
                <w:color w:val="auto"/>
                <w:sz w:val="24"/>
                <w:lang w:val="en-US" w:eastAsia="zh-CN"/>
              </w:rPr>
              <w:t>不可利用物：由建筑废料等筛选出来的塑料等</w:t>
            </w:r>
            <w:r>
              <w:rPr>
                <w:rFonts w:hint="default" w:cs="Times New Roman"/>
                <w:color w:val="auto"/>
                <w:sz w:val="24"/>
              </w:rPr>
              <w:t>，产生量约为</w:t>
            </w:r>
            <w:r>
              <w:rPr>
                <w:rFonts w:hint="eastAsia" w:cs="Times New Roman"/>
                <w:color w:val="auto"/>
                <w:sz w:val="24"/>
                <w:lang w:val="en-US" w:eastAsia="zh-CN"/>
              </w:rPr>
              <w:t>10.51</w:t>
            </w:r>
            <w:r>
              <w:rPr>
                <w:rFonts w:hint="default" w:cs="Times New Roman"/>
                <w:color w:val="auto"/>
                <w:sz w:val="24"/>
              </w:rPr>
              <w:t>t/a，</w:t>
            </w:r>
            <w:r>
              <w:rPr>
                <w:rFonts w:hint="eastAsia" w:cs="Times New Roman"/>
                <w:color w:val="auto"/>
                <w:sz w:val="24"/>
                <w:lang w:val="en-US" w:eastAsia="zh-CN"/>
              </w:rPr>
              <w:t>外送</w:t>
            </w:r>
            <w:r>
              <w:rPr>
                <w:rFonts w:hint="default" w:cs="Times New Roman"/>
                <w:color w:val="auto"/>
                <w:sz w:val="24"/>
              </w:rPr>
              <w:t>一般固废填埋场填埋</w:t>
            </w:r>
            <w:r>
              <w:rPr>
                <w:rFonts w:hint="eastAsia" w:cs="Times New Roman"/>
                <w:color w:val="auto"/>
                <w:sz w:val="24"/>
                <w:lang w:val="en-US" w:eastAsia="zh-CN"/>
              </w:rPr>
              <w:t>处置，根据《固体废物分类和代码目录》（生态环境部2024年4号令），属于SW73拆除垃圾</w:t>
            </w:r>
            <w:r>
              <w:rPr>
                <w:rFonts w:hint="eastAsia"/>
                <w:color w:val="auto"/>
                <w:lang w:val="en-US" w:eastAsia="zh-CN"/>
              </w:rPr>
              <w:t>-建筑物拆除和场地准备活动</w:t>
            </w:r>
            <w:r>
              <w:rPr>
                <w:rFonts w:hint="eastAsia" w:cs="Times New Roman"/>
                <w:color w:val="auto"/>
                <w:sz w:val="24"/>
                <w:lang w:val="en-US" w:eastAsia="zh-CN"/>
              </w:rPr>
              <w:t>，固废代码为：502-099-S73。</w:t>
            </w:r>
          </w:p>
          <w:p w14:paraId="51366E2F">
            <w:pPr>
              <w:keepNext w:val="0"/>
              <w:keepLines w:val="0"/>
              <w:suppressLineNumbers w:val="0"/>
              <w:adjustRightInd w:val="0"/>
              <w:snapToGrid w:val="0"/>
              <w:spacing w:before="0" w:beforeAutospacing="0" w:after="0" w:afterAutospacing="0" w:line="360" w:lineRule="auto"/>
              <w:ind w:left="0" w:right="0"/>
              <w:rPr>
                <w:rFonts w:hint="eastAsia" w:cs="Times New Roman"/>
                <w:color w:val="auto"/>
                <w:sz w:val="24"/>
                <w:lang w:val="en-US" w:eastAsia="zh-CN"/>
              </w:rPr>
            </w:pPr>
            <w:r>
              <w:rPr>
                <w:rFonts w:hint="eastAsia" w:cs="Times New Roman"/>
                <w:color w:val="auto"/>
                <w:sz w:val="24"/>
                <w:lang w:val="en-US" w:eastAsia="zh-CN"/>
              </w:rPr>
              <w:t>废金属：项目原料中使用到建筑废料，其中包含废钢筋，产生量约2t，外售，根据《固体废物分类和代码目录》（生态环境部2024年4号令）属于SW73拆除垃圾-建筑物拆除和场地准备活动，固废代码为：502-001-S73。</w:t>
            </w:r>
          </w:p>
          <w:p w14:paraId="22094235">
            <w:pPr>
              <w:keepNext w:val="0"/>
              <w:keepLines w:val="0"/>
              <w:suppressLineNumbers w:val="0"/>
              <w:adjustRightInd w:val="0"/>
              <w:snapToGrid w:val="0"/>
              <w:spacing w:before="0" w:beforeAutospacing="0" w:after="0" w:afterAutospacing="0" w:line="360" w:lineRule="auto"/>
              <w:ind w:left="0" w:right="0"/>
              <w:rPr>
                <w:rFonts w:hint="default" w:cs="Times New Roman"/>
                <w:color w:val="auto"/>
                <w:sz w:val="24"/>
                <w:lang w:val="en-US" w:eastAsia="zh-CN"/>
              </w:rPr>
            </w:pPr>
            <w:r>
              <w:rPr>
                <w:rFonts w:hint="eastAsia" w:cs="Times New Roman"/>
                <w:color w:val="auto"/>
                <w:sz w:val="24"/>
                <w:lang w:val="en-US" w:eastAsia="zh-CN"/>
              </w:rPr>
              <w:t>残次品：项目在生产过程中会产生残次品，根据物料平衡残次品产生量为23.94t/a，回用于生产根据《固体废物分类和代码目录》（生态环境部2024年第4号令）属于SW73拆除垃圾-建筑物拆除和场地准备活动，固废代码为：502-001-S73。</w:t>
            </w:r>
          </w:p>
          <w:p w14:paraId="1B67372A">
            <w:pPr>
              <w:keepNext w:val="0"/>
              <w:keepLines w:val="0"/>
              <w:suppressLineNumbers w:val="0"/>
              <w:adjustRightInd w:val="0"/>
              <w:snapToGrid w:val="0"/>
              <w:spacing w:before="0" w:beforeAutospacing="0" w:after="0" w:afterAutospacing="0" w:line="360" w:lineRule="auto"/>
              <w:ind w:left="0" w:right="0" w:firstLine="480" w:firstLineChars="200"/>
              <w:rPr>
                <w:rFonts w:hint="eastAsia" w:eastAsia="宋体" w:cs="Times New Roman"/>
                <w:color w:val="auto"/>
                <w:sz w:val="24"/>
                <w:lang w:val="en-US" w:eastAsia="zh-CN"/>
              </w:rPr>
            </w:pPr>
            <w:r>
              <w:rPr>
                <w:rFonts w:hint="default" w:cs="Times New Roman"/>
                <w:color w:val="auto"/>
                <w:sz w:val="24"/>
              </w:rPr>
              <w:t>（</w:t>
            </w:r>
            <w:r>
              <w:rPr>
                <w:rFonts w:hint="eastAsia" w:cs="Times New Roman"/>
                <w:color w:val="auto"/>
                <w:sz w:val="24"/>
                <w:lang w:val="en-US" w:eastAsia="zh-CN"/>
              </w:rPr>
              <w:t>2</w:t>
            </w:r>
            <w:r>
              <w:rPr>
                <w:rFonts w:hint="default" w:cs="Times New Roman"/>
                <w:color w:val="auto"/>
                <w:sz w:val="24"/>
              </w:rPr>
              <w:t>）</w:t>
            </w:r>
            <w:r>
              <w:rPr>
                <w:rFonts w:hint="eastAsia" w:cs="Times New Roman"/>
                <w:color w:val="auto"/>
                <w:sz w:val="24"/>
                <w:lang w:val="en-US" w:eastAsia="zh-CN"/>
              </w:rPr>
              <w:t>生活垃圾</w:t>
            </w:r>
          </w:p>
          <w:p w14:paraId="7B8911E4">
            <w:pPr>
              <w:keepNext w:val="0"/>
              <w:keepLines w:val="0"/>
              <w:suppressLineNumbers w:val="0"/>
              <w:adjustRightInd w:val="0"/>
              <w:snapToGrid w:val="0"/>
              <w:spacing w:before="0" w:beforeAutospacing="0" w:after="0" w:afterAutospacing="0" w:line="360" w:lineRule="auto"/>
              <w:ind w:left="0" w:right="0" w:firstLine="480" w:firstLineChars="200"/>
              <w:rPr>
                <w:rFonts w:hint="default" w:cs="Times New Roman"/>
                <w:color w:val="auto"/>
                <w:sz w:val="24"/>
              </w:rPr>
            </w:pPr>
            <w:r>
              <w:rPr>
                <w:rFonts w:hint="default" w:cs="Times New Roman"/>
                <w:color w:val="auto"/>
                <w:sz w:val="24"/>
              </w:rPr>
              <w:t>项目员工生活垃圾排放量按0.5kg/人·d，项目有员工</w:t>
            </w:r>
            <w:r>
              <w:rPr>
                <w:rFonts w:hint="eastAsia" w:cs="Times New Roman"/>
                <w:color w:val="auto"/>
                <w:sz w:val="24"/>
                <w:lang w:val="en-US" w:eastAsia="zh-CN"/>
              </w:rPr>
              <w:t>50</w:t>
            </w:r>
            <w:r>
              <w:rPr>
                <w:rFonts w:hint="default" w:cs="Times New Roman"/>
                <w:color w:val="auto"/>
                <w:sz w:val="24"/>
              </w:rPr>
              <w:t>人，则产生的生活垃圾量为</w:t>
            </w:r>
            <w:r>
              <w:rPr>
                <w:rFonts w:hint="eastAsia" w:cs="Times New Roman"/>
                <w:color w:val="auto"/>
                <w:sz w:val="24"/>
                <w:lang w:val="en-US" w:eastAsia="zh-CN"/>
              </w:rPr>
              <w:t>25</w:t>
            </w:r>
            <w:r>
              <w:rPr>
                <w:rFonts w:hint="default" w:cs="Times New Roman"/>
                <w:color w:val="auto"/>
                <w:sz w:val="24"/>
              </w:rPr>
              <w:t>kg/d（</w:t>
            </w:r>
            <w:r>
              <w:rPr>
                <w:rFonts w:hint="eastAsia" w:cs="Times New Roman"/>
                <w:color w:val="auto"/>
                <w:sz w:val="24"/>
                <w:lang w:val="en-US" w:eastAsia="zh-CN"/>
              </w:rPr>
              <w:t>7.5</w:t>
            </w:r>
            <w:r>
              <w:rPr>
                <w:rFonts w:hint="default" w:cs="Times New Roman"/>
                <w:color w:val="auto"/>
                <w:sz w:val="24"/>
              </w:rPr>
              <w:t>t/a），生活垃圾收集后交由环卫部门处理。</w:t>
            </w:r>
          </w:p>
          <w:p w14:paraId="6806E398">
            <w:pPr>
              <w:keepNext w:val="0"/>
              <w:keepLines w:val="0"/>
              <w:suppressLineNumbers w:val="0"/>
              <w:adjustRightInd w:val="0"/>
              <w:snapToGrid w:val="0"/>
              <w:spacing w:before="0" w:beforeAutospacing="0" w:after="0" w:afterAutospacing="0" w:line="360" w:lineRule="auto"/>
              <w:ind w:left="0" w:right="0" w:firstLine="480" w:firstLineChars="200"/>
              <w:rPr>
                <w:rFonts w:hint="eastAsia" w:eastAsia="宋体" w:cs="Times New Roman"/>
                <w:color w:val="auto"/>
                <w:sz w:val="24"/>
                <w:lang w:val="en-US" w:eastAsia="zh-CN"/>
              </w:rPr>
            </w:pPr>
            <w:r>
              <w:rPr>
                <w:rFonts w:hint="default" w:cs="Times New Roman"/>
                <w:color w:val="auto"/>
                <w:sz w:val="24"/>
              </w:rPr>
              <w:t>（</w:t>
            </w:r>
            <w:r>
              <w:rPr>
                <w:rFonts w:hint="eastAsia" w:cs="Times New Roman"/>
                <w:color w:val="auto"/>
                <w:sz w:val="24"/>
                <w:lang w:val="en-US" w:eastAsia="zh-CN"/>
              </w:rPr>
              <w:t>3</w:t>
            </w:r>
            <w:r>
              <w:rPr>
                <w:rFonts w:hint="default" w:cs="Times New Roman"/>
                <w:color w:val="auto"/>
                <w:sz w:val="24"/>
              </w:rPr>
              <w:t>）</w:t>
            </w:r>
            <w:r>
              <w:rPr>
                <w:rFonts w:hint="eastAsia" w:cs="Times New Roman"/>
                <w:color w:val="auto"/>
                <w:sz w:val="24"/>
                <w:lang w:val="en-US" w:eastAsia="zh-CN"/>
              </w:rPr>
              <w:t>危险废物</w:t>
            </w:r>
          </w:p>
          <w:p w14:paraId="64C81206">
            <w:pPr>
              <w:keepNext w:val="0"/>
              <w:keepLines w:val="0"/>
              <w:suppressLineNumbers w:val="0"/>
              <w:adjustRightInd w:val="0"/>
              <w:snapToGrid w:val="0"/>
              <w:spacing w:before="0" w:beforeAutospacing="0" w:after="0" w:afterAutospacing="0" w:line="360" w:lineRule="auto"/>
              <w:ind w:left="0" w:right="0" w:firstLine="480" w:firstLineChars="200"/>
              <w:rPr>
                <w:rFonts w:hint="default" w:cs="Times New Roman"/>
                <w:color w:val="auto"/>
                <w:sz w:val="24"/>
              </w:rPr>
            </w:pPr>
            <w:r>
              <w:rPr>
                <w:rFonts w:hint="default" w:cs="Times New Roman"/>
                <w:color w:val="auto"/>
                <w:sz w:val="24"/>
              </w:rPr>
              <w:t>本项目生产过程中的危险废物主要</w:t>
            </w:r>
            <w:r>
              <w:rPr>
                <w:rFonts w:hint="eastAsia" w:cs="Times New Roman"/>
                <w:color w:val="auto"/>
                <w:sz w:val="24"/>
                <w:lang w:eastAsia="zh-CN"/>
              </w:rPr>
              <w:t>来自</w:t>
            </w:r>
            <w:r>
              <w:rPr>
                <w:rFonts w:hint="default" w:cs="Times New Roman"/>
                <w:color w:val="auto"/>
                <w:sz w:val="24"/>
              </w:rPr>
              <w:t>设备机械</w:t>
            </w:r>
            <w:r>
              <w:rPr>
                <w:rFonts w:hint="eastAsia" w:cs="Times New Roman"/>
                <w:color w:val="auto"/>
                <w:sz w:val="24"/>
                <w:lang w:val="en-US" w:eastAsia="zh-CN"/>
              </w:rPr>
              <w:t>维修、保养</w:t>
            </w:r>
            <w:r>
              <w:rPr>
                <w:rFonts w:hint="default" w:cs="Times New Roman"/>
                <w:color w:val="auto"/>
                <w:sz w:val="24"/>
              </w:rPr>
              <w:t>产生的</w:t>
            </w:r>
            <w:r>
              <w:rPr>
                <w:rFonts w:hint="eastAsia" w:cs="Times New Roman"/>
                <w:color w:val="auto"/>
                <w:sz w:val="24"/>
                <w:lang w:eastAsia="zh-CN"/>
              </w:rPr>
              <w:t>废润滑油</w:t>
            </w:r>
            <w:r>
              <w:rPr>
                <w:rFonts w:hint="default" w:cs="Times New Roman"/>
                <w:color w:val="auto"/>
                <w:sz w:val="24"/>
              </w:rPr>
              <w:t>、废含油抹布</w:t>
            </w:r>
            <w:r>
              <w:rPr>
                <w:rFonts w:hint="eastAsia" w:cs="Times New Roman"/>
                <w:color w:val="auto"/>
                <w:sz w:val="24"/>
                <w:lang w:val="en-US" w:eastAsia="zh-CN"/>
              </w:rPr>
              <w:t>等含油废物</w:t>
            </w:r>
            <w:r>
              <w:rPr>
                <w:rFonts w:hint="default" w:cs="Times New Roman"/>
                <w:color w:val="auto"/>
                <w:sz w:val="24"/>
              </w:rPr>
              <w:t>，产生量约为0.5t/a，交由有</w:t>
            </w:r>
            <w:r>
              <w:rPr>
                <w:rFonts w:hint="eastAsia" w:cs="Times New Roman"/>
                <w:color w:val="auto"/>
                <w:sz w:val="24"/>
                <w:lang w:val="en-US" w:eastAsia="zh-CN"/>
              </w:rPr>
              <w:t>相应危废</w:t>
            </w:r>
            <w:r>
              <w:rPr>
                <w:rFonts w:hint="default" w:cs="Times New Roman"/>
                <w:color w:val="auto"/>
                <w:sz w:val="24"/>
              </w:rPr>
              <w:t>资质的单位处置。</w:t>
            </w:r>
          </w:p>
          <w:p w14:paraId="12D31C58">
            <w:pPr>
              <w:keepNext w:val="0"/>
              <w:keepLines w:val="0"/>
              <w:suppressLineNumbers w:val="0"/>
              <w:adjustRightInd w:val="0"/>
              <w:snapToGrid w:val="0"/>
              <w:spacing w:before="0" w:beforeAutospacing="0" w:after="0" w:afterAutospacing="0" w:line="360" w:lineRule="auto"/>
              <w:ind w:left="0" w:right="0" w:firstLine="480" w:firstLineChars="200"/>
              <w:rPr>
                <w:rFonts w:hint="default" w:cs="Times New Roman"/>
                <w:color w:val="auto"/>
                <w:sz w:val="24"/>
              </w:rPr>
            </w:pPr>
            <w:r>
              <w:rPr>
                <w:rFonts w:hint="default" w:cs="Times New Roman"/>
                <w:color w:val="auto"/>
                <w:sz w:val="24"/>
              </w:rPr>
              <w:t>项目产生的固废污染源核算情况见表4-</w:t>
            </w:r>
            <w:r>
              <w:rPr>
                <w:rFonts w:hint="eastAsia" w:cs="Times New Roman"/>
                <w:color w:val="auto"/>
                <w:sz w:val="24"/>
                <w:lang w:val="en-US" w:eastAsia="zh-CN"/>
              </w:rPr>
              <w:t>14</w:t>
            </w:r>
            <w:r>
              <w:rPr>
                <w:rFonts w:hint="default" w:cs="Times New Roman"/>
                <w:color w:val="auto"/>
                <w:sz w:val="24"/>
              </w:rPr>
              <w:t>。</w:t>
            </w:r>
          </w:p>
          <w:p w14:paraId="7FCF92A0">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固废污染源核算结果一览表</w:t>
            </w:r>
          </w:p>
          <w:tbl>
            <w:tblPr>
              <w:tblStyle w:val="28"/>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22"/>
              <w:gridCol w:w="422"/>
              <w:gridCol w:w="422"/>
              <w:gridCol w:w="838"/>
              <w:gridCol w:w="1416"/>
              <w:gridCol w:w="422"/>
              <w:gridCol w:w="604"/>
              <w:gridCol w:w="422"/>
              <w:gridCol w:w="422"/>
              <w:gridCol w:w="809"/>
              <w:gridCol w:w="423"/>
              <w:gridCol w:w="423"/>
              <w:gridCol w:w="809"/>
            </w:tblGrid>
            <w:tr w14:paraId="01788D9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426" w:type="dxa"/>
                  <w:tcBorders>
                    <w:tl2br w:val="nil"/>
                    <w:tr2bl w:val="nil"/>
                  </w:tcBorders>
                  <w:noWrap w:val="0"/>
                  <w:vAlign w:val="center"/>
                </w:tcPr>
                <w:p w14:paraId="2AA5AB8B">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属性</w:t>
                  </w:r>
                </w:p>
              </w:tc>
              <w:tc>
                <w:tcPr>
                  <w:tcW w:w="477" w:type="dxa"/>
                  <w:tcBorders>
                    <w:tl2br w:val="nil"/>
                    <w:tr2bl w:val="nil"/>
                  </w:tcBorders>
                  <w:noWrap w:val="0"/>
                  <w:vAlign w:val="center"/>
                </w:tcPr>
                <w:p w14:paraId="30590CBF">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产生环节</w:t>
                  </w:r>
                </w:p>
              </w:tc>
              <w:tc>
                <w:tcPr>
                  <w:tcW w:w="492" w:type="dxa"/>
                  <w:tcBorders>
                    <w:tl2br w:val="nil"/>
                    <w:tr2bl w:val="nil"/>
                  </w:tcBorders>
                  <w:noWrap w:val="0"/>
                  <w:vAlign w:val="center"/>
                </w:tcPr>
                <w:p w14:paraId="62D57768">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名称</w:t>
                  </w:r>
                </w:p>
              </w:tc>
              <w:tc>
                <w:tcPr>
                  <w:tcW w:w="1972" w:type="dxa"/>
                  <w:gridSpan w:val="2"/>
                  <w:tcBorders>
                    <w:tl2br w:val="nil"/>
                    <w:tr2bl w:val="nil"/>
                  </w:tcBorders>
                  <w:noWrap w:val="0"/>
                  <w:vAlign w:val="center"/>
                </w:tcPr>
                <w:p w14:paraId="447BE65C">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代码</w:t>
                  </w:r>
                </w:p>
              </w:tc>
              <w:tc>
                <w:tcPr>
                  <w:tcW w:w="429" w:type="dxa"/>
                  <w:tcBorders>
                    <w:tl2br w:val="nil"/>
                    <w:tr2bl w:val="nil"/>
                  </w:tcBorders>
                  <w:noWrap w:val="0"/>
                  <w:vAlign w:val="center"/>
                </w:tcPr>
                <w:p w14:paraId="00776F77">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物理性状</w:t>
                  </w:r>
                </w:p>
              </w:tc>
              <w:tc>
                <w:tcPr>
                  <w:tcW w:w="578" w:type="dxa"/>
                  <w:tcBorders>
                    <w:tl2br w:val="nil"/>
                    <w:tr2bl w:val="nil"/>
                  </w:tcBorders>
                  <w:noWrap w:val="0"/>
                  <w:vAlign w:val="center"/>
                </w:tcPr>
                <w:p w14:paraId="06CA3C48">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危险特性</w:t>
                  </w:r>
                </w:p>
              </w:tc>
              <w:tc>
                <w:tcPr>
                  <w:tcW w:w="459" w:type="dxa"/>
                  <w:tcBorders>
                    <w:tl2br w:val="nil"/>
                    <w:tr2bl w:val="nil"/>
                  </w:tcBorders>
                  <w:noWrap w:val="0"/>
                  <w:vAlign w:val="center"/>
                </w:tcPr>
                <w:p w14:paraId="145C59C1">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产废周期</w:t>
                  </w:r>
                </w:p>
              </w:tc>
              <w:tc>
                <w:tcPr>
                  <w:tcW w:w="446" w:type="dxa"/>
                  <w:tcBorders>
                    <w:tl2br w:val="nil"/>
                    <w:tr2bl w:val="nil"/>
                  </w:tcBorders>
                  <w:noWrap w:val="0"/>
                  <w:vAlign w:val="center"/>
                </w:tcPr>
                <w:p w14:paraId="7E57D0D0">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核算方法</w:t>
                  </w:r>
                </w:p>
              </w:tc>
              <w:tc>
                <w:tcPr>
                  <w:tcW w:w="689" w:type="dxa"/>
                  <w:tcBorders>
                    <w:tl2br w:val="nil"/>
                    <w:tr2bl w:val="nil"/>
                  </w:tcBorders>
                  <w:noWrap w:val="0"/>
                  <w:vAlign w:val="center"/>
                </w:tcPr>
                <w:p w14:paraId="2FF1C65F">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年度产生量t/a</w:t>
                  </w:r>
                </w:p>
              </w:tc>
              <w:tc>
                <w:tcPr>
                  <w:tcW w:w="498" w:type="dxa"/>
                  <w:tcBorders>
                    <w:tl2br w:val="nil"/>
                    <w:tr2bl w:val="nil"/>
                  </w:tcBorders>
                  <w:noWrap w:val="0"/>
                  <w:vAlign w:val="center"/>
                </w:tcPr>
                <w:p w14:paraId="1E3CC243">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贮存</w:t>
                  </w:r>
                </w:p>
                <w:p w14:paraId="5843B89E">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方式</w:t>
                  </w:r>
                </w:p>
              </w:tc>
              <w:tc>
                <w:tcPr>
                  <w:tcW w:w="699" w:type="dxa"/>
                  <w:tcBorders>
                    <w:tl2br w:val="nil"/>
                    <w:tr2bl w:val="nil"/>
                  </w:tcBorders>
                  <w:noWrap w:val="0"/>
                  <w:vAlign w:val="center"/>
                </w:tcPr>
                <w:p w14:paraId="14CA0285">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利用处置方式及去向</w:t>
                  </w:r>
                </w:p>
              </w:tc>
              <w:tc>
                <w:tcPr>
                  <w:tcW w:w="689" w:type="dxa"/>
                  <w:tcBorders>
                    <w:tl2br w:val="nil"/>
                    <w:tr2bl w:val="nil"/>
                  </w:tcBorders>
                  <w:noWrap w:val="0"/>
                  <w:vAlign w:val="center"/>
                </w:tcPr>
                <w:p w14:paraId="74DDA3BF">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利用或处置量</w:t>
                  </w:r>
                </w:p>
              </w:tc>
            </w:tr>
            <w:tr w14:paraId="58F9C59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1" w:hRule="atLeast"/>
              </w:trPr>
              <w:tc>
                <w:tcPr>
                  <w:tcW w:w="426" w:type="dxa"/>
                  <w:vMerge w:val="restart"/>
                  <w:tcBorders>
                    <w:tl2br w:val="nil"/>
                    <w:tr2bl w:val="nil"/>
                  </w:tcBorders>
                  <w:noWrap w:val="0"/>
                  <w:vAlign w:val="center"/>
                </w:tcPr>
                <w:p w14:paraId="6671B18B">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一般固废</w:t>
                  </w:r>
                </w:p>
              </w:tc>
              <w:tc>
                <w:tcPr>
                  <w:tcW w:w="477" w:type="dxa"/>
                  <w:tcBorders>
                    <w:tl2br w:val="nil"/>
                    <w:tr2bl w:val="nil"/>
                  </w:tcBorders>
                  <w:noWrap w:val="0"/>
                  <w:vAlign w:val="center"/>
                </w:tcPr>
                <w:p w14:paraId="18AE25B2">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废气治理</w:t>
                  </w:r>
                </w:p>
              </w:tc>
              <w:tc>
                <w:tcPr>
                  <w:tcW w:w="492" w:type="dxa"/>
                  <w:tcBorders>
                    <w:tl2br w:val="nil"/>
                    <w:tr2bl w:val="nil"/>
                  </w:tcBorders>
                  <w:noWrap w:val="0"/>
                  <w:vAlign w:val="center"/>
                </w:tcPr>
                <w:p w14:paraId="7AFF151B">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收集粉尘</w:t>
                  </w:r>
                </w:p>
              </w:tc>
              <w:tc>
                <w:tcPr>
                  <w:tcW w:w="1972" w:type="dxa"/>
                  <w:gridSpan w:val="2"/>
                  <w:tcBorders>
                    <w:tl2br w:val="nil"/>
                    <w:tr2bl w:val="nil"/>
                  </w:tcBorders>
                  <w:noWrap w:val="0"/>
                  <w:vAlign w:val="center"/>
                </w:tcPr>
                <w:p w14:paraId="6F6BDD56">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900-099-S59</w:t>
                  </w:r>
                </w:p>
              </w:tc>
              <w:tc>
                <w:tcPr>
                  <w:tcW w:w="429" w:type="dxa"/>
                  <w:tcBorders>
                    <w:tl2br w:val="nil"/>
                    <w:tr2bl w:val="nil"/>
                  </w:tcBorders>
                  <w:noWrap w:val="0"/>
                  <w:vAlign w:val="center"/>
                </w:tcPr>
                <w:p w14:paraId="312E2681">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固态</w:t>
                  </w:r>
                </w:p>
              </w:tc>
              <w:tc>
                <w:tcPr>
                  <w:tcW w:w="578" w:type="dxa"/>
                  <w:tcBorders>
                    <w:tl2br w:val="nil"/>
                    <w:tr2bl w:val="nil"/>
                  </w:tcBorders>
                  <w:noWrap w:val="0"/>
                  <w:vAlign w:val="center"/>
                </w:tcPr>
                <w:p w14:paraId="63D18854">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w:t>
                  </w:r>
                </w:p>
              </w:tc>
              <w:tc>
                <w:tcPr>
                  <w:tcW w:w="459" w:type="dxa"/>
                  <w:tcBorders>
                    <w:tl2br w:val="nil"/>
                    <w:tr2bl w:val="nil"/>
                  </w:tcBorders>
                  <w:noWrap w:val="0"/>
                  <w:vAlign w:val="center"/>
                </w:tcPr>
                <w:p w14:paraId="2A97E72F">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1季</w:t>
                  </w:r>
                </w:p>
              </w:tc>
              <w:tc>
                <w:tcPr>
                  <w:tcW w:w="446" w:type="dxa"/>
                  <w:tcBorders>
                    <w:tl2br w:val="nil"/>
                    <w:tr2bl w:val="nil"/>
                  </w:tcBorders>
                  <w:noWrap w:val="0"/>
                  <w:vAlign w:val="center"/>
                </w:tcPr>
                <w:p w14:paraId="1DE464DB">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系数法</w:t>
                  </w:r>
                </w:p>
              </w:tc>
              <w:tc>
                <w:tcPr>
                  <w:tcW w:w="689" w:type="dxa"/>
                  <w:tcBorders>
                    <w:tl2br w:val="nil"/>
                    <w:tr2bl w:val="nil"/>
                  </w:tcBorders>
                  <w:noWrap w:val="0"/>
                  <w:vAlign w:val="center"/>
                </w:tcPr>
                <w:p w14:paraId="32135D19">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64.92</w:t>
                  </w:r>
                </w:p>
              </w:tc>
              <w:tc>
                <w:tcPr>
                  <w:tcW w:w="498" w:type="dxa"/>
                  <w:tcBorders>
                    <w:tl2br w:val="nil"/>
                    <w:tr2bl w:val="nil"/>
                  </w:tcBorders>
                  <w:noWrap w:val="0"/>
                  <w:vAlign w:val="center"/>
                </w:tcPr>
                <w:p w14:paraId="337D8E28">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仓库</w:t>
                  </w:r>
                </w:p>
                <w:p w14:paraId="2E88BD08">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暂存</w:t>
                  </w:r>
                </w:p>
              </w:tc>
              <w:tc>
                <w:tcPr>
                  <w:tcW w:w="699" w:type="dxa"/>
                  <w:tcBorders>
                    <w:tl2br w:val="nil"/>
                    <w:tr2bl w:val="nil"/>
                  </w:tcBorders>
                  <w:noWrap w:val="0"/>
                  <w:vAlign w:val="center"/>
                </w:tcPr>
                <w:p w14:paraId="6FE0F16B">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回用于生产</w:t>
                  </w:r>
                </w:p>
              </w:tc>
              <w:tc>
                <w:tcPr>
                  <w:tcW w:w="689" w:type="dxa"/>
                  <w:tcBorders>
                    <w:tl2br w:val="nil"/>
                    <w:tr2bl w:val="nil"/>
                  </w:tcBorders>
                  <w:noWrap w:val="0"/>
                  <w:vAlign w:val="center"/>
                </w:tcPr>
                <w:p w14:paraId="48B21B46">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64.92</w:t>
                  </w:r>
                </w:p>
              </w:tc>
            </w:tr>
            <w:tr w14:paraId="5D286C4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426" w:type="dxa"/>
                  <w:vMerge w:val="continue"/>
                  <w:tcBorders>
                    <w:tl2br w:val="nil"/>
                    <w:tr2bl w:val="nil"/>
                  </w:tcBorders>
                  <w:noWrap w:val="0"/>
                  <w:vAlign w:val="center"/>
                </w:tcPr>
                <w:p w14:paraId="7444D7FC">
                  <w:pPr>
                    <w:pStyle w:val="56"/>
                    <w:keepNext w:val="0"/>
                    <w:keepLines w:val="0"/>
                    <w:suppressLineNumbers w:val="0"/>
                    <w:bidi w:val="0"/>
                    <w:spacing w:before="0" w:beforeAutospacing="0" w:after="0" w:afterAutospacing="0"/>
                    <w:ind w:left="0" w:right="0"/>
                    <w:rPr>
                      <w:rFonts w:hint="default" w:cs="Times New Roman"/>
                      <w:color w:val="auto"/>
                    </w:rPr>
                  </w:pPr>
                </w:p>
              </w:tc>
              <w:tc>
                <w:tcPr>
                  <w:tcW w:w="477" w:type="dxa"/>
                  <w:tcBorders>
                    <w:tl2br w:val="nil"/>
                    <w:tr2bl w:val="nil"/>
                  </w:tcBorders>
                  <w:noWrap w:val="0"/>
                  <w:vAlign w:val="center"/>
                </w:tcPr>
                <w:p w14:paraId="1D0CB901">
                  <w:pPr>
                    <w:pStyle w:val="56"/>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lang w:val="en-US" w:eastAsia="zh-CN"/>
                    </w:rPr>
                    <w:t>废气治理</w:t>
                  </w:r>
                </w:p>
              </w:tc>
              <w:tc>
                <w:tcPr>
                  <w:tcW w:w="492" w:type="dxa"/>
                  <w:tcBorders>
                    <w:tl2br w:val="nil"/>
                    <w:tr2bl w:val="nil"/>
                  </w:tcBorders>
                  <w:noWrap w:val="0"/>
                  <w:vAlign w:val="center"/>
                </w:tcPr>
                <w:p w14:paraId="3CC98957">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废布袋</w:t>
                  </w:r>
                </w:p>
              </w:tc>
              <w:tc>
                <w:tcPr>
                  <w:tcW w:w="1972" w:type="dxa"/>
                  <w:gridSpan w:val="2"/>
                  <w:tcBorders>
                    <w:tl2br w:val="nil"/>
                    <w:tr2bl w:val="nil"/>
                  </w:tcBorders>
                  <w:noWrap w:val="0"/>
                  <w:vAlign w:val="center"/>
                </w:tcPr>
                <w:p w14:paraId="62A85A60">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900-009-S59</w:t>
                  </w:r>
                </w:p>
              </w:tc>
              <w:tc>
                <w:tcPr>
                  <w:tcW w:w="429" w:type="dxa"/>
                  <w:tcBorders>
                    <w:tl2br w:val="nil"/>
                    <w:tr2bl w:val="nil"/>
                  </w:tcBorders>
                  <w:noWrap w:val="0"/>
                  <w:vAlign w:val="center"/>
                </w:tcPr>
                <w:p w14:paraId="107AC063">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固态</w:t>
                  </w:r>
                </w:p>
              </w:tc>
              <w:tc>
                <w:tcPr>
                  <w:tcW w:w="578" w:type="dxa"/>
                  <w:tcBorders>
                    <w:tl2br w:val="nil"/>
                    <w:tr2bl w:val="nil"/>
                  </w:tcBorders>
                  <w:noWrap w:val="0"/>
                  <w:vAlign w:val="center"/>
                </w:tcPr>
                <w:p w14:paraId="2AAEA118">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459" w:type="dxa"/>
                  <w:tcBorders>
                    <w:tl2br w:val="nil"/>
                    <w:tr2bl w:val="nil"/>
                  </w:tcBorders>
                  <w:noWrap w:val="0"/>
                  <w:vAlign w:val="center"/>
                </w:tcPr>
                <w:p w14:paraId="114B8F06">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1年</w:t>
                  </w:r>
                </w:p>
              </w:tc>
              <w:tc>
                <w:tcPr>
                  <w:tcW w:w="446" w:type="dxa"/>
                  <w:tcBorders>
                    <w:tl2br w:val="nil"/>
                    <w:tr2bl w:val="nil"/>
                  </w:tcBorders>
                  <w:noWrap w:val="0"/>
                  <w:vAlign w:val="center"/>
                </w:tcPr>
                <w:p w14:paraId="30E28DB1">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类比法</w:t>
                  </w:r>
                </w:p>
              </w:tc>
              <w:tc>
                <w:tcPr>
                  <w:tcW w:w="689" w:type="dxa"/>
                  <w:tcBorders>
                    <w:tl2br w:val="nil"/>
                    <w:tr2bl w:val="nil"/>
                  </w:tcBorders>
                  <w:noWrap w:val="0"/>
                  <w:vAlign w:val="center"/>
                </w:tcPr>
                <w:p w14:paraId="6F234EC1">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1</w:t>
                  </w:r>
                </w:p>
              </w:tc>
              <w:tc>
                <w:tcPr>
                  <w:tcW w:w="498" w:type="dxa"/>
                  <w:tcBorders>
                    <w:tl2br w:val="nil"/>
                    <w:tr2bl w:val="nil"/>
                  </w:tcBorders>
                  <w:noWrap w:val="0"/>
                  <w:vAlign w:val="center"/>
                </w:tcPr>
                <w:p w14:paraId="5E6BC2C8">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仓库暂存</w:t>
                  </w:r>
                </w:p>
              </w:tc>
              <w:tc>
                <w:tcPr>
                  <w:tcW w:w="699" w:type="dxa"/>
                  <w:tcBorders>
                    <w:tl2br w:val="nil"/>
                    <w:tr2bl w:val="nil"/>
                  </w:tcBorders>
                  <w:noWrap w:val="0"/>
                  <w:vAlign w:val="center"/>
                </w:tcPr>
                <w:p w14:paraId="1989EA68">
                  <w:pPr>
                    <w:pStyle w:val="56"/>
                    <w:keepNext w:val="0"/>
                    <w:keepLines w:val="0"/>
                    <w:suppressLineNumbers w:val="0"/>
                    <w:bidi w:val="0"/>
                    <w:spacing w:before="0" w:beforeAutospacing="0" w:after="0" w:afterAutospacing="0"/>
                    <w:ind w:left="0" w:right="0"/>
                    <w:rPr>
                      <w:rFonts w:hint="eastAsia" w:cs="Times New Roman"/>
                      <w:color w:val="auto"/>
                      <w:lang w:eastAsia="zh-CN"/>
                    </w:rPr>
                  </w:pPr>
                  <w:r>
                    <w:rPr>
                      <w:rFonts w:hint="eastAsia" w:cs="Times New Roman"/>
                      <w:color w:val="auto"/>
                      <w:lang w:val="en-US" w:eastAsia="zh-CN"/>
                    </w:rPr>
                    <w:t>厂家回收</w:t>
                  </w:r>
                </w:p>
              </w:tc>
              <w:tc>
                <w:tcPr>
                  <w:tcW w:w="689" w:type="dxa"/>
                  <w:tcBorders>
                    <w:tl2br w:val="nil"/>
                    <w:tr2bl w:val="nil"/>
                  </w:tcBorders>
                  <w:noWrap w:val="0"/>
                  <w:vAlign w:val="center"/>
                </w:tcPr>
                <w:p w14:paraId="7CFBC031">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1</w:t>
                  </w:r>
                </w:p>
              </w:tc>
            </w:tr>
            <w:tr w14:paraId="4D3E794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426" w:type="dxa"/>
                  <w:vMerge w:val="continue"/>
                  <w:tcBorders>
                    <w:tl2br w:val="nil"/>
                    <w:tr2bl w:val="nil"/>
                  </w:tcBorders>
                  <w:noWrap w:val="0"/>
                  <w:vAlign w:val="center"/>
                </w:tcPr>
                <w:p w14:paraId="14272C6E">
                  <w:pPr>
                    <w:pStyle w:val="56"/>
                    <w:keepNext w:val="0"/>
                    <w:keepLines w:val="0"/>
                    <w:suppressLineNumbers w:val="0"/>
                    <w:bidi w:val="0"/>
                    <w:spacing w:before="0" w:beforeAutospacing="0" w:after="0" w:afterAutospacing="0"/>
                    <w:ind w:left="0" w:right="0"/>
                    <w:rPr>
                      <w:rFonts w:hint="default" w:cs="Times New Roman"/>
                      <w:color w:val="auto"/>
                    </w:rPr>
                  </w:pPr>
                </w:p>
              </w:tc>
              <w:tc>
                <w:tcPr>
                  <w:tcW w:w="477" w:type="dxa"/>
                  <w:tcBorders>
                    <w:tl2br w:val="nil"/>
                    <w:tr2bl w:val="nil"/>
                  </w:tcBorders>
                  <w:noWrap w:val="0"/>
                  <w:vAlign w:val="center"/>
                </w:tcPr>
                <w:p w14:paraId="29AF19FF">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分选</w:t>
                  </w:r>
                </w:p>
              </w:tc>
              <w:tc>
                <w:tcPr>
                  <w:tcW w:w="492" w:type="dxa"/>
                  <w:tcBorders>
                    <w:tl2br w:val="nil"/>
                    <w:tr2bl w:val="nil"/>
                  </w:tcBorders>
                  <w:noWrap w:val="0"/>
                  <w:vAlign w:val="center"/>
                </w:tcPr>
                <w:p w14:paraId="40D7DBAB">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废金属</w:t>
                  </w:r>
                </w:p>
              </w:tc>
              <w:tc>
                <w:tcPr>
                  <w:tcW w:w="1972" w:type="dxa"/>
                  <w:gridSpan w:val="2"/>
                  <w:tcBorders>
                    <w:tl2br w:val="nil"/>
                    <w:tr2bl w:val="nil"/>
                  </w:tcBorders>
                  <w:noWrap w:val="0"/>
                  <w:vAlign w:val="center"/>
                </w:tcPr>
                <w:p w14:paraId="67644616">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502-001-S73</w:t>
                  </w:r>
                </w:p>
              </w:tc>
              <w:tc>
                <w:tcPr>
                  <w:tcW w:w="429" w:type="dxa"/>
                  <w:tcBorders>
                    <w:tl2br w:val="nil"/>
                    <w:tr2bl w:val="nil"/>
                  </w:tcBorders>
                  <w:noWrap w:val="0"/>
                  <w:vAlign w:val="center"/>
                </w:tcPr>
                <w:p w14:paraId="2734731F">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固态</w:t>
                  </w:r>
                </w:p>
              </w:tc>
              <w:tc>
                <w:tcPr>
                  <w:tcW w:w="578" w:type="dxa"/>
                  <w:tcBorders>
                    <w:tl2br w:val="nil"/>
                    <w:tr2bl w:val="nil"/>
                  </w:tcBorders>
                  <w:noWrap w:val="0"/>
                  <w:vAlign w:val="center"/>
                </w:tcPr>
                <w:p w14:paraId="54B06D9C">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w:t>
                  </w:r>
                </w:p>
              </w:tc>
              <w:tc>
                <w:tcPr>
                  <w:tcW w:w="459" w:type="dxa"/>
                  <w:tcBorders>
                    <w:tl2br w:val="nil"/>
                    <w:tr2bl w:val="nil"/>
                  </w:tcBorders>
                  <w:noWrap w:val="0"/>
                  <w:vAlign w:val="center"/>
                </w:tcPr>
                <w:p w14:paraId="38A5EA94">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1季</w:t>
                  </w:r>
                </w:p>
              </w:tc>
              <w:tc>
                <w:tcPr>
                  <w:tcW w:w="446" w:type="dxa"/>
                  <w:tcBorders>
                    <w:tl2br w:val="nil"/>
                    <w:tr2bl w:val="nil"/>
                  </w:tcBorders>
                  <w:noWrap w:val="0"/>
                  <w:vAlign w:val="center"/>
                </w:tcPr>
                <w:p w14:paraId="11792FD8">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类比法</w:t>
                  </w:r>
                </w:p>
              </w:tc>
              <w:tc>
                <w:tcPr>
                  <w:tcW w:w="689" w:type="dxa"/>
                  <w:tcBorders>
                    <w:tl2br w:val="nil"/>
                    <w:tr2bl w:val="nil"/>
                  </w:tcBorders>
                  <w:noWrap w:val="0"/>
                  <w:vAlign w:val="center"/>
                </w:tcPr>
                <w:p w14:paraId="455338CE">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2</w:t>
                  </w:r>
                </w:p>
              </w:tc>
              <w:tc>
                <w:tcPr>
                  <w:tcW w:w="498" w:type="dxa"/>
                  <w:tcBorders>
                    <w:tl2br w:val="nil"/>
                    <w:tr2bl w:val="nil"/>
                  </w:tcBorders>
                  <w:noWrap w:val="0"/>
                  <w:vAlign w:val="center"/>
                </w:tcPr>
                <w:p w14:paraId="173C7280">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仓库暂存</w:t>
                  </w:r>
                </w:p>
              </w:tc>
              <w:tc>
                <w:tcPr>
                  <w:tcW w:w="699" w:type="dxa"/>
                  <w:tcBorders>
                    <w:tl2br w:val="nil"/>
                    <w:tr2bl w:val="nil"/>
                  </w:tcBorders>
                  <w:noWrap w:val="0"/>
                  <w:vAlign w:val="center"/>
                </w:tcPr>
                <w:p w14:paraId="6037FFE3">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外售</w:t>
                  </w:r>
                </w:p>
              </w:tc>
              <w:tc>
                <w:tcPr>
                  <w:tcW w:w="689" w:type="dxa"/>
                  <w:tcBorders>
                    <w:tl2br w:val="nil"/>
                    <w:tr2bl w:val="nil"/>
                  </w:tcBorders>
                  <w:noWrap w:val="0"/>
                  <w:vAlign w:val="center"/>
                </w:tcPr>
                <w:p w14:paraId="43381519">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2</w:t>
                  </w:r>
                </w:p>
              </w:tc>
            </w:tr>
            <w:tr w14:paraId="764A9F9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426" w:type="dxa"/>
                  <w:vMerge w:val="continue"/>
                  <w:tcBorders>
                    <w:tl2br w:val="nil"/>
                    <w:tr2bl w:val="nil"/>
                  </w:tcBorders>
                  <w:noWrap w:val="0"/>
                  <w:vAlign w:val="center"/>
                </w:tcPr>
                <w:p w14:paraId="6024BBFF">
                  <w:pPr>
                    <w:pStyle w:val="56"/>
                    <w:keepNext w:val="0"/>
                    <w:keepLines w:val="0"/>
                    <w:suppressLineNumbers w:val="0"/>
                    <w:bidi w:val="0"/>
                    <w:spacing w:before="0" w:beforeAutospacing="0" w:after="0" w:afterAutospacing="0"/>
                    <w:ind w:left="0" w:right="0"/>
                    <w:rPr>
                      <w:rFonts w:hint="default" w:cs="Times New Roman"/>
                      <w:color w:val="auto"/>
                    </w:rPr>
                  </w:pPr>
                </w:p>
              </w:tc>
              <w:tc>
                <w:tcPr>
                  <w:tcW w:w="477" w:type="dxa"/>
                  <w:tcBorders>
                    <w:tl2br w:val="nil"/>
                    <w:tr2bl w:val="nil"/>
                  </w:tcBorders>
                  <w:noWrap w:val="0"/>
                  <w:vAlign w:val="center"/>
                </w:tcPr>
                <w:p w14:paraId="5527ADCD">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分选</w:t>
                  </w:r>
                </w:p>
              </w:tc>
              <w:tc>
                <w:tcPr>
                  <w:tcW w:w="492" w:type="dxa"/>
                  <w:tcBorders>
                    <w:tl2br w:val="nil"/>
                    <w:tr2bl w:val="nil"/>
                  </w:tcBorders>
                  <w:noWrap w:val="0"/>
                  <w:vAlign w:val="center"/>
                </w:tcPr>
                <w:p w14:paraId="260ADB68">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不可利用物</w:t>
                  </w:r>
                </w:p>
              </w:tc>
              <w:tc>
                <w:tcPr>
                  <w:tcW w:w="1972" w:type="dxa"/>
                  <w:gridSpan w:val="2"/>
                  <w:tcBorders>
                    <w:tl2br w:val="nil"/>
                    <w:tr2bl w:val="nil"/>
                  </w:tcBorders>
                  <w:noWrap w:val="0"/>
                  <w:vAlign w:val="center"/>
                </w:tcPr>
                <w:p w14:paraId="75A01528">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502-099-S73</w:t>
                  </w:r>
                </w:p>
              </w:tc>
              <w:tc>
                <w:tcPr>
                  <w:tcW w:w="429" w:type="dxa"/>
                  <w:tcBorders>
                    <w:tl2br w:val="nil"/>
                    <w:tr2bl w:val="nil"/>
                  </w:tcBorders>
                  <w:noWrap w:val="0"/>
                  <w:vAlign w:val="center"/>
                </w:tcPr>
                <w:p w14:paraId="5F48A8CA">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固态</w:t>
                  </w:r>
                </w:p>
              </w:tc>
              <w:tc>
                <w:tcPr>
                  <w:tcW w:w="578" w:type="dxa"/>
                  <w:tcBorders>
                    <w:tl2br w:val="nil"/>
                    <w:tr2bl w:val="nil"/>
                  </w:tcBorders>
                  <w:noWrap w:val="0"/>
                  <w:vAlign w:val="center"/>
                </w:tcPr>
                <w:p w14:paraId="421FE9ED">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w:t>
                  </w:r>
                </w:p>
              </w:tc>
              <w:tc>
                <w:tcPr>
                  <w:tcW w:w="459" w:type="dxa"/>
                  <w:tcBorders>
                    <w:tl2br w:val="nil"/>
                    <w:tr2bl w:val="nil"/>
                  </w:tcBorders>
                  <w:noWrap w:val="0"/>
                  <w:vAlign w:val="center"/>
                </w:tcPr>
                <w:p w14:paraId="1ADE95E6">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1季</w:t>
                  </w:r>
                </w:p>
              </w:tc>
              <w:tc>
                <w:tcPr>
                  <w:tcW w:w="446" w:type="dxa"/>
                  <w:tcBorders>
                    <w:tl2br w:val="nil"/>
                    <w:tr2bl w:val="nil"/>
                  </w:tcBorders>
                  <w:noWrap w:val="0"/>
                  <w:vAlign w:val="center"/>
                </w:tcPr>
                <w:p w14:paraId="0B0BEF6C">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设计提供</w:t>
                  </w:r>
                </w:p>
              </w:tc>
              <w:tc>
                <w:tcPr>
                  <w:tcW w:w="689" w:type="dxa"/>
                  <w:tcBorders>
                    <w:tl2br w:val="nil"/>
                    <w:tr2bl w:val="nil"/>
                  </w:tcBorders>
                  <w:noWrap w:val="0"/>
                  <w:vAlign w:val="center"/>
                </w:tcPr>
                <w:p w14:paraId="48AD0749">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10.51</w:t>
                  </w:r>
                </w:p>
              </w:tc>
              <w:tc>
                <w:tcPr>
                  <w:tcW w:w="498" w:type="dxa"/>
                  <w:tcBorders>
                    <w:tl2br w:val="nil"/>
                    <w:tr2bl w:val="nil"/>
                  </w:tcBorders>
                  <w:noWrap w:val="0"/>
                  <w:vAlign w:val="center"/>
                </w:tcPr>
                <w:p w14:paraId="6C3C1EBE">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仓库暂存</w:t>
                  </w:r>
                </w:p>
              </w:tc>
              <w:tc>
                <w:tcPr>
                  <w:tcW w:w="699" w:type="dxa"/>
                  <w:tcBorders>
                    <w:tl2br w:val="nil"/>
                    <w:tr2bl w:val="nil"/>
                  </w:tcBorders>
                  <w:noWrap w:val="0"/>
                  <w:vAlign w:val="center"/>
                </w:tcPr>
                <w:p w14:paraId="29F3FA7C">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环卫</w:t>
                  </w:r>
                </w:p>
                <w:p w14:paraId="52C72491">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清运</w:t>
                  </w:r>
                </w:p>
              </w:tc>
              <w:tc>
                <w:tcPr>
                  <w:tcW w:w="689" w:type="dxa"/>
                  <w:tcBorders>
                    <w:tl2br w:val="nil"/>
                    <w:tr2bl w:val="nil"/>
                  </w:tcBorders>
                  <w:noWrap w:val="0"/>
                  <w:vAlign w:val="center"/>
                </w:tcPr>
                <w:p w14:paraId="38BCC617">
                  <w:pPr>
                    <w:pStyle w:val="56"/>
                    <w:keepNext w:val="0"/>
                    <w:keepLines w:val="0"/>
                    <w:suppressLineNumbers w:val="0"/>
                    <w:bidi w:val="0"/>
                    <w:spacing w:before="0" w:beforeAutospacing="0" w:after="0" w:afterAutospacing="0"/>
                    <w:ind w:left="0" w:right="0" w:firstLine="0" w:firstLineChars="0"/>
                    <w:rPr>
                      <w:rFonts w:hint="default" w:cs="Times New Roman"/>
                      <w:color w:val="auto"/>
                      <w:lang w:val="en-US" w:eastAsia="zh-CN"/>
                    </w:rPr>
                  </w:pPr>
                  <w:r>
                    <w:rPr>
                      <w:rFonts w:hint="eastAsia" w:cs="Times New Roman"/>
                      <w:color w:val="auto"/>
                      <w:lang w:val="en-US" w:eastAsia="zh-CN"/>
                    </w:rPr>
                    <w:t>10.51</w:t>
                  </w:r>
                </w:p>
              </w:tc>
            </w:tr>
            <w:tr w14:paraId="3719415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426" w:type="dxa"/>
                  <w:vMerge w:val="continue"/>
                  <w:tcBorders>
                    <w:tl2br w:val="nil"/>
                    <w:tr2bl w:val="nil"/>
                  </w:tcBorders>
                  <w:noWrap w:val="0"/>
                  <w:vAlign w:val="center"/>
                </w:tcPr>
                <w:p w14:paraId="0D98C932">
                  <w:pPr>
                    <w:pStyle w:val="56"/>
                    <w:keepNext w:val="0"/>
                    <w:keepLines w:val="0"/>
                    <w:suppressLineNumbers w:val="0"/>
                    <w:bidi w:val="0"/>
                    <w:spacing w:before="0" w:beforeAutospacing="0" w:after="0" w:afterAutospacing="0"/>
                    <w:ind w:left="0" w:right="0"/>
                    <w:rPr>
                      <w:rFonts w:hint="default" w:cs="Times New Roman"/>
                      <w:color w:val="auto"/>
                    </w:rPr>
                  </w:pPr>
                </w:p>
              </w:tc>
              <w:tc>
                <w:tcPr>
                  <w:tcW w:w="477" w:type="dxa"/>
                  <w:tcBorders>
                    <w:tl2br w:val="nil"/>
                    <w:tr2bl w:val="nil"/>
                  </w:tcBorders>
                  <w:noWrap w:val="0"/>
                  <w:vAlign w:val="center"/>
                </w:tcPr>
                <w:p w14:paraId="0B0478D3">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检验</w:t>
                  </w:r>
                </w:p>
              </w:tc>
              <w:tc>
                <w:tcPr>
                  <w:tcW w:w="492" w:type="dxa"/>
                  <w:tcBorders>
                    <w:tl2br w:val="nil"/>
                    <w:tr2bl w:val="nil"/>
                  </w:tcBorders>
                  <w:noWrap w:val="0"/>
                  <w:vAlign w:val="center"/>
                </w:tcPr>
                <w:p w14:paraId="7DB5AFD4">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残次品</w:t>
                  </w:r>
                </w:p>
              </w:tc>
              <w:tc>
                <w:tcPr>
                  <w:tcW w:w="1972" w:type="dxa"/>
                  <w:gridSpan w:val="2"/>
                  <w:tcBorders>
                    <w:tl2br w:val="nil"/>
                    <w:tr2bl w:val="nil"/>
                  </w:tcBorders>
                  <w:noWrap w:val="0"/>
                  <w:vAlign w:val="center"/>
                </w:tcPr>
                <w:p w14:paraId="2D4F9B9C">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900-099-S59</w:t>
                  </w:r>
                </w:p>
              </w:tc>
              <w:tc>
                <w:tcPr>
                  <w:tcW w:w="429" w:type="dxa"/>
                  <w:tcBorders>
                    <w:tl2br w:val="nil"/>
                    <w:tr2bl w:val="nil"/>
                  </w:tcBorders>
                  <w:noWrap w:val="0"/>
                  <w:vAlign w:val="center"/>
                </w:tcPr>
                <w:p w14:paraId="1D328CFE">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固态</w:t>
                  </w:r>
                </w:p>
              </w:tc>
              <w:tc>
                <w:tcPr>
                  <w:tcW w:w="578" w:type="dxa"/>
                  <w:tcBorders>
                    <w:tl2br w:val="nil"/>
                    <w:tr2bl w:val="nil"/>
                  </w:tcBorders>
                  <w:noWrap w:val="0"/>
                  <w:vAlign w:val="center"/>
                </w:tcPr>
                <w:p w14:paraId="16139AD3">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p>
              </w:tc>
              <w:tc>
                <w:tcPr>
                  <w:tcW w:w="459" w:type="dxa"/>
                  <w:tcBorders>
                    <w:tl2br w:val="nil"/>
                    <w:tr2bl w:val="nil"/>
                  </w:tcBorders>
                  <w:noWrap w:val="0"/>
                  <w:vAlign w:val="center"/>
                </w:tcPr>
                <w:p w14:paraId="0A309D43">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1季</w:t>
                  </w:r>
                </w:p>
              </w:tc>
              <w:tc>
                <w:tcPr>
                  <w:tcW w:w="446" w:type="dxa"/>
                  <w:tcBorders>
                    <w:tl2br w:val="nil"/>
                    <w:tr2bl w:val="nil"/>
                  </w:tcBorders>
                  <w:noWrap w:val="0"/>
                  <w:vAlign w:val="center"/>
                </w:tcPr>
                <w:p w14:paraId="5C03010A">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设计提供</w:t>
                  </w:r>
                </w:p>
              </w:tc>
              <w:tc>
                <w:tcPr>
                  <w:tcW w:w="689" w:type="dxa"/>
                  <w:tcBorders>
                    <w:tl2br w:val="nil"/>
                    <w:tr2bl w:val="nil"/>
                  </w:tcBorders>
                  <w:noWrap w:val="0"/>
                  <w:vAlign w:val="center"/>
                </w:tcPr>
                <w:p w14:paraId="5184CC0A">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23.94</w:t>
                  </w:r>
                </w:p>
              </w:tc>
              <w:tc>
                <w:tcPr>
                  <w:tcW w:w="498" w:type="dxa"/>
                  <w:tcBorders>
                    <w:tl2br w:val="nil"/>
                    <w:tr2bl w:val="nil"/>
                  </w:tcBorders>
                  <w:noWrap w:val="0"/>
                  <w:vAlign w:val="center"/>
                </w:tcPr>
                <w:p w14:paraId="57457CF6">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仓库暂存</w:t>
                  </w:r>
                </w:p>
              </w:tc>
              <w:tc>
                <w:tcPr>
                  <w:tcW w:w="699" w:type="dxa"/>
                  <w:tcBorders>
                    <w:tl2br w:val="nil"/>
                    <w:tr2bl w:val="nil"/>
                  </w:tcBorders>
                  <w:noWrap w:val="0"/>
                  <w:vAlign w:val="center"/>
                </w:tcPr>
                <w:p w14:paraId="0D1427B9">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回用于生产</w:t>
                  </w:r>
                </w:p>
              </w:tc>
              <w:tc>
                <w:tcPr>
                  <w:tcW w:w="689" w:type="dxa"/>
                  <w:tcBorders>
                    <w:tl2br w:val="nil"/>
                    <w:tr2bl w:val="nil"/>
                  </w:tcBorders>
                  <w:noWrap w:val="0"/>
                  <w:vAlign w:val="center"/>
                </w:tcPr>
                <w:p w14:paraId="66D74C1C">
                  <w:pPr>
                    <w:pStyle w:val="56"/>
                    <w:keepNext w:val="0"/>
                    <w:keepLines w:val="0"/>
                    <w:suppressLineNumbers w:val="0"/>
                    <w:bidi w:val="0"/>
                    <w:spacing w:before="0" w:beforeAutospacing="0" w:after="0" w:afterAutospacing="0"/>
                    <w:ind w:left="0" w:right="0" w:firstLine="0" w:firstLineChars="0"/>
                    <w:rPr>
                      <w:rFonts w:hint="default" w:cs="Times New Roman"/>
                      <w:color w:val="auto"/>
                      <w:lang w:val="en-US" w:eastAsia="zh-CN"/>
                    </w:rPr>
                  </w:pPr>
                  <w:r>
                    <w:rPr>
                      <w:rFonts w:hint="eastAsia" w:cs="Times New Roman"/>
                      <w:color w:val="auto"/>
                      <w:lang w:val="en-US" w:eastAsia="zh-CN"/>
                    </w:rPr>
                    <w:t>23.94</w:t>
                  </w:r>
                </w:p>
              </w:tc>
            </w:tr>
            <w:tr w14:paraId="22FCC16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426" w:type="dxa"/>
                  <w:tcBorders>
                    <w:tl2br w:val="nil"/>
                    <w:tr2bl w:val="nil"/>
                  </w:tcBorders>
                  <w:noWrap w:val="0"/>
                  <w:vAlign w:val="center"/>
                </w:tcPr>
                <w:p w14:paraId="5530D63C">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生活垃圾</w:t>
                  </w:r>
                </w:p>
              </w:tc>
              <w:tc>
                <w:tcPr>
                  <w:tcW w:w="477" w:type="dxa"/>
                  <w:tcBorders>
                    <w:tl2br w:val="nil"/>
                    <w:tr2bl w:val="nil"/>
                  </w:tcBorders>
                  <w:noWrap w:val="0"/>
                  <w:vAlign w:val="center"/>
                </w:tcPr>
                <w:p w14:paraId="2D91CE4D">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生活办公</w:t>
                  </w:r>
                </w:p>
              </w:tc>
              <w:tc>
                <w:tcPr>
                  <w:tcW w:w="492" w:type="dxa"/>
                  <w:tcBorders>
                    <w:tl2br w:val="nil"/>
                    <w:tr2bl w:val="nil"/>
                  </w:tcBorders>
                  <w:noWrap w:val="0"/>
                  <w:vAlign w:val="center"/>
                </w:tcPr>
                <w:p w14:paraId="28C70F19">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生活</w:t>
                  </w:r>
                </w:p>
                <w:p w14:paraId="55856968">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垃圾</w:t>
                  </w:r>
                </w:p>
              </w:tc>
              <w:tc>
                <w:tcPr>
                  <w:tcW w:w="1972" w:type="dxa"/>
                  <w:gridSpan w:val="2"/>
                  <w:tcBorders>
                    <w:tl2br w:val="nil"/>
                    <w:tr2bl w:val="nil"/>
                  </w:tcBorders>
                  <w:noWrap w:val="0"/>
                  <w:vAlign w:val="center"/>
                </w:tcPr>
                <w:p w14:paraId="533DFF8C">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429" w:type="dxa"/>
                  <w:tcBorders>
                    <w:tl2br w:val="nil"/>
                    <w:tr2bl w:val="nil"/>
                  </w:tcBorders>
                  <w:noWrap w:val="0"/>
                  <w:vAlign w:val="center"/>
                </w:tcPr>
                <w:p w14:paraId="266448F5">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固态</w:t>
                  </w:r>
                </w:p>
              </w:tc>
              <w:tc>
                <w:tcPr>
                  <w:tcW w:w="578" w:type="dxa"/>
                  <w:tcBorders>
                    <w:tl2br w:val="nil"/>
                    <w:tr2bl w:val="nil"/>
                  </w:tcBorders>
                  <w:noWrap w:val="0"/>
                  <w:vAlign w:val="center"/>
                </w:tcPr>
                <w:p w14:paraId="098F7738">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459" w:type="dxa"/>
                  <w:tcBorders>
                    <w:tl2br w:val="nil"/>
                    <w:tr2bl w:val="nil"/>
                  </w:tcBorders>
                  <w:noWrap w:val="0"/>
                  <w:vAlign w:val="center"/>
                </w:tcPr>
                <w:p w14:paraId="318F05E0">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每d</w:t>
                  </w:r>
                </w:p>
              </w:tc>
              <w:tc>
                <w:tcPr>
                  <w:tcW w:w="446" w:type="dxa"/>
                  <w:tcBorders>
                    <w:tl2br w:val="nil"/>
                    <w:tr2bl w:val="nil"/>
                  </w:tcBorders>
                  <w:noWrap w:val="0"/>
                  <w:vAlign w:val="center"/>
                </w:tcPr>
                <w:p w14:paraId="6BD49583">
                  <w:pPr>
                    <w:pStyle w:val="56"/>
                    <w:keepNext w:val="0"/>
                    <w:keepLines w:val="0"/>
                    <w:suppressLineNumbers w:val="0"/>
                    <w:bidi w:val="0"/>
                    <w:spacing w:before="0" w:beforeAutospacing="0" w:after="0" w:afterAutospacing="0"/>
                    <w:ind w:left="0" w:right="0"/>
                    <w:rPr>
                      <w:rFonts w:hint="eastAsia" w:cs="Times New Roman"/>
                      <w:color w:val="auto"/>
                      <w:lang w:eastAsia="zh-CN"/>
                    </w:rPr>
                  </w:pPr>
                  <w:r>
                    <w:rPr>
                      <w:rFonts w:hint="eastAsia" w:cs="Times New Roman"/>
                      <w:color w:val="auto"/>
                      <w:lang w:val="en-US" w:eastAsia="zh-CN"/>
                    </w:rPr>
                    <w:t>系数法</w:t>
                  </w:r>
                </w:p>
              </w:tc>
              <w:tc>
                <w:tcPr>
                  <w:tcW w:w="689" w:type="dxa"/>
                  <w:tcBorders>
                    <w:tl2br w:val="nil"/>
                    <w:tr2bl w:val="nil"/>
                  </w:tcBorders>
                  <w:noWrap w:val="0"/>
                  <w:vAlign w:val="center"/>
                </w:tcPr>
                <w:p w14:paraId="4D93AF92">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7.5</w:t>
                  </w:r>
                </w:p>
              </w:tc>
              <w:tc>
                <w:tcPr>
                  <w:tcW w:w="498" w:type="dxa"/>
                  <w:tcBorders>
                    <w:tl2br w:val="nil"/>
                    <w:tr2bl w:val="nil"/>
                  </w:tcBorders>
                  <w:noWrap w:val="0"/>
                  <w:vAlign w:val="center"/>
                </w:tcPr>
                <w:p w14:paraId="79695A25">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垃圾箱收集</w:t>
                  </w:r>
                </w:p>
              </w:tc>
              <w:tc>
                <w:tcPr>
                  <w:tcW w:w="699" w:type="dxa"/>
                  <w:tcBorders>
                    <w:tl2br w:val="nil"/>
                    <w:tr2bl w:val="nil"/>
                  </w:tcBorders>
                  <w:noWrap w:val="0"/>
                  <w:vAlign w:val="center"/>
                </w:tcPr>
                <w:p w14:paraId="647DB46B">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环卫</w:t>
                  </w:r>
                </w:p>
                <w:p w14:paraId="08749466">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清运</w:t>
                  </w:r>
                </w:p>
              </w:tc>
              <w:tc>
                <w:tcPr>
                  <w:tcW w:w="689" w:type="dxa"/>
                  <w:tcBorders>
                    <w:tl2br w:val="nil"/>
                    <w:tr2bl w:val="nil"/>
                  </w:tcBorders>
                  <w:noWrap w:val="0"/>
                  <w:vAlign w:val="center"/>
                </w:tcPr>
                <w:p w14:paraId="2D6E080E">
                  <w:pPr>
                    <w:pStyle w:val="56"/>
                    <w:keepNext w:val="0"/>
                    <w:keepLines w:val="0"/>
                    <w:suppressLineNumbers w:val="0"/>
                    <w:bidi w:val="0"/>
                    <w:spacing w:before="0" w:beforeAutospacing="0" w:after="0" w:afterAutospacing="0"/>
                    <w:ind w:left="0" w:right="0" w:firstLine="0" w:firstLineChars="0"/>
                    <w:rPr>
                      <w:rFonts w:hint="default" w:eastAsia="宋体" w:cs="Times New Roman"/>
                      <w:color w:val="auto"/>
                      <w:lang w:val="en-US" w:eastAsia="zh-CN"/>
                    </w:rPr>
                  </w:pPr>
                  <w:r>
                    <w:rPr>
                      <w:rFonts w:hint="eastAsia" w:cs="Times New Roman"/>
                      <w:color w:val="auto"/>
                      <w:lang w:val="en-US" w:eastAsia="zh-CN"/>
                    </w:rPr>
                    <w:t>7.5</w:t>
                  </w:r>
                </w:p>
              </w:tc>
            </w:tr>
            <w:tr w14:paraId="0136AF9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5" w:hRule="atLeast"/>
              </w:trPr>
              <w:tc>
                <w:tcPr>
                  <w:tcW w:w="426" w:type="dxa"/>
                  <w:vMerge w:val="restart"/>
                  <w:tcBorders>
                    <w:tl2br w:val="nil"/>
                    <w:tr2bl w:val="nil"/>
                  </w:tcBorders>
                  <w:noWrap w:val="0"/>
                  <w:vAlign w:val="center"/>
                </w:tcPr>
                <w:p w14:paraId="412F3DF9">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危险废物</w:t>
                  </w:r>
                </w:p>
              </w:tc>
              <w:tc>
                <w:tcPr>
                  <w:tcW w:w="477" w:type="dxa"/>
                  <w:tcBorders>
                    <w:tl2br w:val="nil"/>
                    <w:tr2bl w:val="nil"/>
                  </w:tcBorders>
                  <w:noWrap w:val="0"/>
                  <w:vAlign w:val="center"/>
                </w:tcPr>
                <w:p w14:paraId="122FAF59">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维修保养</w:t>
                  </w:r>
                </w:p>
              </w:tc>
              <w:tc>
                <w:tcPr>
                  <w:tcW w:w="492" w:type="dxa"/>
                  <w:tcBorders>
                    <w:tl2br w:val="nil"/>
                    <w:tr2bl w:val="nil"/>
                  </w:tcBorders>
                  <w:noWrap w:val="0"/>
                  <w:vAlign w:val="center"/>
                </w:tcPr>
                <w:p w14:paraId="0E49FB88">
                  <w:pPr>
                    <w:pStyle w:val="56"/>
                    <w:keepNext w:val="0"/>
                    <w:keepLines w:val="0"/>
                    <w:suppressLineNumbers w:val="0"/>
                    <w:bidi w:val="0"/>
                    <w:spacing w:before="0" w:beforeAutospacing="0" w:after="0" w:afterAutospacing="0"/>
                    <w:ind w:left="0" w:right="0"/>
                    <w:rPr>
                      <w:rFonts w:hint="eastAsia" w:eastAsia="宋体" w:cs="Times New Roman"/>
                      <w:color w:val="auto"/>
                      <w:lang w:eastAsia="zh-CN"/>
                    </w:rPr>
                  </w:pPr>
                  <w:r>
                    <w:rPr>
                      <w:rFonts w:hint="eastAsia" w:cs="Times New Roman"/>
                      <w:color w:val="auto"/>
                      <w:lang w:eastAsia="zh-CN"/>
                    </w:rPr>
                    <w:t>废润滑油</w:t>
                  </w:r>
                </w:p>
              </w:tc>
              <w:tc>
                <w:tcPr>
                  <w:tcW w:w="776" w:type="dxa"/>
                  <w:tcBorders>
                    <w:tl2br w:val="nil"/>
                    <w:tr2bl w:val="nil"/>
                  </w:tcBorders>
                  <w:noWrap w:val="0"/>
                  <w:vAlign w:val="center"/>
                </w:tcPr>
                <w:p w14:paraId="343FDAAA">
                  <w:pPr>
                    <w:pStyle w:val="56"/>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lang w:val="en-US" w:eastAsia="zh-CN"/>
                    </w:rPr>
                    <w:t>HW08</w:t>
                  </w:r>
                </w:p>
              </w:tc>
              <w:tc>
                <w:tcPr>
                  <w:tcW w:w="1196" w:type="dxa"/>
                  <w:tcBorders>
                    <w:tl2br w:val="nil"/>
                    <w:tr2bl w:val="nil"/>
                  </w:tcBorders>
                  <w:noWrap w:val="0"/>
                  <w:vAlign w:val="center"/>
                </w:tcPr>
                <w:p w14:paraId="7EE6A6AC">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default" w:cs="Times New Roman"/>
                      <w:color w:val="auto"/>
                    </w:rPr>
                    <w:t>900-217-08</w:t>
                  </w:r>
                </w:p>
              </w:tc>
              <w:tc>
                <w:tcPr>
                  <w:tcW w:w="429" w:type="dxa"/>
                  <w:tcBorders>
                    <w:tl2br w:val="nil"/>
                    <w:tr2bl w:val="nil"/>
                  </w:tcBorders>
                  <w:noWrap w:val="0"/>
                  <w:vAlign w:val="center"/>
                </w:tcPr>
                <w:p w14:paraId="09C372EB">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半固态</w:t>
                  </w:r>
                </w:p>
              </w:tc>
              <w:tc>
                <w:tcPr>
                  <w:tcW w:w="578" w:type="dxa"/>
                  <w:tcBorders>
                    <w:tl2br w:val="nil"/>
                    <w:tr2bl w:val="nil"/>
                  </w:tcBorders>
                  <w:noWrap w:val="0"/>
                  <w:vAlign w:val="center"/>
                </w:tcPr>
                <w:p w14:paraId="79CD10EA">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T,I</w:t>
                  </w:r>
                </w:p>
              </w:tc>
              <w:tc>
                <w:tcPr>
                  <w:tcW w:w="459" w:type="dxa"/>
                  <w:tcBorders>
                    <w:tl2br w:val="nil"/>
                    <w:tr2bl w:val="nil"/>
                  </w:tcBorders>
                  <w:noWrap w:val="0"/>
                  <w:vAlign w:val="center"/>
                </w:tcPr>
                <w:p w14:paraId="4F719C99">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半年</w:t>
                  </w:r>
                </w:p>
              </w:tc>
              <w:tc>
                <w:tcPr>
                  <w:tcW w:w="446" w:type="dxa"/>
                  <w:tcBorders>
                    <w:tl2br w:val="nil"/>
                    <w:tr2bl w:val="nil"/>
                  </w:tcBorders>
                  <w:noWrap w:val="0"/>
                  <w:vAlign w:val="center"/>
                </w:tcPr>
                <w:p w14:paraId="40142A49">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类比法</w:t>
                  </w:r>
                </w:p>
              </w:tc>
              <w:tc>
                <w:tcPr>
                  <w:tcW w:w="689" w:type="dxa"/>
                  <w:tcBorders>
                    <w:tl2br w:val="nil"/>
                    <w:tr2bl w:val="nil"/>
                  </w:tcBorders>
                  <w:noWrap w:val="0"/>
                  <w:vAlign w:val="center"/>
                </w:tcPr>
                <w:p w14:paraId="1AF4133C">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0.1</w:t>
                  </w:r>
                </w:p>
              </w:tc>
              <w:tc>
                <w:tcPr>
                  <w:tcW w:w="498" w:type="dxa"/>
                  <w:tcBorders>
                    <w:tl2br w:val="nil"/>
                    <w:tr2bl w:val="nil"/>
                  </w:tcBorders>
                  <w:noWrap w:val="0"/>
                  <w:vAlign w:val="center"/>
                </w:tcPr>
                <w:p w14:paraId="1457FBBA">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危废暂存区暂存</w:t>
                  </w:r>
                </w:p>
              </w:tc>
              <w:tc>
                <w:tcPr>
                  <w:tcW w:w="699" w:type="dxa"/>
                  <w:tcBorders>
                    <w:tl2br w:val="nil"/>
                    <w:tr2bl w:val="nil"/>
                  </w:tcBorders>
                  <w:noWrap w:val="0"/>
                  <w:vAlign w:val="center"/>
                </w:tcPr>
                <w:p w14:paraId="1D08C402">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交有危废处置资质单位处置</w:t>
                  </w:r>
                </w:p>
              </w:tc>
              <w:tc>
                <w:tcPr>
                  <w:tcW w:w="689" w:type="dxa"/>
                  <w:tcBorders>
                    <w:tl2br w:val="nil"/>
                    <w:tr2bl w:val="nil"/>
                  </w:tcBorders>
                  <w:noWrap w:val="0"/>
                  <w:vAlign w:val="center"/>
                </w:tcPr>
                <w:p w14:paraId="7F211371">
                  <w:pPr>
                    <w:pStyle w:val="56"/>
                    <w:keepNext w:val="0"/>
                    <w:keepLines w:val="0"/>
                    <w:suppressLineNumbers w:val="0"/>
                    <w:bidi w:val="0"/>
                    <w:spacing w:before="0" w:beforeAutospacing="0" w:after="0" w:afterAutospacing="0"/>
                    <w:ind w:left="0" w:right="0" w:firstLine="0" w:firstLineChars="0"/>
                    <w:rPr>
                      <w:rFonts w:hint="default" w:cs="Times New Roman"/>
                      <w:color w:val="auto"/>
                    </w:rPr>
                  </w:pPr>
                  <w:r>
                    <w:rPr>
                      <w:rFonts w:hint="default" w:cs="Times New Roman"/>
                      <w:color w:val="auto"/>
                    </w:rPr>
                    <w:t>0.1</w:t>
                  </w:r>
                </w:p>
              </w:tc>
            </w:tr>
            <w:tr w14:paraId="014148C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426" w:type="dxa"/>
                  <w:vMerge w:val="continue"/>
                  <w:tcBorders>
                    <w:tl2br w:val="nil"/>
                    <w:tr2bl w:val="nil"/>
                  </w:tcBorders>
                  <w:noWrap w:val="0"/>
                  <w:vAlign w:val="center"/>
                </w:tcPr>
                <w:p w14:paraId="6E4DD5C9">
                  <w:pPr>
                    <w:pStyle w:val="56"/>
                    <w:keepNext w:val="0"/>
                    <w:keepLines w:val="0"/>
                    <w:suppressLineNumbers w:val="0"/>
                    <w:bidi w:val="0"/>
                    <w:spacing w:before="0" w:beforeAutospacing="0" w:after="0" w:afterAutospacing="0"/>
                    <w:ind w:left="0" w:right="0"/>
                    <w:rPr>
                      <w:rFonts w:hint="default" w:cs="Times New Roman"/>
                      <w:color w:val="auto"/>
                    </w:rPr>
                  </w:pPr>
                </w:p>
              </w:tc>
              <w:tc>
                <w:tcPr>
                  <w:tcW w:w="477" w:type="dxa"/>
                  <w:tcBorders>
                    <w:tl2br w:val="nil"/>
                    <w:tr2bl w:val="nil"/>
                  </w:tcBorders>
                  <w:noWrap w:val="0"/>
                  <w:vAlign w:val="center"/>
                </w:tcPr>
                <w:p w14:paraId="56108F78">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维修保养</w:t>
                  </w:r>
                </w:p>
              </w:tc>
              <w:tc>
                <w:tcPr>
                  <w:tcW w:w="492" w:type="dxa"/>
                  <w:tcBorders>
                    <w:tl2br w:val="nil"/>
                    <w:tr2bl w:val="nil"/>
                  </w:tcBorders>
                  <w:noWrap w:val="0"/>
                  <w:vAlign w:val="center"/>
                </w:tcPr>
                <w:p w14:paraId="267881F4">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废含油抹布</w:t>
                  </w:r>
                </w:p>
              </w:tc>
              <w:tc>
                <w:tcPr>
                  <w:tcW w:w="776" w:type="dxa"/>
                  <w:tcBorders>
                    <w:tl2br w:val="nil"/>
                    <w:tr2bl w:val="nil"/>
                  </w:tcBorders>
                  <w:noWrap w:val="0"/>
                  <w:vAlign w:val="center"/>
                </w:tcPr>
                <w:p w14:paraId="59F1A90D">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HW49</w:t>
                  </w:r>
                </w:p>
              </w:tc>
              <w:tc>
                <w:tcPr>
                  <w:tcW w:w="1196" w:type="dxa"/>
                  <w:tcBorders>
                    <w:tl2br w:val="nil"/>
                    <w:tr2bl w:val="nil"/>
                  </w:tcBorders>
                  <w:noWrap w:val="0"/>
                  <w:vAlign w:val="center"/>
                </w:tcPr>
                <w:p w14:paraId="21582F11">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900-041-49</w:t>
                  </w:r>
                </w:p>
              </w:tc>
              <w:tc>
                <w:tcPr>
                  <w:tcW w:w="429" w:type="dxa"/>
                  <w:tcBorders>
                    <w:tl2br w:val="nil"/>
                    <w:tr2bl w:val="nil"/>
                  </w:tcBorders>
                  <w:noWrap w:val="0"/>
                  <w:vAlign w:val="center"/>
                </w:tcPr>
                <w:p w14:paraId="2A883A82">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固态</w:t>
                  </w:r>
                </w:p>
              </w:tc>
              <w:tc>
                <w:tcPr>
                  <w:tcW w:w="578" w:type="dxa"/>
                  <w:tcBorders>
                    <w:tl2br w:val="nil"/>
                    <w:tr2bl w:val="nil"/>
                  </w:tcBorders>
                  <w:noWrap w:val="0"/>
                  <w:vAlign w:val="center"/>
                </w:tcPr>
                <w:p w14:paraId="425823CD">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T/In</w:t>
                  </w:r>
                </w:p>
              </w:tc>
              <w:tc>
                <w:tcPr>
                  <w:tcW w:w="459" w:type="dxa"/>
                  <w:tcBorders>
                    <w:tl2br w:val="nil"/>
                    <w:tr2bl w:val="nil"/>
                  </w:tcBorders>
                  <w:noWrap w:val="0"/>
                  <w:vAlign w:val="center"/>
                </w:tcPr>
                <w:p w14:paraId="23683BB1">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半年</w:t>
                  </w:r>
                </w:p>
              </w:tc>
              <w:tc>
                <w:tcPr>
                  <w:tcW w:w="446" w:type="dxa"/>
                  <w:tcBorders>
                    <w:tl2br w:val="nil"/>
                    <w:tr2bl w:val="nil"/>
                  </w:tcBorders>
                  <w:noWrap w:val="0"/>
                  <w:vAlign w:val="center"/>
                </w:tcPr>
                <w:p w14:paraId="497B4597">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类比法</w:t>
                  </w:r>
                </w:p>
              </w:tc>
              <w:tc>
                <w:tcPr>
                  <w:tcW w:w="689" w:type="dxa"/>
                  <w:tcBorders>
                    <w:tl2br w:val="nil"/>
                    <w:tr2bl w:val="nil"/>
                  </w:tcBorders>
                  <w:noWrap w:val="0"/>
                  <w:vAlign w:val="center"/>
                </w:tcPr>
                <w:p w14:paraId="19B7073E">
                  <w:pPr>
                    <w:pStyle w:val="56"/>
                    <w:keepNext w:val="0"/>
                    <w:keepLines w:val="0"/>
                    <w:suppressLineNumbers w:val="0"/>
                    <w:bidi w:val="0"/>
                    <w:spacing w:before="0" w:beforeAutospacing="0" w:after="0" w:afterAutospacing="0"/>
                    <w:ind w:left="0" w:right="0"/>
                    <w:rPr>
                      <w:rFonts w:hint="eastAsia" w:cs="Times New Roman"/>
                      <w:color w:val="auto"/>
                      <w:lang w:eastAsia="zh-CN"/>
                    </w:rPr>
                  </w:pPr>
                  <w:r>
                    <w:rPr>
                      <w:rFonts w:hint="default" w:cs="Times New Roman"/>
                      <w:color w:val="auto"/>
                    </w:rPr>
                    <w:t>0.</w:t>
                  </w:r>
                  <w:r>
                    <w:rPr>
                      <w:rFonts w:hint="eastAsia" w:cs="Times New Roman"/>
                      <w:color w:val="auto"/>
                      <w:lang w:val="en-US" w:eastAsia="zh-CN"/>
                    </w:rPr>
                    <w:t>4</w:t>
                  </w:r>
                </w:p>
              </w:tc>
              <w:tc>
                <w:tcPr>
                  <w:tcW w:w="498" w:type="dxa"/>
                  <w:tcBorders>
                    <w:tl2br w:val="nil"/>
                    <w:tr2bl w:val="nil"/>
                  </w:tcBorders>
                  <w:noWrap w:val="0"/>
                  <w:vAlign w:val="center"/>
                </w:tcPr>
                <w:p w14:paraId="0A4A8375">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危废暂存区暂存</w:t>
                  </w:r>
                </w:p>
              </w:tc>
              <w:tc>
                <w:tcPr>
                  <w:tcW w:w="699" w:type="dxa"/>
                  <w:tcBorders>
                    <w:tl2br w:val="nil"/>
                    <w:tr2bl w:val="nil"/>
                  </w:tcBorders>
                  <w:noWrap w:val="0"/>
                  <w:vAlign w:val="center"/>
                </w:tcPr>
                <w:p w14:paraId="44B1EB81">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交有危废处置资质单位处置</w:t>
                  </w:r>
                </w:p>
              </w:tc>
              <w:tc>
                <w:tcPr>
                  <w:tcW w:w="689" w:type="dxa"/>
                  <w:tcBorders>
                    <w:tl2br w:val="nil"/>
                    <w:tr2bl w:val="nil"/>
                  </w:tcBorders>
                  <w:noWrap w:val="0"/>
                  <w:vAlign w:val="center"/>
                </w:tcPr>
                <w:p w14:paraId="28D54941">
                  <w:pPr>
                    <w:pStyle w:val="56"/>
                    <w:keepNext w:val="0"/>
                    <w:keepLines w:val="0"/>
                    <w:suppressLineNumbers w:val="0"/>
                    <w:bidi w:val="0"/>
                    <w:spacing w:before="0" w:beforeAutospacing="0" w:after="0" w:afterAutospacing="0"/>
                    <w:ind w:left="0" w:right="0" w:firstLine="0" w:firstLineChars="0"/>
                    <w:rPr>
                      <w:rFonts w:hint="eastAsia" w:cs="Times New Roman"/>
                      <w:color w:val="auto"/>
                      <w:lang w:eastAsia="zh-CN"/>
                    </w:rPr>
                  </w:pPr>
                  <w:r>
                    <w:rPr>
                      <w:rFonts w:hint="default" w:cs="Times New Roman"/>
                      <w:color w:val="auto"/>
                    </w:rPr>
                    <w:t>0.</w:t>
                  </w:r>
                  <w:r>
                    <w:rPr>
                      <w:rFonts w:hint="eastAsia" w:cs="Times New Roman"/>
                      <w:color w:val="auto"/>
                      <w:lang w:val="en-US" w:eastAsia="zh-CN"/>
                    </w:rPr>
                    <w:t>4</w:t>
                  </w:r>
                </w:p>
              </w:tc>
            </w:tr>
            <w:tr w14:paraId="60B1783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 w:hRule="atLeast"/>
              </w:trPr>
              <w:tc>
                <w:tcPr>
                  <w:tcW w:w="7854" w:type="dxa"/>
                  <w:gridSpan w:val="13"/>
                  <w:tcBorders>
                    <w:tl2br w:val="nil"/>
                    <w:tr2bl w:val="nil"/>
                  </w:tcBorders>
                  <w:noWrap w:val="0"/>
                  <w:vAlign w:val="center"/>
                </w:tcPr>
                <w:p w14:paraId="5142A400">
                  <w:pPr>
                    <w:pStyle w:val="56"/>
                    <w:keepNext w:val="0"/>
                    <w:keepLines w:val="0"/>
                    <w:suppressLineNumbers w:val="0"/>
                    <w:bidi w:val="0"/>
                    <w:spacing w:before="0" w:beforeAutospacing="0" w:after="0" w:afterAutospacing="0"/>
                    <w:ind w:left="0" w:right="0"/>
                    <w:jc w:val="left"/>
                    <w:rPr>
                      <w:rFonts w:hint="eastAsia" w:cs="Times New Roman"/>
                      <w:color w:val="auto"/>
                    </w:rPr>
                  </w:pPr>
                  <w:r>
                    <w:rPr>
                      <w:rFonts w:hint="eastAsia" w:cs="Times New Roman"/>
                      <w:color w:val="auto"/>
                      <w:lang w:eastAsia="zh-CN"/>
                    </w:rPr>
                    <w:t>注：</w:t>
                  </w:r>
                  <w:r>
                    <w:rPr>
                      <w:rFonts w:hint="eastAsia" w:cs="Times New Roman"/>
                      <w:color w:val="auto"/>
                      <w:lang w:val="en-US" w:eastAsia="zh-CN"/>
                    </w:rPr>
                    <w:t>1.</w:t>
                  </w:r>
                  <w:r>
                    <w:rPr>
                      <w:rFonts w:hint="eastAsia" w:cs="Times New Roman"/>
                      <w:color w:val="auto"/>
                    </w:rPr>
                    <w:t>对生态环境和人体健康具有有害影响的毒性（Toxicity, T）、腐蚀性（Corrosivity, C）、易燃性（Ignitability, I）、反应性（Reactivity, R）和感染性（Infectivity, In）</w:t>
                  </w:r>
                </w:p>
                <w:p w14:paraId="1F8AC3D1">
                  <w:pPr>
                    <w:keepNext w:val="0"/>
                    <w:keepLines w:val="0"/>
                    <w:suppressLineNumbers w:val="0"/>
                    <w:spacing w:before="0" w:beforeAutospacing="0" w:after="0" w:afterAutospacing="0"/>
                    <w:ind w:left="0" w:right="0"/>
                    <w:rPr>
                      <w:rFonts w:hint="default" w:eastAsia="宋体"/>
                      <w:color w:val="auto"/>
                      <w:lang w:val="en-US" w:eastAsia="zh-CN"/>
                    </w:rPr>
                  </w:pPr>
                  <w:r>
                    <w:rPr>
                      <w:rFonts w:hint="eastAsia" w:cs="Times New Roman"/>
                      <w:color w:val="auto"/>
                      <w:lang w:val="en-US" w:eastAsia="zh-CN"/>
                    </w:rPr>
                    <w:t>2.项目拟采用电子台账，项目原料固废，同样单独记录。</w:t>
                  </w:r>
                </w:p>
              </w:tc>
            </w:tr>
          </w:tbl>
          <w:p w14:paraId="0F9D7916">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危险废物汇总表</w:t>
            </w:r>
          </w:p>
          <w:tbl>
            <w:tblPr>
              <w:tblStyle w:val="28"/>
              <w:tblW w:w="8135"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849"/>
              <w:gridCol w:w="1437"/>
              <w:gridCol w:w="703"/>
              <w:gridCol w:w="673"/>
              <w:gridCol w:w="813"/>
              <w:gridCol w:w="472"/>
              <w:gridCol w:w="575"/>
              <w:gridCol w:w="446"/>
              <w:gridCol w:w="611"/>
              <w:gridCol w:w="780"/>
            </w:tblGrid>
            <w:tr w14:paraId="1CF40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1008" w:type="dxa"/>
                  <w:tcBorders>
                    <w:bottom w:val="single" w:color="auto" w:sz="4" w:space="0"/>
                    <w:right w:val="single" w:color="auto" w:sz="4" w:space="0"/>
                    <w:tl2br w:val="nil"/>
                    <w:tr2bl w:val="nil"/>
                  </w:tcBorders>
                  <w:noWrap w:val="0"/>
                  <w:vAlign w:val="center"/>
                </w:tcPr>
                <w:p w14:paraId="2064EF2D">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危险废物名称</w:t>
                  </w:r>
                </w:p>
              </w:tc>
              <w:tc>
                <w:tcPr>
                  <w:tcW w:w="698" w:type="dxa"/>
                  <w:tcBorders>
                    <w:left w:val="single" w:color="auto" w:sz="4" w:space="0"/>
                    <w:bottom w:val="single" w:color="auto" w:sz="4" w:space="0"/>
                    <w:right w:val="single" w:color="auto" w:sz="4" w:space="0"/>
                    <w:tl2br w:val="nil"/>
                    <w:tr2bl w:val="nil"/>
                  </w:tcBorders>
                  <w:noWrap w:val="0"/>
                  <w:vAlign w:val="center"/>
                </w:tcPr>
                <w:p w14:paraId="26CFD395">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危险废物代码</w:t>
                  </w:r>
                </w:p>
              </w:tc>
              <w:tc>
                <w:tcPr>
                  <w:tcW w:w="841" w:type="dxa"/>
                  <w:tcBorders>
                    <w:left w:val="single" w:color="auto" w:sz="4" w:space="0"/>
                    <w:bottom w:val="single" w:color="auto" w:sz="4" w:space="0"/>
                    <w:right w:val="single" w:color="auto" w:sz="4" w:space="0"/>
                    <w:tl2br w:val="nil"/>
                    <w:tr2bl w:val="nil"/>
                  </w:tcBorders>
                  <w:noWrap w:val="0"/>
                  <w:vAlign w:val="center"/>
                </w:tcPr>
                <w:p w14:paraId="3287085E">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废物代码</w:t>
                  </w:r>
                </w:p>
              </w:tc>
              <w:tc>
                <w:tcPr>
                  <w:tcW w:w="887" w:type="dxa"/>
                  <w:tcBorders>
                    <w:left w:val="single" w:color="auto" w:sz="4" w:space="0"/>
                    <w:bottom w:val="single" w:color="auto" w:sz="4" w:space="0"/>
                    <w:right w:val="single" w:color="auto" w:sz="4" w:space="0"/>
                    <w:tl2br w:val="nil"/>
                    <w:tr2bl w:val="nil"/>
                  </w:tcBorders>
                  <w:noWrap w:val="0"/>
                  <w:vAlign w:val="center"/>
                </w:tcPr>
                <w:p w14:paraId="38387A63">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主要成分</w:t>
                  </w:r>
                </w:p>
              </w:tc>
              <w:tc>
                <w:tcPr>
                  <w:tcW w:w="755" w:type="dxa"/>
                  <w:tcBorders>
                    <w:left w:val="single" w:color="auto" w:sz="4" w:space="0"/>
                    <w:bottom w:val="single" w:color="auto" w:sz="4" w:space="0"/>
                    <w:right w:val="single" w:color="auto" w:sz="4" w:space="0"/>
                    <w:tl2br w:val="nil"/>
                    <w:tr2bl w:val="nil"/>
                  </w:tcBorders>
                  <w:noWrap w:val="0"/>
                  <w:vAlign w:val="center"/>
                </w:tcPr>
                <w:p w14:paraId="2F51B43D">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产生量</w:t>
                  </w:r>
                </w:p>
                <w:p w14:paraId="6AEE9D12">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t/a</w:t>
                  </w:r>
                </w:p>
              </w:tc>
              <w:tc>
                <w:tcPr>
                  <w:tcW w:w="834" w:type="dxa"/>
                  <w:tcBorders>
                    <w:left w:val="single" w:color="auto" w:sz="4" w:space="0"/>
                    <w:bottom w:val="single" w:color="auto" w:sz="4" w:space="0"/>
                    <w:right w:val="single" w:color="auto" w:sz="4" w:space="0"/>
                    <w:tl2br w:val="nil"/>
                    <w:tr2bl w:val="nil"/>
                  </w:tcBorders>
                  <w:noWrap w:val="0"/>
                  <w:vAlign w:val="center"/>
                </w:tcPr>
                <w:p w14:paraId="4B2CDA0D">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占地面</w:t>
                  </w:r>
                </w:p>
              </w:tc>
              <w:tc>
                <w:tcPr>
                  <w:tcW w:w="503" w:type="dxa"/>
                  <w:tcBorders>
                    <w:left w:val="single" w:color="auto" w:sz="4" w:space="0"/>
                    <w:bottom w:val="single" w:color="auto" w:sz="4" w:space="0"/>
                    <w:right w:val="single" w:color="auto" w:sz="4" w:space="0"/>
                    <w:tl2br w:val="nil"/>
                    <w:tr2bl w:val="nil"/>
                  </w:tcBorders>
                  <w:noWrap w:val="0"/>
                  <w:vAlign w:val="center"/>
                </w:tcPr>
                <w:p w14:paraId="533DD67E">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贮存方式</w:t>
                  </w:r>
                </w:p>
              </w:tc>
              <w:tc>
                <w:tcPr>
                  <w:tcW w:w="673" w:type="dxa"/>
                  <w:tcBorders>
                    <w:left w:val="single" w:color="auto" w:sz="4" w:space="0"/>
                    <w:bottom w:val="single" w:color="auto" w:sz="4" w:space="0"/>
                    <w:right w:val="single" w:color="auto" w:sz="4" w:space="0"/>
                    <w:tl2br w:val="nil"/>
                    <w:tr2bl w:val="nil"/>
                  </w:tcBorders>
                  <w:noWrap w:val="0"/>
                  <w:vAlign w:val="center"/>
                </w:tcPr>
                <w:p w14:paraId="4056FAC9">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贮存能力/t</w:t>
                  </w:r>
                </w:p>
              </w:tc>
              <w:tc>
                <w:tcPr>
                  <w:tcW w:w="460" w:type="dxa"/>
                  <w:tcBorders>
                    <w:left w:val="single" w:color="auto" w:sz="4" w:space="0"/>
                    <w:bottom w:val="single" w:color="auto" w:sz="4" w:space="0"/>
                    <w:right w:val="single" w:color="auto" w:sz="4" w:space="0"/>
                    <w:tl2br w:val="nil"/>
                    <w:tr2bl w:val="nil"/>
                  </w:tcBorders>
                  <w:noWrap w:val="0"/>
                  <w:vAlign w:val="center"/>
                </w:tcPr>
                <w:p w14:paraId="1B7D19D9">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贮存周期</w:t>
                  </w:r>
                </w:p>
              </w:tc>
              <w:tc>
                <w:tcPr>
                  <w:tcW w:w="603" w:type="dxa"/>
                  <w:tcBorders>
                    <w:left w:val="single" w:color="auto" w:sz="4" w:space="0"/>
                    <w:bottom w:val="single" w:color="auto" w:sz="4" w:space="0"/>
                    <w:right w:val="single" w:color="auto" w:sz="4" w:space="0"/>
                    <w:tl2br w:val="nil"/>
                    <w:tr2bl w:val="nil"/>
                  </w:tcBorders>
                  <w:noWrap w:val="0"/>
                  <w:vAlign w:val="center"/>
                </w:tcPr>
                <w:p w14:paraId="4B3F9A76">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危险特征</w:t>
                  </w:r>
                </w:p>
              </w:tc>
              <w:tc>
                <w:tcPr>
                  <w:tcW w:w="873" w:type="dxa"/>
                  <w:tcBorders>
                    <w:left w:val="single" w:color="auto" w:sz="4" w:space="0"/>
                    <w:bottom w:val="single" w:color="auto" w:sz="4" w:space="0"/>
                    <w:tl2br w:val="nil"/>
                    <w:tr2bl w:val="nil"/>
                  </w:tcBorders>
                  <w:noWrap w:val="0"/>
                  <w:vAlign w:val="center"/>
                </w:tcPr>
                <w:p w14:paraId="12A22E75">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污染防治措施</w:t>
                  </w:r>
                </w:p>
              </w:tc>
            </w:tr>
            <w:tr w14:paraId="13CBD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trPr>
              <w:tc>
                <w:tcPr>
                  <w:tcW w:w="1008" w:type="dxa"/>
                  <w:tcBorders>
                    <w:top w:val="single" w:color="auto" w:sz="4" w:space="0"/>
                    <w:bottom w:val="single" w:color="auto" w:sz="4" w:space="0"/>
                    <w:right w:val="single" w:color="auto" w:sz="4" w:space="0"/>
                    <w:tl2br w:val="nil"/>
                    <w:tr2bl w:val="nil"/>
                  </w:tcBorders>
                  <w:noWrap w:val="0"/>
                  <w:vAlign w:val="center"/>
                </w:tcPr>
                <w:p w14:paraId="56E6A8A6">
                  <w:pPr>
                    <w:pStyle w:val="56"/>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cs="Times New Roman"/>
                      <w:color w:val="auto"/>
                    </w:rPr>
                  </w:pPr>
                  <w:r>
                    <w:rPr>
                      <w:rFonts w:hint="eastAsia" w:cs="Times New Roman"/>
                      <w:color w:val="auto"/>
                      <w:lang w:eastAsia="zh-CN"/>
                    </w:rPr>
                    <w:t>废润滑油</w:t>
                  </w:r>
                </w:p>
              </w:tc>
              <w:tc>
                <w:tcPr>
                  <w:tcW w:w="6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B486698">
                  <w:pPr>
                    <w:pStyle w:val="56"/>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cs="Times New Roman"/>
                      <w:color w:val="auto"/>
                    </w:rPr>
                  </w:pPr>
                  <w:r>
                    <w:rPr>
                      <w:rFonts w:hint="eastAsia" w:cs="Times New Roman"/>
                      <w:color w:val="auto"/>
                      <w:lang w:val="en-US" w:eastAsia="zh-CN"/>
                    </w:rPr>
                    <w:t>HW08</w:t>
                  </w:r>
                </w:p>
              </w:tc>
              <w:tc>
                <w:tcPr>
                  <w:tcW w:w="8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08B51F2">
                  <w:pPr>
                    <w:pStyle w:val="56"/>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cs="Times New Roman"/>
                      <w:color w:val="auto"/>
                    </w:rPr>
                  </w:pPr>
                  <w:r>
                    <w:rPr>
                      <w:rFonts w:hint="default" w:cs="Times New Roman"/>
                      <w:color w:val="auto"/>
                    </w:rPr>
                    <w:t>900-217-08</w:t>
                  </w:r>
                </w:p>
              </w:tc>
              <w:tc>
                <w:tcPr>
                  <w:tcW w:w="88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6189034">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油类物质</w:t>
                  </w:r>
                </w:p>
              </w:tc>
              <w:tc>
                <w:tcPr>
                  <w:tcW w:w="75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0165C37">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cs="Times New Roman"/>
                      <w:color w:val="auto"/>
                    </w:rPr>
                    <w:t>0.</w:t>
                  </w:r>
                  <w:r>
                    <w:rPr>
                      <w:rFonts w:hint="eastAsia" w:ascii="Times New Roman" w:hAnsi="Times New Roman" w:cs="Times New Roman"/>
                      <w:color w:val="auto"/>
                      <w:lang w:val="en-US" w:eastAsia="zh-CN"/>
                    </w:rPr>
                    <w:t>1</w:t>
                  </w:r>
                </w:p>
              </w:tc>
              <w:tc>
                <w:tcPr>
                  <w:tcW w:w="83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3DD87C30">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10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p>
              </w:tc>
              <w:tc>
                <w:tcPr>
                  <w:tcW w:w="50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2F438C6">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桶装</w:t>
                  </w:r>
                </w:p>
              </w:tc>
              <w:tc>
                <w:tcPr>
                  <w:tcW w:w="673"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2F73840A">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8</w:t>
                  </w:r>
                </w:p>
              </w:tc>
              <w:tc>
                <w:tcPr>
                  <w:tcW w:w="46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6BDD222B">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三个月</w:t>
                  </w:r>
                </w:p>
              </w:tc>
              <w:tc>
                <w:tcPr>
                  <w:tcW w:w="60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2D518A9">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T</w:t>
                  </w:r>
                  <w:r>
                    <w:rPr>
                      <w:rFonts w:hint="eastAsia" w:cs="Times New Roman"/>
                      <w:color w:val="auto"/>
                      <w:lang w:val="en-US" w:eastAsia="zh-CN"/>
                    </w:rPr>
                    <w:t xml:space="preserve">, </w:t>
                  </w:r>
                  <w:r>
                    <w:rPr>
                      <w:rFonts w:hint="eastAsia" w:ascii="Times New Roman" w:hAnsi="Times New Roman" w:cs="Times New Roman"/>
                      <w:color w:val="auto"/>
                      <w:lang w:val="en-US" w:eastAsia="zh-CN"/>
                    </w:rPr>
                    <w:t>I</w:t>
                  </w:r>
                </w:p>
              </w:tc>
              <w:tc>
                <w:tcPr>
                  <w:tcW w:w="873" w:type="dxa"/>
                  <w:vMerge w:val="restart"/>
                  <w:tcBorders>
                    <w:top w:val="single" w:color="auto" w:sz="4" w:space="0"/>
                    <w:left w:val="single" w:color="auto" w:sz="4" w:space="0"/>
                    <w:bottom w:val="single" w:color="auto" w:sz="4" w:space="0"/>
                    <w:tl2br w:val="nil"/>
                    <w:tr2bl w:val="nil"/>
                  </w:tcBorders>
                  <w:noWrap w:val="0"/>
                  <w:vAlign w:val="center"/>
                </w:tcPr>
                <w:p w14:paraId="27F562FE">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收集后暂存于危险废物暂存间，定期委托有资质单位处置</w:t>
                  </w:r>
                </w:p>
              </w:tc>
            </w:tr>
            <w:tr w14:paraId="17F79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008" w:type="dxa"/>
                  <w:tcBorders>
                    <w:top w:val="single" w:color="auto" w:sz="4" w:space="0"/>
                    <w:right w:val="single" w:color="auto" w:sz="4" w:space="0"/>
                    <w:tl2br w:val="nil"/>
                    <w:tr2bl w:val="nil"/>
                  </w:tcBorders>
                  <w:noWrap w:val="0"/>
                  <w:vAlign w:val="center"/>
                </w:tcPr>
                <w:p w14:paraId="369FF9F4">
                  <w:pPr>
                    <w:pStyle w:val="56"/>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cs="Times New Roman"/>
                      <w:color w:val="auto"/>
                    </w:rPr>
                  </w:pPr>
                  <w:r>
                    <w:rPr>
                      <w:rFonts w:hint="default" w:cs="Times New Roman"/>
                      <w:color w:val="auto"/>
                    </w:rPr>
                    <w:t>废含油抹布</w:t>
                  </w:r>
                </w:p>
              </w:tc>
              <w:tc>
                <w:tcPr>
                  <w:tcW w:w="698" w:type="dxa"/>
                  <w:tcBorders>
                    <w:top w:val="single" w:color="auto" w:sz="4" w:space="0"/>
                    <w:left w:val="single" w:color="auto" w:sz="4" w:space="0"/>
                    <w:right w:val="single" w:color="auto" w:sz="4" w:space="0"/>
                    <w:tl2br w:val="nil"/>
                    <w:tr2bl w:val="nil"/>
                  </w:tcBorders>
                  <w:noWrap w:val="0"/>
                  <w:vAlign w:val="center"/>
                </w:tcPr>
                <w:p w14:paraId="3810FD40">
                  <w:pPr>
                    <w:pStyle w:val="56"/>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cs="Times New Roman"/>
                      <w:color w:val="auto"/>
                    </w:rPr>
                  </w:pPr>
                  <w:r>
                    <w:rPr>
                      <w:rFonts w:hint="eastAsia" w:cs="Times New Roman"/>
                      <w:color w:val="auto"/>
                      <w:lang w:val="en-US" w:eastAsia="zh-CN"/>
                    </w:rPr>
                    <w:t>HW49</w:t>
                  </w:r>
                </w:p>
              </w:tc>
              <w:tc>
                <w:tcPr>
                  <w:tcW w:w="841" w:type="dxa"/>
                  <w:tcBorders>
                    <w:top w:val="single" w:color="auto" w:sz="4" w:space="0"/>
                    <w:left w:val="single" w:color="auto" w:sz="4" w:space="0"/>
                    <w:right w:val="single" w:color="auto" w:sz="4" w:space="0"/>
                    <w:tl2br w:val="nil"/>
                    <w:tr2bl w:val="nil"/>
                  </w:tcBorders>
                  <w:noWrap w:val="0"/>
                  <w:vAlign w:val="center"/>
                </w:tcPr>
                <w:p w14:paraId="2849E041">
                  <w:pPr>
                    <w:pStyle w:val="56"/>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cs="Times New Roman"/>
                      <w:color w:val="auto"/>
                    </w:rPr>
                  </w:pPr>
                  <w:r>
                    <w:rPr>
                      <w:rFonts w:hint="default" w:cs="Times New Roman"/>
                      <w:color w:val="auto"/>
                    </w:rPr>
                    <w:t>900-041-49</w:t>
                  </w:r>
                </w:p>
              </w:tc>
              <w:tc>
                <w:tcPr>
                  <w:tcW w:w="887" w:type="dxa"/>
                  <w:tcBorders>
                    <w:top w:val="single" w:color="auto" w:sz="4" w:space="0"/>
                    <w:left w:val="single" w:color="auto" w:sz="4" w:space="0"/>
                    <w:right w:val="single" w:color="auto" w:sz="4" w:space="0"/>
                    <w:tl2br w:val="nil"/>
                    <w:tr2bl w:val="nil"/>
                  </w:tcBorders>
                  <w:noWrap w:val="0"/>
                  <w:vAlign w:val="center"/>
                </w:tcPr>
                <w:p w14:paraId="6CD55834">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混合物</w:t>
                  </w:r>
                </w:p>
              </w:tc>
              <w:tc>
                <w:tcPr>
                  <w:tcW w:w="755" w:type="dxa"/>
                  <w:tcBorders>
                    <w:top w:val="single" w:color="auto" w:sz="4" w:space="0"/>
                    <w:left w:val="single" w:color="auto" w:sz="4" w:space="0"/>
                    <w:right w:val="single" w:color="auto" w:sz="4" w:space="0"/>
                    <w:tl2br w:val="nil"/>
                    <w:tr2bl w:val="nil"/>
                  </w:tcBorders>
                  <w:noWrap w:val="0"/>
                  <w:vAlign w:val="center"/>
                </w:tcPr>
                <w:p w14:paraId="3B8DD9D4">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cs="Times New Roman"/>
                      <w:color w:val="auto"/>
                    </w:rPr>
                    <w:t>0.</w:t>
                  </w:r>
                  <w:r>
                    <w:rPr>
                      <w:rFonts w:hint="eastAsia" w:ascii="Times New Roman" w:hAnsi="Times New Roman" w:cs="Times New Roman"/>
                      <w:color w:val="auto"/>
                      <w:lang w:val="en-US" w:eastAsia="zh-CN"/>
                    </w:rPr>
                    <w:t>4</w:t>
                  </w:r>
                </w:p>
              </w:tc>
              <w:tc>
                <w:tcPr>
                  <w:tcW w:w="834" w:type="dxa"/>
                  <w:vMerge w:val="continue"/>
                  <w:tcBorders>
                    <w:top w:val="single" w:color="auto" w:sz="4" w:space="0"/>
                    <w:left w:val="single" w:color="auto" w:sz="4" w:space="0"/>
                    <w:right w:val="single" w:color="auto" w:sz="4" w:space="0"/>
                    <w:tl2br w:val="nil"/>
                    <w:tr2bl w:val="nil"/>
                  </w:tcBorders>
                  <w:noWrap w:val="0"/>
                  <w:vAlign w:val="center"/>
                </w:tcPr>
                <w:p w14:paraId="74AE7862">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p>
              </w:tc>
              <w:tc>
                <w:tcPr>
                  <w:tcW w:w="503" w:type="dxa"/>
                  <w:tcBorders>
                    <w:top w:val="single" w:color="auto" w:sz="4" w:space="0"/>
                    <w:left w:val="single" w:color="auto" w:sz="4" w:space="0"/>
                    <w:right w:val="single" w:color="auto" w:sz="4" w:space="0"/>
                    <w:tl2br w:val="nil"/>
                    <w:tr2bl w:val="nil"/>
                  </w:tcBorders>
                  <w:noWrap w:val="0"/>
                  <w:vAlign w:val="center"/>
                </w:tcPr>
                <w:p w14:paraId="15869289">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桶装</w:t>
                  </w:r>
                </w:p>
              </w:tc>
              <w:tc>
                <w:tcPr>
                  <w:tcW w:w="673" w:type="dxa"/>
                  <w:vMerge w:val="continue"/>
                  <w:tcBorders>
                    <w:top w:val="single" w:color="auto" w:sz="4" w:space="0"/>
                    <w:left w:val="single" w:color="auto" w:sz="4" w:space="0"/>
                    <w:right w:val="single" w:color="auto" w:sz="4" w:space="0"/>
                    <w:tl2br w:val="nil"/>
                    <w:tr2bl w:val="nil"/>
                  </w:tcBorders>
                  <w:noWrap w:val="0"/>
                  <w:vAlign w:val="center"/>
                </w:tcPr>
                <w:p w14:paraId="4DCC89CE">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p>
              </w:tc>
              <w:tc>
                <w:tcPr>
                  <w:tcW w:w="460" w:type="dxa"/>
                  <w:vMerge w:val="continue"/>
                  <w:tcBorders>
                    <w:top w:val="single" w:color="auto" w:sz="4" w:space="0"/>
                    <w:left w:val="single" w:color="auto" w:sz="4" w:space="0"/>
                    <w:right w:val="single" w:color="auto" w:sz="4" w:space="0"/>
                    <w:tl2br w:val="nil"/>
                    <w:tr2bl w:val="nil"/>
                  </w:tcBorders>
                  <w:noWrap w:val="0"/>
                  <w:vAlign w:val="center"/>
                </w:tcPr>
                <w:p w14:paraId="09537A25">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p>
              </w:tc>
              <w:tc>
                <w:tcPr>
                  <w:tcW w:w="603" w:type="dxa"/>
                  <w:tcBorders>
                    <w:top w:val="single" w:color="auto" w:sz="4" w:space="0"/>
                    <w:left w:val="single" w:color="auto" w:sz="4" w:space="0"/>
                    <w:right w:val="single" w:color="auto" w:sz="4" w:space="0"/>
                    <w:tl2br w:val="nil"/>
                    <w:tr2bl w:val="nil"/>
                  </w:tcBorders>
                  <w:noWrap w:val="0"/>
                  <w:vAlign w:val="center"/>
                </w:tcPr>
                <w:p w14:paraId="2B3D7908">
                  <w:pPr>
                    <w:pStyle w:val="56"/>
                    <w:keepNext w:val="0"/>
                    <w:keepLines w:val="0"/>
                    <w:suppressLineNumbers w:val="0"/>
                    <w:bidi w:val="0"/>
                    <w:spacing w:before="0" w:beforeAutospacing="0" w:after="0" w:afterAutospacing="0"/>
                    <w:ind w:left="0" w:right="0"/>
                    <w:rPr>
                      <w:rFonts w:hint="eastAsia" w:ascii="Times New Roman" w:hAnsi="Times New Roman" w:cs="Times New Roman"/>
                      <w:color w:val="auto"/>
                    </w:rPr>
                  </w:pPr>
                  <w:r>
                    <w:rPr>
                      <w:rFonts w:hint="eastAsia" w:ascii="Times New Roman" w:hAnsi="Times New Roman" w:cs="Times New Roman"/>
                      <w:color w:val="auto"/>
                    </w:rPr>
                    <w:t>T/In</w:t>
                  </w:r>
                </w:p>
              </w:tc>
              <w:tc>
                <w:tcPr>
                  <w:tcW w:w="873" w:type="dxa"/>
                  <w:vMerge w:val="continue"/>
                  <w:tcBorders>
                    <w:top w:val="single" w:color="auto" w:sz="4" w:space="0"/>
                    <w:left w:val="single" w:color="auto" w:sz="4" w:space="0"/>
                    <w:tl2br w:val="nil"/>
                    <w:tr2bl w:val="nil"/>
                  </w:tcBorders>
                  <w:noWrap w:val="0"/>
                  <w:vAlign w:val="center"/>
                </w:tcPr>
                <w:p w14:paraId="482172E9">
                  <w:pPr>
                    <w:pStyle w:val="6"/>
                    <w:keepNext w:val="0"/>
                    <w:keepLines w:val="0"/>
                    <w:suppressLineNumbers w:val="0"/>
                    <w:spacing w:before="0" w:beforeLines="0" w:beforeAutospacing="0" w:after="0" w:afterLines="0" w:afterAutospacing="0" w:line="240" w:lineRule="auto"/>
                    <w:ind w:left="0" w:right="0" w:firstLine="0" w:firstLineChars="0"/>
                    <w:jc w:val="center"/>
                    <w:rPr>
                      <w:rFonts w:hint="eastAsia" w:hAnsi="Times New Roman"/>
                      <w:color w:val="auto"/>
                      <w:kern w:val="0"/>
                      <w:sz w:val="21"/>
                      <w:szCs w:val="21"/>
                    </w:rPr>
                  </w:pPr>
                </w:p>
              </w:tc>
            </w:tr>
          </w:tbl>
          <w:p w14:paraId="71D7BB98">
            <w:pPr>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rPr>
              <w:t>（</w:t>
            </w:r>
            <w:r>
              <w:rPr>
                <w:rFonts w:hint="eastAsia" w:cs="Times New Roman"/>
                <w:color w:val="auto"/>
                <w:lang w:val="en-US" w:eastAsia="zh-CN"/>
              </w:rPr>
              <w:t>4</w:t>
            </w:r>
            <w:r>
              <w:rPr>
                <w:rFonts w:hint="eastAsia" w:cs="Times New Roman"/>
                <w:color w:val="auto"/>
              </w:rPr>
              <w:t>）固体废物环境影响分析</w:t>
            </w:r>
          </w:p>
          <w:p w14:paraId="4C0D7B61">
            <w:pPr>
              <w:pStyle w:val="5"/>
              <w:numPr>
                <w:ilvl w:val="0"/>
                <w:numId w:val="0"/>
              </w:numPr>
              <w:suppressLineNumbers w:val="0"/>
              <w:spacing w:before="0" w:beforeLines="0" w:beforeAutospacing="0" w:after="0" w:afterLines="0" w:afterAutospacing="0"/>
              <w:ind w:left="0" w:leftChars="0" w:right="0" w:firstLine="480" w:firstLineChars="200"/>
              <w:rPr>
                <w:rFonts w:hint="default" w:ascii="Times New Roman" w:hAnsi="Times New Roman" w:cs="Times New Roman"/>
                <w:color w:val="auto"/>
                <w:sz w:val="24"/>
                <w:szCs w:val="24"/>
              </w:rPr>
            </w:pP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环境管理要求</w:t>
            </w:r>
          </w:p>
          <w:p w14:paraId="2448A2D3">
            <w:pPr>
              <w:keepNext w:val="0"/>
              <w:keepLines w:val="0"/>
              <w:suppressLineNumbers w:val="0"/>
              <w:spacing w:before="0" w:beforeLines="0" w:beforeAutospacing="0" w:after="0" w:afterLines="0" w:afterAutospacing="0"/>
              <w:ind w:left="0" w:right="0"/>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本项目建设一般固废暂存间对各生产固废分别进行暂存，一般固废暂存间按照《一般工业固体废物贮存和填埋污染控制标准》（GB18599-2020）的要求建设，禁止危险废物和生活垃圾混入一般固废间，地面做硬化、防渗处理。</w:t>
            </w:r>
            <w:r>
              <w:rPr>
                <w:rFonts w:hint="eastAsia" w:ascii="Times New Roman" w:hAnsi="Times New Roman" w:eastAsia="宋体" w:cs="Times New Roman"/>
                <w:color w:val="auto"/>
                <w:sz w:val="24"/>
                <w:szCs w:val="24"/>
                <w:lang w:val="en-US" w:eastAsia="zh-CN"/>
              </w:rPr>
              <w:t>分区贮存应满足以下要求</w:t>
            </w:r>
          </w:p>
          <w:p w14:paraId="76D14928">
            <w:pPr>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物理隔离</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不同类别、特性、形态的固废必须在物理空间上完全分开，防止混杂、交叉污染或发生不良反应。</w:t>
            </w:r>
          </w:p>
          <w:p w14:paraId="50BE52B2">
            <w:pPr>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标识清晰</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每个区域应有明确、规范、不易脱落的标识牌，标明废物类别、代码、主要成分、注意事项、贮存要求等，</w:t>
            </w:r>
          </w:p>
          <w:p w14:paraId="0601BBFA">
            <w:pPr>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安全规范</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分区设计必须符合消防、安全疏散、操作便捷性及人员职业健康要求流程顺畅</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符合废物从入仓、暂存到出库转运的内部物流路径，减少交叉和二次搬运</w:t>
            </w:r>
            <w:r>
              <w:rPr>
                <w:rFonts w:hint="eastAsia" w:ascii="Times New Roman" w:hAnsi="Times New Roman" w:eastAsia="宋体" w:cs="Times New Roman"/>
                <w:color w:val="auto"/>
                <w:sz w:val="24"/>
                <w:szCs w:val="24"/>
                <w:lang w:eastAsia="zh-CN"/>
              </w:rPr>
              <w:t>，</w:t>
            </w:r>
          </w:p>
          <w:p w14:paraId="33480A6B">
            <w:pPr>
              <w:keepNext w:val="0"/>
              <w:keepLines w:val="0"/>
              <w:numPr>
                <w:ilvl w:val="0"/>
                <w:numId w:val="15"/>
              </w:numPr>
              <w:suppressLineNumbers w:val="0"/>
              <w:spacing w:before="0" w:beforeLines="0" w:beforeAutospacing="0" w:after="0" w:afterLines="0" w:afterAutospacing="0"/>
              <w:ind w:right="0"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暂存间应设置防渗措施</w:t>
            </w:r>
          </w:p>
          <w:p w14:paraId="65F5DEAF">
            <w:pPr>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固体废物暂存间应进行地面硬化处理，并按照相关要求设置防渗层，可选用天然或人工材料构筑防渗层，防渗层的厚度应相当于渗透系数1.0×10</w:t>
            </w:r>
            <w:r>
              <w:rPr>
                <w:rFonts w:hint="default" w:ascii="Times New Roman" w:hAnsi="Times New Roman" w:cs="Times New Roman"/>
                <w:color w:val="auto"/>
                <w:sz w:val="24"/>
                <w:szCs w:val="24"/>
                <w:vertAlign w:val="superscript"/>
              </w:rPr>
              <w:t>-7</w:t>
            </w:r>
            <w:r>
              <w:rPr>
                <w:rFonts w:hint="default" w:ascii="Times New Roman" w:hAnsi="Times New Roman" w:cs="Times New Roman"/>
                <w:color w:val="auto"/>
                <w:sz w:val="24"/>
                <w:szCs w:val="24"/>
              </w:rPr>
              <w:t xml:space="preserve">cm/s和厚度1.5m的粘土层的防渗性能。 </w:t>
            </w:r>
          </w:p>
          <w:p w14:paraId="18E531D8">
            <w:pPr>
              <w:keepNext w:val="0"/>
              <w:keepLines w:val="0"/>
              <w:numPr>
                <w:ilvl w:val="0"/>
                <w:numId w:val="15"/>
              </w:numPr>
              <w:suppressLineNumbers w:val="0"/>
              <w:spacing w:before="0" w:beforeLines="0" w:beforeAutospacing="0" w:after="0" w:afterLines="0" w:afterAutospacing="0"/>
              <w:ind w:right="0"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设置防风、防晒、防雨措施</w:t>
            </w:r>
          </w:p>
          <w:p w14:paraId="3BC0C684">
            <w:pPr>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 xml:space="preserve">暂存间应设置遮阳棚、雨棚等设施，周边应设置导流渠，防止雨水径流进入贮存、处置场内。 </w:t>
            </w:r>
          </w:p>
          <w:p w14:paraId="19130593">
            <w:pPr>
              <w:keepNext w:val="0"/>
              <w:keepLines w:val="0"/>
              <w:numPr>
                <w:ilvl w:val="0"/>
                <w:numId w:val="15"/>
              </w:numPr>
              <w:suppressLineNumbers w:val="0"/>
              <w:spacing w:before="0" w:beforeLines="0" w:beforeAutospacing="0" w:after="0" w:afterLines="0" w:afterAutospacing="0"/>
              <w:ind w:right="0"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设置环境保护图像标志</w:t>
            </w:r>
          </w:p>
          <w:p w14:paraId="4FA82FF9">
            <w:pPr>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按 GB15562.2设置环境保护图形标志。</w:t>
            </w:r>
          </w:p>
          <w:p w14:paraId="40E8D6D2">
            <w:pPr>
              <w:keepNext w:val="0"/>
              <w:keepLines w:val="0"/>
              <w:numPr>
                <w:ilvl w:val="0"/>
                <w:numId w:val="15"/>
              </w:numPr>
              <w:suppressLineNumbers w:val="0"/>
              <w:spacing w:before="0" w:beforeLines="0" w:beforeAutospacing="0" w:after="0" w:afterLines="0" w:afterAutospacing="0"/>
              <w:ind w:right="0"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危险废物</w:t>
            </w:r>
          </w:p>
          <w:p w14:paraId="0A989F29">
            <w:pPr>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拟对各类危险废物进行分类收集、包装，并建设危险废物暂存间，危险废物委托有资质单位处置。项目在危险废物的产生、贮存、运输、处置、利用过程中拟制定严格的管理制度和操作规程，严格按照《危险废物收集、贮存、运输技术规范》（HJ2025-2012）、《危险废物转移联单管理办法》《危险废物规范化管理指标体系》等要求规范化建设和运行。</w:t>
            </w:r>
          </w:p>
          <w:p w14:paraId="3D5CF43E">
            <w:pPr>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项目拟严格按照《危险废物贮存污染控制标准》（GB18597-2023）要求，设置危险废物暂存间，并根据项目危险废物产生量、贮存期限等，分区设置各类危险废物贮存场所的能力，以满足暂存要求</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危废暂存间设置1处</w:t>
            </w:r>
            <w:r>
              <w:rPr>
                <w:rFonts w:hint="default" w:ascii="Times New Roman" w:hAnsi="Times New Roman" w:cs="Times New Roman"/>
                <w:color w:val="auto"/>
                <w:sz w:val="24"/>
                <w:szCs w:val="24"/>
                <w:lang w:val="en-US" w:eastAsia="zh-CN"/>
              </w:rPr>
              <w:t>10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ascii="Times New Roman" w:hAnsi="Times New Roman" w:cs="Times New Roman"/>
                <w:color w:val="auto"/>
                <w:sz w:val="24"/>
                <w:szCs w:val="24"/>
              </w:rPr>
              <w:t>地面采取防渗、防腐及泄漏收集等措施，对各类危险废物采用密闭式包装后分类贮存，其贮存能力可满足暂存要求；严格按危险废物的管理要求，暂存期不超过1年，按规范要求进行转移并委托有资质的单位进行处置。</w:t>
            </w:r>
          </w:p>
          <w:p w14:paraId="10ADF66D">
            <w:pPr>
              <w:keepNext w:val="0"/>
              <w:keepLines w:val="0"/>
              <w:suppressLineNumbers w:val="0"/>
              <w:spacing w:before="0" w:beforeLines="0" w:beforeAutospacing="0" w:after="0" w:afterLines="0" w:afterAutospacing="0"/>
              <w:ind w:left="0" w:right="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综上所述本项目危险废物暂存间满足《危险废物收集、贮存、运输技术规范》（HJ2025-2012）、《危险废物转移联单管理办法》《危险废物规范化管理指标体系》《危险废物贮存污染控制标准》（GB18597-2023）等文件要求。</w:t>
            </w:r>
          </w:p>
          <w:p w14:paraId="0F0E1EE6">
            <w:pPr>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5.地下水、土壤</w:t>
            </w:r>
          </w:p>
          <w:p w14:paraId="71E7AA31">
            <w:pPr>
              <w:keepNext w:val="0"/>
              <w:keepLines w:val="0"/>
              <w:suppressLineNumbers w:val="0"/>
              <w:bidi w:val="0"/>
              <w:spacing w:before="0" w:beforeAutospacing="0" w:after="0" w:afterAutospacing="0"/>
              <w:ind w:left="0" w:right="0"/>
              <w:rPr>
                <w:rFonts w:hint="eastAsia" w:cs="Times New Roman"/>
                <w:color w:val="auto"/>
                <w:lang w:val="en-US" w:eastAsia="zh-CN"/>
              </w:rPr>
            </w:pPr>
            <w:bookmarkStart w:id="8" w:name="_Toc7712"/>
            <w:bookmarkStart w:id="9" w:name="_Toc524021199"/>
            <w:r>
              <w:rPr>
                <w:rFonts w:hint="eastAsia" w:cs="Times New Roman"/>
                <w:color w:val="auto"/>
                <w:lang w:val="en-US" w:eastAsia="zh-CN"/>
              </w:rPr>
              <w:t>本项目属于一般工业固体废物综合利用项目，本评价主要分析地下水、土壤污染途径和防控措施。</w:t>
            </w:r>
          </w:p>
          <w:p w14:paraId="58BB95F9">
            <w:pPr>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（1）污染源分析</w:t>
            </w:r>
          </w:p>
          <w:p w14:paraId="7319024E">
            <w:pPr>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本项目正常工况下不会对土壤、地下水环境造成影响，若发生泄漏时可能造成影响的污染源主要是厂区危险废物暂存区等区域。</w:t>
            </w:r>
          </w:p>
          <w:p w14:paraId="541C98D2">
            <w:pPr>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（2）污染途径分析</w:t>
            </w:r>
          </w:p>
          <w:p w14:paraId="6F154FD0">
            <w:pPr>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本项目对地下水及土壤产生污染的途径主要是渗透污染。渗透污染是导致地下水污染的普遍和主要方式，主要产生可能性来自：</w:t>
            </w:r>
          </w:p>
          <w:p w14:paraId="7E1A8AD7">
            <w:pPr>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项目产生的污水事故情况下排入地表水环境，再渗入补给地下水；或者直接渗入土壤，进而污染土壤及含水层。</w:t>
            </w:r>
          </w:p>
          <w:p w14:paraId="5702D251">
            <w:pPr>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厂区内污水处理设施在未采取防渗防漏措施的情况下，废水将从构筑物下渗入含水层而污染地下水及土壤。</w:t>
            </w:r>
          </w:p>
          <w:p w14:paraId="5190A539">
            <w:pPr>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项目产生的危险废物，在未采取防渗措施的情况下，危险固废液体泄漏，危险废液下渗将引起地下水及土壤污染。</w:t>
            </w:r>
          </w:p>
          <w:p w14:paraId="6F8CFCF5">
            <w:pPr>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（3）地下水及土壤污染防治措施</w:t>
            </w:r>
          </w:p>
          <w:p w14:paraId="09116B7F">
            <w:pPr>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根据“源头控制，分区防治”原则的要求，对污染防治区进行分区防渗，对可能造成污染的区域（污染防治区）地面基础采取防渗处理，阻止污染物下渗进入地下水及土壤环境。将厂区划分为重点防渗区、一般防渗区，针对不同的区域提出相应的防渗措施。</w:t>
            </w:r>
          </w:p>
          <w:p w14:paraId="240549B7">
            <w:pPr>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项目现有工程生产区域采用分区防渗，化粪池、初期雨水池、事故池采取重点防渗，生产区域与仓库采取一般防渗，本项目将对化粪池、初期雨水池、事故池进行重点防渗区域强化完善项目对防渗要求如下：</w:t>
            </w:r>
          </w:p>
          <w:p w14:paraId="06506B00">
            <w:pPr>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1）重点防渗区</w:t>
            </w:r>
          </w:p>
          <w:p w14:paraId="20D69BB8">
            <w:pPr>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危废暂存区、化粪池、沉淀池、事故池为本项目地下水重点污染区域。地面用坚固、防渗的材料建造，同时地面硬化，且表面无裂隙，重点防渗区的防渗性能应与6.0m厚粘土层（渗透系数1.0×10</w:t>
            </w:r>
            <w:r>
              <w:rPr>
                <w:rFonts w:hint="eastAsia" w:cs="Times New Roman"/>
                <w:color w:val="auto"/>
                <w:vertAlign w:val="superscript"/>
                <w:lang w:val="en-US" w:eastAsia="zh-CN"/>
              </w:rPr>
              <w:t>-7</w:t>
            </w:r>
            <w:r>
              <w:rPr>
                <w:rFonts w:hint="eastAsia" w:cs="Times New Roman"/>
                <w:color w:val="auto"/>
                <w:lang w:val="en-US" w:eastAsia="zh-CN"/>
              </w:rPr>
              <w:t>cm/s）等效。</w:t>
            </w:r>
          </w:p>
          <w:p w14:paraId="26B7E6CE">
            <w:pPr>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2）一般防渗区</w:t>
            </w:r>
          </w:p>
          <w:p w14:paraId="781E16F1">
            <w:pPr>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生产车间、建筑原料生产车间、一般固废暂存间为一般防渗区，建筑物地面均采取水泥硬化，并视情况采取防渗措施，一般防渗区的防渗性能应与1.5m厚粘土层（渗透系数1.0×10</w:t>
            </w:r>
            <w:r>
              <w:rPr>
                <w:rFonts w:hint="eastAsia" w:cs="Times New Roman"/>
                <w:color w:val="auto"/>
                <w:vertAlign w:val="superscript"/>
                <w:lang w:val="en-US" w:eastAsia="zh-CN"/>
              </w:rPr>
              <w:t>-7</w:t>
            </w:r>
            <w:r>
              <w:rPr>
                <w:rFonts w:hint="eastAsia" w:cs="Times New Roman"/>
                <w:color w:val="auto"/>
                <w:lang w:val="en-US" w:eastAsia="zh-CN"/>
              </w:rPr>
              <w:t>cm/s）等效。</w:t>
            </w:r>
          </w:p>
          <w:p w14:paraId="20A9C658">
            <w:pPr>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3）简单防渗区</w:t>
            </w:r>
          </w:p>
          <w:p w14:paraId="632B1429">
            <w:pPr>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办公楼等为简单防渗区，做好地面硬化。</w:t>
            </w:r>
          </w:p>
          <w:bookmarkEnd w:id="8"/>
          <w:bookmarkEnd w:id="9"/>
          <w:p w14:paraId="74CD4770">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项目地下水污染防治分区表</w:t>
            </w:r>
          </w:p>
          <w:tbl>
            <w:tblPr>
              <w:tblStyle w:val="28"/>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696"/>
              <w:gridCol w:w="2931"/>
              <w:gridCol w:w="4227"/>
            </w:tblGrid>
            <w:tr w14:paraId="0A1DCF3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blHeader/>
                <w:jc w:val="center"/>
              </w:trPr>
              <w:tc>
                <w:tcPr>
                  <w:tcW w:w="0" w:type="auto"/>
                  <w:tcBorders>
                    <w:tl2br w:val="nil"/>
                    <w:tr2bl w:val="nil"/>
                  </w:tcBorders>
                  <w:noWrap w:val="0"/>
                  <w:vAlign w:val="center"/>
                </w:tcPr>
                <w:p w14:paraId="326C0CDA">
                  <w:pPr>
                    <w:pStyle w:val="56"/>
                    <w:keepNext w:val="0"/>
                    <w:keepLines w:val="0"/>
                    <w:suppressLineNumbers w:val="0"/>
                    <w:bidi w:val="0"/>
                    <w:spacing w:before="0" w:beforeAutospacing="0" w:after="0" w:afterAutospacing="0"/>
                    <w:ind w:left="0" w:right="0"/>
                    <w:rPr>
                      <w:rFonts w:hint="default" w:cs="Times New Roman"/>
                      <w:color w:val="auto"/>
                    </w:rPr>
                  </w:pPr>
                  <w:bookmarkStart w:id="10" w:name="_Toc16995"/>
                  <w:bookmarkStart w:id="11" w:name="_Toc524021201"/>
                  <w:r>
                    <w:rPr>
                      <w:rFonts w:hint="default" w:cs="Times New Roman"/>
                      <w:color w:val="auto"/>
                    </w:rPr>
                    <w:t>防渗级别</w:t>
                  </w:r>
                </w:p>
              </w:tc>
              <w:tc>
                <w:tcPr>
                  <w:tcW w:w="0" w:type="auto"/>
                  <w:tcBorders>
                    <w:tl2br w:val="nil"/>
                    <w:tr2bl w:val="nil"/>
                  </w:tcBorders>
                  <w:noWrap w:val="0"/>
                  <w:vAlign w:val="center"/>
                </w:tcPr>
                <w:p w14:paraId="1615BC02">
                  <w:pPr>
                    <w:pStyle w:val="56"/>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rPr>
                    <w:t>防渗区域</w:t>
                  </w:r>
                </w:p>
              </w:tc>
              <w:tc>
                <w:tcPr>
                  <w:tcW w:w="0" w:type="auto"/>
                  <w:tcBorders>
                    <w:tl2br w:val="nil"/>
                    <w:tr2bl w:val="nil"/>
                  </w:tcBorders>
                  <w:noWrap w:val="0"/>
                  <w:vAlign w:val="center"/>
                </w:tcPr>
                <w:p w14:paraId="54638395">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防渗要求</w:t>
                  </w:r>
                </w:p>
              </w:tc>
            </w:tr>
            <w:tr w14:paraId="6D7D17B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41" w:hRule="atLeast"/>
                <w:jc w:val="center"/>
              </w:trPr>
              <w:tc>
                <w:tcPr>
                  <w:tcW w:w="0" w:type="auto"/>
                  <w:tcBorders>
                    <w:tl2br w:val="nil"/>
                    <w:tr2bl w:val="nil"/>
                  </w:tcBorders>
                  <w:noWrap w:val="0"/>
                  <w:vAlign w:val="center"/>
                </w:tcPr>
                <w:p w14:paraId="7C39E691">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重点防渗区</w:t>
                  </w:r>
                </w:p>
              </w:tc>
              <w:tc>
                <w:tcPr>
                  <w:tcW w:w="0" w:type="auto"/>
                  <w:tcBorders>
                    <w:tl2br w:val="nil"/>
                    <w:tr2bl w:val="nil"/>
                  </w:tcBorders>
                  <w:noWrap w:val="0"/>
                  <w:vAlign w:val="center"/>
                </w:tcPr>
                <w:p w14:paraId="5BE97E81">
                  <w:pPr>
                    <w:pStyle w:val="56"/>
                    <w:keepNext w:val="0"/>
                    <w:keepLines w:val="0"/>
                    <w:suppressLineNumbers w:val="0"/>
                    <w:bidi w:val="0"/>
                    <w:spacing w:before="0" w:beforeAutospacing="0" w:after="0" w:afterAutospacing="0"/>
                    <w:ind w:left="0" w:right="0"/>
                    <w:rPr>
                      <w:rFonts w:hint="default" w:cs="Times New Roman"/>
                      <w:color w:val="auto"/>
                      <w:lang w:val="en-US"/>
                    </w:rPr>
                  </w:pPr>
                  <w:r>
                    <w:rPr>
                      <w:rFonts w:hint="default" w:cs="Times New Roman"/>
                      <w:color w:val="auto"/>
                    </w:rPr>
                    <w:t>危废暂存区</w:t>
                  </w:r>
                  <w:r>
                    <w:rPr>
                      <w:rFonts w:hint="eastAsia" w:cs="Times New Roman"/>
                      <w:color w:val="auto"/>
                    </w:rPr>
                    <w:t>、</w:t>
                  </w:r>
                  <w:r>
                    <w:rPr>
                      <w:rFonts w:hint="eastAsia" w:cs="Times New Roman"/>
                      <w:color w:val="auto"/>
                      <w:lang w:val="en-US" w:eastAsia="zh-CN"/>
                    </w:rPr>
                    <w:t>化粪池、渗滤液池、沉淀池、</w:t>
                  </w:r>
                  <w:r>
                    <w:rPr>
                      <w:rFonts w:hint="eastAsia"/>
                      <w:color w:val="auto"/>
                      <w:lang w:val="en-US" w:eastAsia="zh-CN"/>
                    </w:rPr>
                    <w:t>事故池</w:t>
                  </w:r>
                  <w:r>
                    <w:rPr>
                      <w:rFonts w:hint="eastAsia" w:cs="Times New Roman"/>
                      <w:color w:val="auto"/>
                      <w:lang w:val="en-US" w:eastAsia="zh-CN"/>
                    </w:rPr>
                    <w:t>、初期雨水处理站、</w:t>
                  </w:r>
                  <w:r>
                    <w:rPr>
                      <w:rFonts w:hint="eastAsia"/>
                      <w:color w:val="auto"/>
                      <w:highlight w:val="none"/>
                      <w:lang w:eastAsia="zh-CN"/>
                    </w:rPr>
                    <w:t>洗车平台</w:t>
                  </w:r>
                  <w:r>
                    <w:rPr>
                      <w:rFonts w:hint="eastAsia" w:cs="Times New Roman"/>
                      <w:color w:val="auto"/>
                      <w:lang w:val="en-US" w:eastAsia="zh-CN"/>
                    </w:rPr>
                    <w:t>等</w:t>
                  </w:r>
                </w:p>
              </w:tc>
              <w:tc>
                <w:tcPr>
                  <w:tcW w:w="0" w:type="auto"/>
                  <w:tcBorders>
                    <w:tl2br w:val="nil"/>
                    <w:tr2bl w:val="nil"/>
                  </w:tcBorders>
                  <w:noWrap w:val="0"/>
                  <w:vAlign w:val="center"/>
                </w:tcPr>
                <w:p w14:paraId="7CE09C14">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等效黏土防渗层Mb≥6.0m，渗透系数K≤1×10</w:t>
                  </w:r>
                  <w:r>
                    <w:rPr>
                      <w:rFonts w:hint="default" w:cs="Times New Roman"/>
                      <w:color w:val="auto"/>
                      <w:vertAlign w:val="superscript"/>
                    </w:rPr>
                    <w:t>-</w:t>
                  </w:r>
                  <w:r>
                    <w:rPr>
                      <w:rFonts w:hint="eastAsia" w:cs="Times New Roman"/>
                      <w:color w:val="auto"/>
                      <w:vertAlign w:val="superscript"/>
                    </w:rPr>
                    <w:t>7</w:t>
                  </w:r>
                  <w:r>
                    <w:rPr>
                      <w:rFonts w:hint="default" w:cs="Times New Roman"/>
                      <w:color w:val="auto"/>
                    </w:rPr>
                    <w:t>cm/s；或参考GB18598执行</w:t>
                  </w:r>
                </w:p>
              </w:tc>
            </w:tr>
            <w:tr w14:paraId="0F02C5C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39" w:hRule="atLeast"/>
                <w:jc w:val="center"/>
              </w:trPr>
              <w:tc>
                <w:tcPr>
                  <w:tcW w:w="0" w:type="auto"/>
                  <w:tcBorders>
                    <w:tl2br w:val="nil"/>
                    <w:tr2bl w:val="nil"/>
                  </w:tcBorders>
                  <w:noWrap w:val="0"/>
                  <w:vAlign w:val="center"/>
                </w:tcPr>
                <w:p w14:paraId="1F8E3DFF">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一般防渗区</w:t>
                  </w:r>
                </w:p>
              </w:tc>
              <w:tc>
                <w:tcPr>
                  <w:tcW w:w="0" w:type="auto"/>
                  <w:tcBorders>
                    <w:tl2br w:val="nil"/>
                    <w:tr2bl w:val="nil"/>
                  </w:tcBorders>
                  <w:noWrap w:val="0"/>
                  <w:vAlign w:val="center"/>
                </w:tcPr>
                <w:p w14:paraId="4A30D2F1">
                  <w:pPr>
                    <w:pStyle w:val="56"/>
                    <w:keepNext w:val="0"/>
                    <w:keepLines w:val="0"/>
                    <w:suppressLineNumbers w:val="0"/>
                    <w:bidi w:val="0"/>
                    <w:spacing w:before="0" w:beforeAutospacing="0" w:after="0" w:afterAutospacing="0"/>
                    <w:ind w:left="0" w:right="0"/>
                    <w:rPr>
                      <w:rFonts w:hint="default" w:cs="Times New Roman"/>
                      <w:color w:val="auto"/>
                      <w:lang w:val="en-US"/>
                    </w:rPr>
                  </w:pPr>
                  <w:r>
                    <w:rPr>
                      <w:rFonts w:hint="eastAsia" w:cs="Times New Roman"/>
                      <w:color w:val="auto"/>
                      <w:lang w:val="en-US" w:eastAsia="zh-CN"/>
                    </w:rPr>
                    <w:t>生产车间、成品仓库</w:t>
                  </w:r>
                </w:p>
              </w:tc>
              <w:tc>
                <w:tcPr>
                  <w:tcW w:w="0" w:type="auto"/>
                  <w:tcBorders>
                    <w:tl2br w:val="nil"/>
                    <w:tr2bl w:val="nil"/>
                  </w:tcBorders>
                  <w:noWrap w:val="0"/>
                  <w:vAlign w:val="center"/>
                </w:tcPr>
                <w:p w14:paraId="73AAFDBF">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一般防渗区，等效黏土防渗层Mb≥</w:t>
                  </w:r>
                  <w:r>
                    <w:rPr>
                      <w:rFonts w:hint="eastAsia" w:cs="Times New Roman"/>
                      <w:color w:val="auto"/>
                    </w:rPr>
                    <w:t>1.5</w:t>
                  </w:r>
                  <w:r>
                    <w:rPr>
                      <w:rFonts w:hint="default" w:cs="Times New Roman"/>
                      <w:color w:val="auto"/>
                    </w:rPr>
                    <w:t>m，渗透系数K≤1×10</w:t>
                  </w:r>
                  <w:r>
                    <w:rPr>
                      <w:rFonts w:hint="default" w:cs="Times New Roman"/>
                      <w:color w:val="auto"/>
                      <w:vertAlign w:val="superscript"/>
                    </w:rPr>
                    <w:t>-</w:t>
                  </w:r>
                  <w:r>
                    <w:rPr>
                      <w:rFonts w:hint="eastAsia" w:cs="Times New Roman"/>
                      <w:color w:val="auto"/>
                      <w:vertAlign w:val="superscript"/>
                    </w:rPr>
                    <w:t>7</w:t>
                  </w:r>
                  <w:r>
                    <w:rPr>
                      <w:rFonts w:hint="default" w:cs="Times New Roman"/>
                      <w:color w:val="auto"/>
                    </w:rPr>
                    <w:t>cm/s；或参考GB</w:t>
                  </w:r>
                  <w:r>
                    <w:rPr>
                      <w:rFonts w:hint="eastAsia" w:cs="Times New Roman"/>
                      <w:color w:val="auto"/>
                    </w:rPr>
                    <w:t>16889</w:t>
                  </w:r>
                  <w:r>
                    <w:rPr>
                      <w:rFonts w:hint="default" w:cs="Times New Roman"/>
                      <w:color w:val="auto"/>
                    </w:rPr>
                    <w:t>执行</w:t>
                  </w:r>
                </w:p>
              </w:tc>
            </w:tr>
            <w:tr w14:paraId="0EB3BB6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0" w:type="auto"/>
                  <w:tcBorders>
                    <w:tl2br w:val="nil"/>
                    <w:tr2bl w:val="nil"/>
                  </w:tcBorders>
                  <w:noWrap w:val="0"/>
                  <w:vAlign w:val="center"/>
                </w:tcPr>
                <w:p w14:paraId="55646683">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简单防渗区</w:t>
                  </w:r>
                </w:p>
              </w:tc>
              <w:tc>
                <w:tcPr>
                  <w:tcW w:w="0" w:type="auto"/>
                  <w:tcBorders>
                    <w:tl2br w:val="nil"/>
                    <w:tr2bl w:val="nil"/>
                  </w:tcBorders>
                  <w:noWrap w:val="0"/>
                  <w:vAlign w:val="center"/>
                </w:tcPr>
                <w:p w14:paraId="1FB7530F">
                  <w:pPr>
                    <w:pStyle w:val="56"/>
                    <w:keepNext w:val="0"/>
                    <w:keepLines w:val="0"/>
                    <w:suppressLineNumbers w:val="0"/>
                    <w:bidi w:val="0"/>
                    <w:spacing w:before="0" w:beforeAutospacing="0" w:after="0" w:afterAutospacing="0"/>
                    <w:ind w:left="0" w:right="0"/>
                    <w:rPr>
                      <w:rFonts w:hint="eastAsia" w:eastAsia="宋体" w:cs="Times New Roman"/>
                      <w:color w:val="auto"/>
                      <w:lang w:val="en-US" w:eastAsia="zh-CN"/>
                    </w:rPr>
                  </w:pPr>
                  <w:r>
                    <w:rPr>
                      <w:rFonts w:hint="eastAsia" w:cs="Times New Roman"/>
                      <w:color w:val="auto"/>
                      <w:lang w:val="en-US" w:eastAsia="zh-CN"/>
                    </w:rPr>
                    <w:t>办公区</w:t>
                  </w:r>
                </w:p>
              </w:tc>
              <w:tc>
                <w:tcPr>
                  <w:tcW w:w="0" w:type="auto"/>
                  <w:tcBorders>
                    <w:tl2br w:val="nil"/>
                    <w:tr2bl w:val="nil"/>
                  </w:tcBorders>
                  <w:noWrap w:val="0"/>
                  <w:vAlign w:val="center"/>
                </w:tcPr>
                <w:p w14:paraId="5429DE99">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一般地面硬化</w:t>
                  </w:r>
                </w:p>
              </w:tc>
            </w:tr>
            <w:bookmarkEnd w:id="10"/>
            <w:bookmarkEnd w:id="11"/>
          </w:tbl>
          <w:p w14:paraId="30FBAD9E">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项目锂渣为中性、无浸出毒性一般固废，属于第一I类固体废物。</w:t>
            </w:r>
          </w:p>
          <w:p w14:paraId="4901AFCD">
            <w:pPr>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项目对可能产生地下水、土壤影响的各项途径均进行有效预防，在确保各项防渗措施得以落实，并加强维护和厂区环境管理的前提下，可有效控制厂区内的废水和危险废物等出现下渗现象，避免污染地下水，因此项目不会对区域地下水环境产生明显影响。</w:t>
            </w:r>
          </w:p>
          <w:p w14:paraId="11070CAF">
            <w:pPr>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lang w:val="en-US" w:eastAsia="zh-CN"/>
              </w:rPr>
              <w:t xml:space="preserve">（4）跟踪监测要求 </w:t>
            </w:r>
          </w:p>
          <w:p w14:paraId="072A5DEB">
            <w:pPr>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lang w:val="en-US" w:eastAsia="zh-CN"/>
              </w:rPr>
              <w:t xml:space="preserve">在落实好各项污染防治措施的前提下，本项目不存在土壤、地下水环境污染途径，故不设置土壤环境跟踪监测计划。 </w:t>
            </w:r>
          </w:p>
          <w:p w14:paraId="427EDCE5">
            <w:pPr>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lang w:val="en-US" w:eastAsia="zh-CN"/>
              </w:rPr>
              <w:t>6</w:t>
            </w:r>
            <w:r>
              <w:rPr>
                <w:rFonts w:hint="eastAsia" w:cs="Times New Roman"/>
                <w:color w:val="auto"/>
              </w:rPr>
              <w:t>.环境风险</w:t>
            </w:r>
          </w:p>
          <w:p w14:paraId="1E9DEB05">
            <w:pPr>
              <w:pStyle w:val="129"/>
              <w:keepNext w:val="0"/>
              <w:keepLines w:val="0"/>
              <w:suppressLineNumbers w:val="0"/>
              <w:bidi w:val="0"/>
              <w:spacing w:before="0" w:beforeAutospacing="0" w:after="0" w:afterAutospacing="0"/>
              <w:ind w:left="0" w:right="0"/>
              <w:rPr>
                <w:rFonts w:hint="default"/>
                <w:b w:val="0"/>
                <w:bCs/>
                <w:color w:val="auto"/>
                <w:highlight w:val="none"/>
              </w:rPr>
            </w:pPr>
            <w:r>
              <w:rPr>
                <w:rFonts w:hint="eastAsia"/>
                <w:b w:val="0"/>
                <w:bCs/>
                <w:color w:val="auto"/>
                <w:highlight w:val="none"/>
                <w:lang w:eastAsia="zh-CN"/>
              </w:rPr>
              <w:t>（</w:t>
            </w:r>
            <w:r>
              <w:rPr>
                <w:rFonts w:hint="eastAsia"/>
                <w:b w:val="0"/>
                <w:bCs/>
                <w:color w:val="auto"/>
                <w:highlight w:val="none"/>
                <w:lang w:val="en-US" w:eastAsia="zh-CN"/>
              </w:rPr>
              <w:t>1</w:t>
            </w:r>
            <w:r>
              <w:rPr>
                <w:rFonts w:hint="eastAsia"/>
                <w:b w:val="0"/>
                <w:bCs/>
                <w:color w:val="auto"/>
                <w:highlight w:val="none"/>
                <w:lang w:eastAsia="zh-CN"/>
              </w:rPr>
              <w:t>）</w:t>
            </w:r>
            <w:r>
              <w:rPr>
                <w:rFonts w:hint="default"/>
                <w:b w:val="0"/>
                <w:bCs/>
                <w:color w:val="auto"/>
                <w:highlight w:val="none"/>
              </w:rPr>
              <w:t>风险调查</w:t>
            </w:r>
          </w:p>
          <w:p w14:paraId="6016D5F0">
            <w:pPr>
              <w:pStyle w:val="74"/>
              <w:keepNext w:val="0"/>
              <w:keepLines w:val="0"/>
              <w:suppressLineNumbers w:val="0"/>
              <w:spacing w:before="0" w:beforeAutospacing="0" w:after="0" w:afterAutospacing="0"/>
              <w:ind w:left="0" w:right="0" w:firstLine="48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对照《建设项目环境风险评价技术导则》（HJ169-2018），厂内危险物质主要为</w:t>
            </w:r>
            <w:r>
              <w:rPr>
                <w:rFonts w:hint="eastAsia" w:ascii="Times New Roman" w:hAnsi="Times New Roman" w:eastAsia="宋体" w:cs="Times New Roman"/>
                <w:color w:val="auto"/>
                <w:lang w:val="en-US" w:eastAsia="zh-CN"/>
              </w:rPr>
              <w:t>机油、</w:t>
            </w:r>
            <w:r>
              <w:rPr>
                <w:rFonts w:hint="default" w:ascii="Times New Roman" w:hAnsi="Times New Roman" w:eastAsia="宋体" w:cs="Times New Roman"/>
                <w:color w:val="auto"/>
                <w:lang w:val="en-US" w:eastAsia="zh-CN"/>
              </w:rPr>
              <w:t>危险废物，风险源主要为仓库、危废暂存间。</w:t>
            </w:r>
          </w:p>
          <w:p w14:paraId="279986D7">
            <w:pPr>
              <w:pStyle w:val="74"/>
              <w:keepNext w:val="0"/>
              <w:keepLines w:val="0"/>
              <w:suppressLineNumbers w:val="0"/>
              <w:spacing w:before="0" w:beforeAutospacing="0" w:after="0" w:afterAutospacing="0"/>
              <w:ind w:left="0" w:right="0" w:firstLine="48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建设项目涉及危险物质及数量见下表。</w:t>
            </w:r>
          </w:p>
          <w:p w14:paraId="57E9ECB8">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建设项目涉及危险物质及数量一览表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29"/>
              <w:gridCol w:w="2176"/>
              <w:gridCol w:w="1250"/>
              <w:gridCol w:w="1313"/>
              <w:gridCol w:w="1249"/>
              <w:gridCol w:w="1242"/>
            </w:tblGrid>
            <w:tr w14:paraId="2BEDAE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629" w:type="dxa"/>
                  <w:tcBorders>
                    <w:top w:val="single" w:color="auto" w:sz="4" w:space="0"/>
                    <w:left w:val="single" w:color="auto" w:sz="0" w:space="0"/>
                  </w:tcBorders>
                  <w:noWrap w:val="0"/>
                  <w:vAlign w:val="center"/>
                </w:tcPr>
                <w:p w14:paraId="1CAC9C6C">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highlight w:val="none"/>
                    </w:rPr>
                  </w:pPr>
                  <w:r>
                    <w:rPr>
                      <w:rFonts w:hint="default"/>
                      <w:b/>
                      <w:bCs/>
                      <w:color w:val="auto"/>
                      <w:highlight w:val="none"/>
                    </w:rPr>
                    <w:t>序号</w:t>
                  </w:r>
                </w:p>
              </w:tc>
              <w:tc>
                <w:tcPr>
                  <w:tcW w:w="2176" w:type="dxa"/>
                  <w:tcBorders>
                    <w:top w:val="single" w:color="auto" w:sz="4" w:space="0"/>
                  </w:tcBorders>
                  <w:noWrap w:val="0"/>
                  <w:vAlign w:val="center"/>
                </w:tcPr>
                <w:p w14:paraId="2FBD417D">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highlight w:val="none"/>
                    </w:rPr>
                  </w:pPr>
                  <w:r>
                    <w:rPr>
                      <w:rFonts w:hint="default"/>
                      <w:b/>
                      <w:bCs/>
                      <w:color w:val="auto"/>
                      <w:highlight w:val="none"/>
                    </w:rPr>
                    <w:t>危险物质名称</w:t>
                  </w:r>
                </w:p>
              </w:tc>
              <w:tc>
                <w:tcPr>
                  <w:tcW w:w="1250" w:type="dxa"/>
                  <w:tcBorders>
                    <w:top w:val="single" w:color="auto" w:sz="4" w:space="0"/>
                  </w:tcBorders>
                  <w:noWrap w:val="0"/>
                  <w:vAlign w:val="center"/>
                </w:tcPr>
                <w:p w14:paraId="1EBC6819">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highlight w:val="none"/>
                    </w:rPr>
                  </w:pPr>
                  <w:r>
                    <w:rPr>
                      <w:rFonts w:hint="default"/>
                      <w:b/>
                      <w:bCs/>
                      <w:color w:val="auto"/>
                      <w:highlight w:val="none"/>
                    </w:rPr>
                    <w:t>年用量（t）</w:t>
                  </w:r>
                </w:p>
              </w:tc>
              <w:tc>
                <w:tcPr>
                  <w:tcW w:w="1313" w:type="dxa"/>
                  <w:tcBorders>
                    <w:top w:val="single" w:color="auto" w:sz="4" w:space="0"/>
                  </w:tcBorders>
                  <w:noWrap w:val="0"/>
                  <w:vAlign w:val="center"/>
                </w:tcPr>
                <w:p w14:paraId="6CED23F1">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highlight w:val="none"/>
                    </w:rPr>
                  </w:pPr>
                  <w:r>
                    <w:rPr>
                      <w:rFonts w:hint="default"/>
                      <w:b/>
                      <w:bCs/>
                      <w:color w:val="auto"/>
                      <w:highlight w:val="none"/>
                    </w:rPr>
                    <w:t>储存方式</w:t>
                  </w:r>
                </w:p>
              </w:tc>
              <w:tc>
                <w:tcPr>
                  <w:tcW w:w="1249" w:type="dxa"/>
                  <w:tcBorders>
                    <w:top w:val="single" w:color="auto" w:sz="4" w:space="0"/>
                  </w:tcBorders>
                  <w:noWrap w:val="0"/>
                  <w:vAlign w:val="center"/>
                </w:tcPr>
                <w:p w14:paraId="04E14104">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highlight w:val="none"/>
                    </w:rPr>
                  </w:pPr>
                  <w:r>
                    <w:rPr>
                      <w:rFonts w:hint="default"/>
                      <w:b/>
                      <w:bCs/>
                      <w:color w:val="auto"/>
                      <w:highlight w:val="none"/>
                    </w:rPr>
                    <w:t>最大</w:t>
                  </w:r>
                  <w:r>
                    <w:rPr>
                      <w:rFonts w:hint="eastAsia"/>
                      <w:b/>
                      <w:bCs/>
                      <w:color w:val="auto"/>
                      <w:highlight w:val="none"/>
                      <w:lang w:eastAsia="zh-CN"/>
                    </w:rPr>
                    <w:t>存在</w:t>
                  </w:r>
                  <w:r>
                    <w:rPr>
                      <w:rFonts w:hint="default"/>
                      <w:b/>
                      <w:bCs/>
                      <w:color w:val="auto"/>
                      <w:highlight w:val="none"/>
                    </w:rPr>
                    <w:t>量</w:t>
                  </w:r>
                </w:p>
              </w:tc>
              <w:tc>
                <w:tcPr>
                  <w:tcW w:w="1242" w:type="dxa"/>
                  <w:tcBorders>
                    <w:top w:val="single" w:color="auto" w:sz="4" w:space="0"/>
                    <w:right w:val="single" w:color="auto" w:sz="4" w:space="0"/>
                  </w:tcBorders>
                  <w:noWrap w:val="0"/>
                  <w:vAlign w:val="center"/>
                </w:tcPr>
                <w:p w14:paraId="28ADD02E">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highlight w:val="none"/>
                    </w:rPr>
                  </w:pPr>
                  <w:r>
                    <w:rPr>
                      <w:rFonts w:hint="default"/>
                      <w:b/>
                      <w:bCs/>
                      <w:color w:val="auto"/>
                      <w:highlight w:val="none"/>
                    </w:rPr>
                    <w:t>储存位置</w:t>
                  </w:r>
                </w:p>
              </w:tc>
            </w:tr>
            <w:tr w14:paraId="3BB0B3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629" w:type="dxa"/>
                  <w:tcBorders>
                    <w:left w:val="single" w:color="auto" w:sz="4" w:space="0"/>
                  </w:tcBorders>
                  <w:noWrap w:val="0"/>
                  <w:vAlign w:val="center"/>
                </w:tcPr>
                <w:p w14:paraId="11E5A71B">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eastAsia"/>
                      <w:color w:val="auto"/>
                      <w:highlight w:val="none"/>
                      <w:lang w:val="en-US" w:eastAsia="zh-CN"/>
                    </w:rPr>
                    <w:t>1</w:t>
                  </w:r>
                </w:p>
              </w:tc>
              <w:tc>
                <w:tcPr>
                  <w:tcW w:w="2176" w:type="dxa"/>
                  <w:noWrap w:val="0"/>
                  <w:vAlign w:val="center"/>
                </w:tcPr>
                <w:p w14:paraId="1C954D06">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eastAsia" w:eastAsia="宋体"/>
                      <w:color w:val="auto"/>
                      <w:highlight w:val="none"/>
                      <w:lang w:eastAsia="zh-CN"/>
                    </w:rPr>
                  </w:pPr>
                  <w:r>
                    <w:rPr>
                      <w:rFonts w:hint="eastAsia" w:cs="Times New Roman"/>
                      <w:color w:val="auto"/>
                      <w:lang w:eastAsia="zh-CN"/>
                    </w:rPr>
                    <w:t>废润滑油</w:t>
                  </w:r>
                </w:p>
              </w:tc>
              <w:tc>
                <w:tcPr>
                  <w:tcW w:w="1250" w:type="dxa"/>
                  <w:noWrap w:val="0"/>
                  <w:vAlign w:val="center"/>
                </w:tcPr>
                <w:p w14:paraId="1881B20E">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0.1</w:t>
                  </w:r>
                </w:p>
              </w:tc>
              <w:tc>
                <w:tcPr>
                  <w:tcW w:w="1313" w:type="dxa"/>
                  <w:noWrap w:val="0"/>
                  <w:vAlign w:val="center"/>
                </w:tcPr>
                <w:p w14:paraId="55E7954E">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桶装，密封</w:t>
                  </w:r>
                </w:p>
              </w:tc>
              <w:tc>
                <w:tcPr>
                  <w:tcW w:w="1249" w:type="dxa"/>
                  <w:noWrap w:val="0"/>
                  <w:vAlign w:val="center"/>
                </w:tcPr>
                <w:p w14:paraId="11A231B3">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0.025</w:t>
                  </w:r>
                </w:p>
              </w:tc>
              <w:tc>
                <w:tcPr>
                  <w:tcW w:w="1242" w:type="dxa"/>
                  <w:tcBorders>
                    <w:right w:val="single" w:color="auto" w:sz="4" w:space="0"/>
                  </w:tcBorders>
                  <w:noWrap w:val="0"/>
                  <w:vAlign w:val="center"/>
                </w:tcPr>
                <w:p w14:paraId="5435C0BC">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危废暂存间</w:t>
                  </w:r>
                </w:p>
              </w:tc>
            </w:tr>
            <w:tr w14:paraId="13ADB6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629" w:type="dxa"/>
                  <w:tcBorders>
                    <w:left w:val="single" w:color="auto" w:sz="4" w:space="0"/>
                    <w:bottom w:val="single" w:color="auto" w:sz="4" w:space="0"/>
                  </w:tcBorders>
                  <w:noWrap w:val="0"/>
                  <w:vAlign w:val="center"/>
                </w:tcPr>
                <w:p w14:paraId="40545956">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w:t>
                  </w:r>
                </w:p>
              </w:tc>
              <w:tc>
                <w:tcPr>
                  <w:tcW w:w="2176" w:type="dxa"/>
                  <w:tcBorders>
                    <w:bottom w:val="single" w:color="auto" w:sz="4" w:space="0"/>
                  </w:tcBorders>
                  <w:noWrap w:val="0"/>
                  <w:vAlign w:val="center"/>
                </w:tcPr>
                <w:p w14:paraId="6EC6440E">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铊</w:t>
                  </w:r>
                </w:p>
              </w:tc>
              <w:tc>
                <w:tcPr>
                  <w:tcW w:w="1250" w:type="dxa"/>
                  <w:tcBorders>
                    <w:bottom w:val="single" w:color="auto" w:sz="4" w:space="0"/>
                  </w:tcBorders>
                  <w:noWrap w:val="0"/>
                  <w:vAlign w:val="center"/>
                </w:tcPr>
                <w:p w14:paraId="172B413A">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3.276</w:t>
                  </w:r>
                </w:p>
              </w:tc>
              <w:tc>
                <w:tcPr>
                  <w:tcW w:w="1313" w:type="dxa"/>
                  <w:tcBorders>
                    <w:bottom w:val="single" w:color="auto" w:sz="4" w:space="0"/>
                  </w:tcBorders>
                  <w:noWrap w:val="0"/>
                  <w:vAlign w:val="center"/>
                </w:tcPr>
                <w:p w14:paraId="0286A495">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散装</w:t>
                  </w:r>
                </w:p>
              </w:tc>
              <w:tc>
                <w:tcPr>
                  <w:tcW w:w="1249" w:type="dxa"/>
                  <w:tcBorders>
                    <w:bottom w:val="single" w:color="auto" w:sz="4" w:space="0"/>
                  </w:tcBorders>
                  <w:noWrap w:val="0"/>
                  <w:vAlign w:val="center"/>
                </w:tcPr>
                <w:p w14:paraId="4437C8BA">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0.011</w:t>
                  </w:r>
                </w:p>
              </w:tc>
              <w:tc>
                <w:tcPr>
                  <w:tcW w:w="1242" w:type="dxa"/>
                  <w:tcBorders>
                    <w:bottom w:val="single" w:color="auto" w:sz="4" w:space="0"/>
                    <w:right w:val="single" w:color="auto" w:sz="4" w:space="0"/>
                  </w:tcBorders>
                  <w:noWrap w:val="0"/>
                  <w:vAlign w:val="center"/>
                </w:tcPr>
                <w:p w14:paraId="64C29C39">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原料仓库</w:t>
                  </w:r>
                </w:p>
              </w:tc>
            </w:tr>
          </w:tbl>
          <w:p w14:paraId="22D881BD">
            <w:pPr>
              <w:pStyle w:val="129"/>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根据《建设项目环境风险评价技术导则》（HJ169-2018）附录C，Q值按下式进行计算：</w:t>
            </w:r>
          </w:p>
          <w:p w14:paraId="5F2899B4">
            <w:pPr>
              <w:pStyle w:val="141"/>
              <w:keepNext w:val="0"/>
              <w:keepLines w:val="0"/>
              <w:suppressLineNumbers w:val="0"/>
              <w:spacing w:before="0" w:beforeAutospacing="0" w:after="0" w:afterAutospacing="0"/>
              <w:ind w:left="0" w:right="0" w:firstLine="480"/>
              <w:jc w:val="center"/>
              <w:rPr>
                <w:rFonts w:hint="default" w:cs="Times New Roman"/>
                <w:color w:val="auto"/>
                <w:highlight w:val="none"/>
              </w:rPr>
            </w:pPr>
            <w:r>
              <w:rPr>
                <w:rFonts w:hint="default" w:cs="Times New Roman"/>
                <w:color w:val="auto"/>
                <w:highlight w:val="none"/>
              </w:rPr>
              <w:fldChar w:fldCharType="begin"/>
            </w:r>
            <w:r>
              <w:rPr>
                <w:rFonts w:hint="default"/>
                <w:color w:val="auto"/>
                <w:highlight w:val="none"/>
              </w:rPr>
              <w:instrText xml:space="preserve"> INCLUDEPICTURE "F:\\86134\\AppData\\Local\\Temp\\ksohtml4412\\wps22.png" \* MERGEFORMAT </w:instrText>
            </w:r>
            <w:r>
              <w:rPr>
                <w:rFonts w:hint="default" w:cs="Times New Roman"/>
                <w:color w:val="auto"/>
                <w:highlight w:val="none"/>
              </w:rPr>
              <w:fldChar w:fldCharType="separate"/>
            </w:r>
            <w:r>
              <w:rPr>
                <w:rFonts w:hint="default" w:cs="Times New Roman"/>
                <w:color w:val="auto"/>
                <w:highlight w:val="none"/>
              </w:rPr>
              <w:drawing>
                <wp:inline distT="0" distB="0" distL="114300" distR="114300">
                  <wp:extent cx="1248410" cy="466090"/>
                  <wp:effectExtent l="0" t="0" r="8890" b="11430"/>
                  <wp:docPr id="18" name="图片 14" descr="wps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descr="wps22"/>
                          <pic:cNvPicPr>
                            <a:picLocks noChangeAspect="1"/>
                          </pic:cNvPicPr>
                        </pic:nvPicPr>
                        <pic:blipFill>
                          <a:blip r:embed="rId60"/>
                          <a:stretch>
                            <a:fillRect/>
                          </a:stretch>
                        </pic:blipFill>
                        <pic:spPr>
                          <a:xfrm>
                            <a:off x="0" y="0"/>
                            <a:ext cx="1248410" cy="466090"/>
                          </a:xfrm>
                          <a:prstGeom prst="rect">
                            <a:avLst/>
                          </a:prstGeom>
                          <a:noFill/>
                          <a:ln>
                            <a:noFill/>
                          </a:ln>
                        </pic:spPr>
                      </pic:pic>
                    </a:graphicData>
                  </a:graphic>
                </wp:inline>
              </w:drawing>
            </w:r>
            <w:r>
              <w:rPr>
                <w:rFonts w:hint="default" w:cs="Times New Roman"/>
                <w:color w:val="auto"/>
                <w:highlight w:val="none"/>
              </w:rPr>
              <w:fldChar w:fldCharType="end"/>
            </w:r>
          </w:p>
          <w:p w14:paraId="191F0039">
            <w:pPr>
              <w:pStyle w:val="141"/>
              <w:keepNext w:val="0"/>
              <w:keepLines w:val="0"/>
              <w:suppressLineNumbers w:val="0"/>
              <w:spacing w:before="0" w:beforeAutospacing="0" w:after="0" w:afterAutospacing="0"/>
              <w:ind w:left="0" w:right="0" w:firstLine="480"/>
              <w:rPr>
                <w:rFonts w:hint="default" w:cs="Times New Roman"/>
                <w:color w:val="auto"/>
                <w:highlight w:val="none"/>
              </w:rPr>
            </w:pPr>
            <w:r>
              <w:rPr>
                <w:rFonts w:hint="default" w:cs="Times New Roman"/>
                <w:color w:val="auto"/>
                <w:highlight w:val="none"/>
              </w:rPr>
              <w:t>式中：q</w:t>
            </w:r>
            <w:r>
              <w:rPr>
                <w:rFonts w:hint="default" w:cs="Times New Roman"/>
                <w:color w:val="auto"/>
                <w:highlight w:val="none"/>
                <w:vertAlign w:val="subscript"/>
              </w:rPr>
              <w:t>1</w:t>
            </w:r>
            <w:r>
              <w:rPr>
                <w:rFonts w:hint="eastAsia" w:cs="Times New Roman"/>
                <w:color w:val="auto"/>
                <w:highlight w:val="none"/>
              </w:rPr>
              <w:t>、q</w:t>
            </w:r>
            <w:r>
              <w:rPr>
                <w:rFonts w:hint="default" w:cs="Times New Roman"/>
                <w:color w:val="auto"/>
                <w:highlight w:val="none"/>
                <w:vertAlign w:val="subscript"/>
              </w:rPr>
              <w:t>2</w:t>
            </w:r>
            <w:r>
              <w:rPr>
                <w:rFonts w:hint="default" w:cs="Times New Roman"/>
                <w:color w:val="auto"/>
                <w:highlight w:val="none"/>
              </w:rPr>
              <w:t>——每种危险物质的最大存在总量，t；</w:t>
            </w:r>
          </w:p>
          <w:p w14:paraId="62B324CD">
            <w:pPr>
              <w:pStyle w:val="141"/>
              <w:keepNext w:val="0"/>
              <w:keepLines w:val="0"/>
              <w:suppressLineNumbers w:val="0"/>
              <w:spacing w:before="0" w:beforeAutospacing="0" w:after="0" w:afterAutospacing="0"/>
              <w:ind w:left="0" w:right="0" w:firstLine="480"/>
              <w:rPr>
                <w:rFonts w:hint="default" w:cs="Times New Roman"/>
                <w:color w:val="auto"/>
                <w:highlight w:val="none"/>
              </w:rPr>
            </w:pPr>
            <w:r>
              <w:rPr>
                <w:rFonts w:hint="default" w:cs="Times New Roman"/>
                <w:color w:val="auto"/>
                <w:highlight w:val="none"/>
              </w:rPr>
              <w:t>Q</w:t>
            </w:r>
            <w:r>
              <w:rPr>
                <w:rFonts w:hint="default" w:cs="Times New Roman"/>
                <w:color w:val="auto"/>
                <w:highlight w:val="none"/>
                <w:vertAlign w:val="subscript"/>
              </w:rPr>
              <w:t>1</w:t>
            </w:r>
            <w:r>
              <w:rPr>
                <w:rFonts w:hint="eastAsia" w:cs="Times New Roman"/>
                <w:color w:val="auto"/>
                <w:highlight w:val="none"/>
              </w:rPr>
              <w:t>、</w:t>
            </w:r>
            <w:r>
              <w:rPr>
                <w:rFonts w:hint="default" w:cs="Times New Roman"/>
                <w:color w:val="auto"/>
                <w:highlight w:val="none"/>
              </w:rPr>
              <w:t>Q</w:t>
            </w:r>
            <w:r>
              <w:rPr>
                <w:rFonts w:hint="default" w:cs="Times New Roman"/>
                <w:color w:val="auto"/>
                <w:highlight w:val="none"/>
                <w:vertAlign w:val="subscript"/>
              </w:rPr>
              <w:t>2</w:t>
            </w:r>
            <w:r>
              <w:rPr>
                <w:rFonts w:hint="default" w:cs="Times New Roman"/>
                <w:color w:val="auto"/>
                <w:highlight w:val="none"/>
              </w:rPr>
              <w:t>…..Q</w:t>
            </w:r>
            <w:r>
              <w:rPr>
                <w:rFonts w:hint="eastAsia" w:cs="Times New Roman"/>
                <w:color w:val="auto"/>
                <w:highlight w:val="none"/>
                <w:vertAlign w:val="subscript"/>
              </w:rPr>
              <w:t>n</w:t>
            </w:r>
            <w:r>
              <w:rPr>
                <w:rFonts w:hint="default" w:cs="Times New Roman"/>
                <w:color w:val="auto"/>
                <w:highlight w:val="none"/>
              </w:rPr>
              <w:t>———每种危险物质的临界量，t。</w:t>
            </w:r>
          </w:p>
          <w:p w14:paraId="63C1773E">
            <w:pPr>
              <w:pStyle w:val="141"/>
              <w:keepNext w:val="0"/>
              <w:keepLines w:val="0"/>
              <w:suppressLineNumbers w:val="0"/>
              <w:spacing w:before="0" w:beforeAutospacing="0" w:after="0" w:afterAutospacing="0"/>
              <w:ind w:left="0" w:right="0" w:firstLine="480"/>
              <w:rPr>
                <w:rFonts w:hint="default" w:cs="Times New Roman"/>
                <w:color w:val="auto"/>
                <w:highlight w:val="none"/>
              </w:rPr>
            </w:pPr>
            <w:r>
              <w:rPr>
                <w:rFonts w:hint="default" w:cs="Times New Roman"/>
                <w:color w:val="auto"/>
                <w:highlight w:val="none"/>
              </w:rPr>
              <w:t>当Q＜1时，该项目环境风险潜势为I。</w:t>
            </w:r>
          </w:p>
          <w:p w14:paraId="46B3CC2F">
            <w:pPr>
              <w:pStyle w:val="141"/>
              <w:keepNext w:val="0"/>
              <w:keepLines w:val="0"/>
              <w:suppressLineNumbers w:val="0"/>
              <w:spacing w:before="0" w:beforeAutospacing="0" w:after="0" w:afterAutospacing="0"/>
              <w:ind w:left="0" w:right="0" w:firstLine="480"/>
              <w:rPr>
                <w:rFonts w:hint="default" w:cs="Times New Roman"/>
                <w:color w:val="auto"/>
                <w:highlight w:val="none"/>
              </w:rPr>
            </w:pPr>
            <w:r>
              <w:rPr>
                <w:rFonts w:hint="default" w:cs="Times New Roman"/>
                <w:color w:val="auto"/>
                <w:highlight w:val="none"/>
              </w:rPr>
              <w:t>当Q≥1时，将Q值划分为：（1）1≤Q＜10；（2）10≤Q＜100；（3）Q≥100。</w:t>
            </w:r>
          </w:p>
          <w:p w14:paraId="7E989129">
            <w:pPr>
              <w:pStyle w:val="141"/>
              <w:keepNext w:val="0"/>
              <w:keepLines w:val="0"/>
              <w:suppressLineNumbers w:val="0"/>
              <w:spacing w:before="0" w:beforeAutospacing="0" w:after="0" w:afterAutospacing="0"/>
              <w:ind w:left="0" w:right="0" w:firstLine="480"/>
              <w:rPr>
                <w:rFonts w:hint="default" w:cs="Times New Roman"/>
                <w:color w:val="auto"/>
                <w:highlight w:val="none"/>
              </w:rPr>
            </w:pPr>
            <w:r>
              <w:rPr>
                <w:rFonts w:hint="default" w:cs="Times New Roman"/>
                <w:color w:val="auto"/>
                <w:highlight w:val="none"/>
              </w:rPr>
              <w:t>项目Q值计算结果见下表所示。</w:t>
            </w:r>
          </w:p>
          <w:p w14:paraId="6242B2C3">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 xml:space="preserve"> 建设项目Q值确定表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7"/>
              <w:gridCol w:w="1321"/>
              <w:gridCol w:w="1194"/>
              <w:gridCol w:w="1590"/>
              <w:gridCol w:w="1274"/>
              <w:gridCol w:w="1573"/>
            </w:tblGrid>
            <w:tr w14:paraId="7AFD89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7" w:type="dxa"/>
                  <w:tcBorders>
                    <w:top w:val="single" w:color="auto" w:sz="4" w:space="0"/>
                    <w:left w:val="single" w:color="auto" w:sz="0" w:space="0"/>
                  </w:tcBorders>
                  <w:noWrap w:val="0"/>
                  <w:vAlign w:val="center"/>
                </w:tcPr>
                <w:p w14:paraId="6142C16D">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序号</w:t>
                  </w:r>
                </w:p>
              </w:tc>
              <w:tc>
                <w:tcPr>
                  <w:tcW w:w="1321" w:type="dxa"/>
                  <w:tcBorders>
                    <w:top w:val="single" w:color="auto" w:sz="4" w:space="0"/>
                  </w:tcBorders>
                  <w:noWrap w:val="0"/>
                  <w:vAlign w:val="center"/>
                </w:tcPr>
                <w:p w14:paraId="05069EA8">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危险物质名称</w:t>
                  </w:r>
                </w:p>
              </w:tc>
              <w:tc>
                <w:tcPr>
                  <w:tcW w:w="1194" w:type="dxa"/>
                  <w:tcBorders>
                    <w:top w:val="single" w:color="auto" w:sz="4" w:space="0"/>
                  </w:tcBorders>
                  <w:noWrap w:val="0"/>
                  <w:vAlign w:val="center"/>
                </w:tcPr>
                <w:p w14:paraId="6232BE49">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分布情况</w:t>
                  </w:r>
                </w:p>
              </w:tc>
              <w:tc>
                <w:tcPr>
                  <w:tcW w:w="1590" w:type="dxa"/>
                  <w:tcBorders>
                    <w:top w:val="single" w:color="auto" w:sz="4" w:space="0"/>
                  </w:tcBorders>
                  <w:noWrap w:val="0"/>
                  <w:vAlign w:val="center"/>
                </w:tcPr>
                <w:p w14:paraId="356C1D1D">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最大存在总量qn/t</w:t>
                  </w:r>
                </w:p>
              </w:tc>
              <w:tc>
                <w:tcPr>
                  <w:tcW w:w="1274" w:type="dxa"/>
                  <w:tcBorders>
                    <w:top w:val="single" w:color="auto" w:sz="4" w:space="0"/>
                  </w:tcBorders>
                  <w:noWrap w:val="0"/>
                  <w:vAlign w:val="center"/>
                </w:tcPr>
                <w:p w14:paraId="24E81000">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临界量Qn/t</w:t>
                  </w:r>
                </w:p>
              </w:tc>
              <w:tc>
                <w:tcPr>
                  <w:tcW w:w="1573" w:type="dxa"/>
                  <w:tcBorders>
                    <w:top w:val="single" w:color="auto" w:sz="4" w:space="0"/>
                    <w:right w:val="single" w:color="auto" w:sz="4" w:space="0"/>
                  </w:tcBorders>
                  <w:noWrap w:val="0"/>
                  <w:vAlign w:val="center"/>
                </w:tcPr>
                <w:p w14:paraId="01B05E55">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该种危险物质Q值</w:t>
                  </w:r>
                </w:p>
              </w:tc>
            </w:tr>
            <w:tr w14:paraId="19E71A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7" w:type="dxa"/>
                  <w:tcBorders>
                    <w:left w:val="single" w:color="auto" w:sz="4" w:space="0"/>
                  </w:tcBorders>
                  <w:noWrap w:val="0"/>
                  <w:vAlign w:val="center"/>
                </w:tcPr>
                <w:p w14:paraId="4FA9FF0D">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2</w:t>
                  </w:r>
                </w:p>
              </w:tc>
              <w:tc>
                <w:tcPr>
                  <w:tcW w:w="1321" w:type="dxa"/>
                  <w:noWrap w:val="0"/>
                  <w:vAlign w:val="center"/>
                </w:tcPr>
                <w:p w14:paraId="372BB07B">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eastAsia" w:cs="Times New Roman"/>
                      <w:color w:val="auto"/>
                      <w:lang w:eastAsia="zh-CN"/>
                    </w:rPr>
                    <w:t>废润滑油</w:t>
                  </w:r>
                </w:p>
              </w:tc>
              <w:tc>
                <w:tcPr>
                  <w:tcW w:w="1194" w:type="dxa"/>
                  <w:noWrap w:val="0"/>
                  <w:vAlign w:val="center"/>
                </w:tcPr>
                <w:p w14:paraId="7D4121DA">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危废暂存间</w:t>
                  </w:r>
                </w:p>
              </w:tc>
              <w:tc>
                <w:tcPr>
                  <w:tcW w:w="1590" w:type="dxa"/>
                  <w:noWrap w:val="0"/>
                  <w:vAlign w:val="center"/>
                </w:tcPr>
                <w:p w14:paraId="5840A962">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default" w:ascii="Times New Roman" w:hAnsi="Times New Roman" w:eastAsia="宋体" w:cs="Times New Roman"/>
                      <w:color w:val="auto"/>
                    </w:rPr>
                  </w:pPr>
                  <w:r>
                    <w:rPr>
                      <w:rFonts w:hint="eastAsia"/>
                      <w:color w:val="auto"/>
                      <w:highlight w:val="none"/>
                      <w:lang w:val="en-US" w:eastAsia="zh-CN"/>
                    </w:rPr>
                    <w:t>0.025</w:t>
                  </w:r>
                </w:p>
              </w:tc>
              <w:tc>
                <w:tcPr>
                  <w:tcW w:w="1274" w:type="dxa"/>
                  <w:noWrap w:val="0"/>
                  <w:vAlign w:val="center"/>
                </w:tcPr>
                <w:p w14:paraId="7F51C29F">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rPr>
                  </w:pPr>
                  <w:r>
                    <w:rPr>
                      <w:rFonts w:hint="eastAsia" w:ascii="Times New Roman" w:hAnsi="Times New Roman" w:eastAsia="宋体" w:cs="Times New Roman"/>
                      <w:color w:val="auto"/>
                      <w:lang w:val="en-US" w:eastAsia="zh-CN"/>
                    </w:rPr>
                    <w:t>50</w:t>
                  </w:r>
                </w:p>
              </w:tc>
              <w:tc>
                <w:tcPr>
                  <w:tcW w:w="1573" w:type="dxa"/>
                  <w:tcBorders>
                    <w:right w:val="single" w:color="auto" w:sz="4" w:space="0"/>
                  </w:tcBorders>
                  <w:noWrap w:val="0"/>
                  <w:vAlign w:val="center"/>
                </w:tcPr>
                <w:p w14:paraId="0F219B2F">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0.0005</w:t>
                  </w:r>
                </w:p>
              </w:tc>
            </w:tr>
            <w:tr w14:paraId="28A441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7" w:type="dxa"/>
                  <w:tcBorders>
                    <w:left w:val="single" w:color="auto" w:sz="4" w:space="0"/>
                  </w:tcBorders>
                  <w:noWrap w:val="0"/>
                  <w:vAlign w:val="center"/>
                </w:tcPr>
                <w:p w14:paraId="4D70C2ED">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w:t>
                  </w:r>
                </w:p>
              </w:tc>
              <w:tc>
                <w:tcPr>
                  <w:tcW w:w="1321" w:type="dxa"/>
                  <w:noWrap w:val="0"/>
                  <w:vAlign w:val="center"/>
                </w:tcPr>
                <w:p w14:paraId="3157FD14">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铊</w:t>
                  </w:r>
                </w:p>
              </w:tc>
              <w:tc>
                <w:tcPr>
                  <w:tcW w:w="1194" w:type="dxa"/>
                  <w:noWrap w:val="0"/>
                  <w:vAlign w:val="center"/>
                </w:tcPr>
                <w:p w14:paraId="23A700C7">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锂渣仓库</w:t>
                  </w:r>
                </w:p>
              </w:tc>
              <w:tc>
                <w:tcPr>
                  <w:tcW w:w="1590" w:type="dxa"/>
                  <w:noWrap w:val="0"/>
                  <w:vAlign w:val="center"/>
                </w:tcPr>
                <w:p w14:paraId="73686815">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0.011</w:t>
                  </w:r>
                </w:p>
              </w:tc>
              <w:tc>
                <w:tcPr>
                  <w:tcW w:w="1274" w:type="dxa"/>
                  <w:noWrap w:val="0"/>
                  <w:vAlign w:val="center"/>
                </w:tcPr>
                <w:p w14:paraId="2D5F6EC9">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0.25</w:t>
                  </w:r>
                </w:p>
              </w:tc>
              <w:tc>
                <w:tcPr>
                  <w:tcW w:w="1573" w:type="dxa"/>
                  <w:tcBorders>
                    <w:right w:val="single" w:color="auto" w:sz="4" w:space="0"/>
                  </w:tcBorders>
                  <w:noWrap w:val="0"/>
                  <w:vAlign w:val="center"/>
                </w:tcPr>
                <w:p w14:paraId="72537B32">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0.044</w:t>
                  </w:r>
                </w:p>
              </w:tc>
            </w:tr>
            <w:tr w14:paraId="0EFBF6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286" w:type="dxa"/>
                  <w:gridSpan w:val="5"/>
                  <w:tcBorders>
                    <w:left w:val="single" w:color="auto" w:sz="4" w:space="0"/>
                    <w:bottom w:val="single" w:color="auto" w:sz="4" w:space="0"/>
                  </w:tcBorders>
                  <w:noWrap w:val="0"/>
                  <w:vAlign w:val="center"/>
                </w:tcPr>
                <w:p w14:paraId="669DA5CE">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rPr>
                  </w:pPr>
                  <w:r>
                    <w:rPr>
                      <w:rFonts w:hint="default" w:ascii="Times New Roman" w:hAnsi="Times New Roman" w:eastAsia="宋体" w:cs="Times New Roman"/>
                      <w:color w:val="auto"/>
                    </w:rPr>
                    <w:t>项目Q值∑</w:t>
                  </w:r>
                </w:p>
              </w:tc>
              <w:tc>
                <w:tcPr>
                  <w:tcW w:w="1573" w:type="dxa"/>
                  <w:tcBorders>
                    <w:bottom w:val="single" w:color="auto" w:sz="4" w:space="0"/>
                    <w:right w:val="single" w:color="auto" w:sz="4" w:space="0"/>
                  </w:tcBorders>
                  <w:noWrap w:val="0"/>
                  <w:vAlign w:val="center"/>
                </w:tcPr>
                <w:p w14:paraId="3FFDF7A5">
                  <w:pPr>
                    <w:pStyle w:val="140"/>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0.0445</w:t>
                  </w:r>
                </w:p>
              </w:tc>
            </w:tr>
          </w:tbl>
          <w:p w14:paraId="1C1B3795">
            <w:pPr>
              <w:pStyle w:val="140"/>
              <w:keepNext w:val="0"/>
              <w:keepLines w:val="0"/>
              <w:suppressLineNumbers w:val="0"/>
              <w:spacing w:before="0" w:beforeAutospacing="0" w:after="0" w:afterAutospacing="0"/>
              <w:ind w:left="0" w:right="0"/>
              <w:jc w:val="left"/>
              <w:rPr>
                <w:rFonts w:hint="default"/>
                <w:color w:val="auto"/>
                <w:highlight w:val="none"/>
              </w:rPr>
            </w:pPr>
            <w:r>
              <w:rPr>
                <w:rFonts w:hint="default"/>
                <w:color w:val="auto"/>
                <w:highlight w:val="none"/>
              </w:rPr>
              <w:t>注：上表中危险废物临界量保守考虑按照《建设项目环境风险评价技术导则》（HJ169-2018）附录B表B.2中健康危险急性毒性物质（类别2，类别3）中临界量50t计；</w:t>
            </w:r>
            <w:r>
              <w:rPr>
                <w:rFonts w:hint="eastAsia"/>
                <w:color w:val="auto"/>
                <w:highlight w:val="none"/>
                <w:lang w:eastAsia="zh-CN"/>
              </w:rPr>
              <w:t>机</w:t>
            </w:r>
            <w:r>
              <w:rPr>
                <w:rFonts w:hint="default"/>
                <w:color w:val="auto"/>
                <w:highlight w:val="none"/>
              </w:rPr>
              <w:t>油</w:t>
            </w:r>
            <w:r>
              <w:rPr>
                <w:rFonts w:hint="eastAsia"/>
                <w:color w:val="auto"/>
                <w:highlight w:val="none"/>
                <w:lang w:eastAsia="zh-CN"/>
              </w:rPr>
              <w:t>、</w:t>
            </w:r>
            <w:r>
              <w:rPr>
                <w:rFonts w:hint="eastAsia"/>
                <w:color w:val="auto"/>
                <w:highlight w:val="none"/>
                <w:lang w:val="en-US" w:eastAsia="zh-CN"/>
              </w:rPr>
              <w:t>柴油</w:t>
            </w:r>
            <w:r>
              <w:rPr>
                <w:rFonts w:hint="default"/>
                <w:color w:val="auto"/>
                <w:highlight w:val="none"/>
              </w:rPr>
              <w:t>临界量按照附录B表B.1中油类物质（矿物油类，如石油、汽油、柴油等；生物柴油等）临界量2500t计。</w:t>
            </w:r>
          </w:p>
          <w:p w14:paraId="1ABF7AB8">
            <w:pPr>
              <w:keepNext w:val="0"/>
              <w:keepLines w:val="0"/>
              <w:suppressLineNumbers w:val="0"/>
              <w:bidi w:val="0"/>
              <w:spacing w:before="0" w:beforeAutospacing="0" w:after="0" w:afterAutospacing="0"/>
              <w:ind w:left="0" w:right="0"/>
              <w:rPr>
                <w:rFonts w:hint="default"/>
                <w:color w:val="auto"/>
              </w:rPr>
            </w:pPr>
            <w:r>
              <w:rPr>
                <w:rFonts w:hint="default"/>
                <w:color w:val="auto"/>
              </w:rPr>
              <w:t>由上表可知项目Q值为</w:t>
            </w:r>
            <w:r>
              <w:rPr>
                <w:rFonts w:hint="eastAsia"/>
                <w:color w:val="auto"/>
                <w:lang w:val="en-US" w:eastAsia="zh-CN"/>
              </w:rPr>
              <w:t>0.0445</w:t>
            </w:r>
            <w:r>
              <w:rPr>
                <w:rFonts w:hint="default"/>
                <w:color w:val="auto"/>
              </w:rPr>
              <w:t>，即Q＜1，经对照《建设项目环境风险评价导则》（HJ</w:t>
            </w:r>
            <w:r>
              <w:rPr>
                <w:rFonts w:hint="eastAsia"/>
                <w:color w:val="auto"/>
                <w:lang w:val="en-US" w:eastAsia="zh-CN"/>
              </w:rPr>
              <w:t xml:space="preserve"> </w:t>
            </w:r>
            <w:r>
              <w:rPr>
                <w:rFonts w:hint="default"/>
                <w:color w:val="auto"/>
              </w:rPr>
              <w:t>169-2018）中“附录B突发环境事件风险物质及临界量表”和《企业突发环境事件风险分级方法》中“附录A突发环境事件风险物质及临界量清单”，因此确定建设项目环境风险潜势为I，故开展环境风险简单分析。</w:t>
            </w:r>
          </w:p>
          <w:p w14:paraId="042C6E0B">
            <w:pPr>
              <w:keepNext w:val="0"/>
              <w:keepLines w:val="0"/>
              <w:suppressLineNumbers w:val="0"/>
              <w:bidi w:val="0"/>
              <w:spacing w:before="0" w:beforeAutospacing="0" w:after="0" w:afterAutospacing="0"/>
              <w:ind w:left="0" w:right="0"/>
              <w:rPr>
                <w:rFonts w:hint="default"/>
                <w:b w:val="0"/>
                <w:bCs/>
                <w:color w:val="auto"/>
                <w:highlight w:val="none"/>
              </w:rPr>
            </w:pPr>
            <w:r>
              <w:rPr>
                <w:rFonts w:hint="eastAsia"/>
                <w:b w:val="0"/>
                <w:bCs/>
                <w:color w:val="auto"/>
                <w:highlight w:val="none"/>
                <w:lang w:eastAsia="zh-CN"/>
              </w:rPr>
              <w:t>（</w:t>
            </w:r>
            <w:r>
              <w:rPr>
                <w:rFonts w:hint="eastAsia"/>
                <w:b w:val="0"/>
                <w:bCs/>
                <w:color w:val="auto"/>
                <w:highlight w:val="none"/>
                <w:lang w:val="en-US" w:eastAsia="zh-CN"/>
              </w:rPr>
              <w:t>2</w:t>
            </w:r>
            <w:r>
              <w:rPr>
                <w:rFonts w:hint="eastAsia"/>
                <w:b w:val="0"/>
                <w:bCs/>
                <w:color w:val="auto"/>
                <w:highlight w:val="none"/>
                <w:lang w:eastAsia="zh-CN"/>
              </w:rPr>
              <w:t>）</w:t>
            </w:r>
            <w:r>
              <w:rPr>
                <w:rFonts w:hint="default"/>
                <w:b w:val="0"/>
                <w:bCs/>
                <w:color w:val="auto"/>
                <w:highlight w:val="none"/>
              </w:rPr>
              <w:t>环境风险识别</w:t>
            </w:r>
          </w:p>
          <w:p w14:paraId="3B4C4C57">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分析危险物质特性及可能的环境风险类型，识别危险物质影响环境的途径，分析可能影响的环境敏感目标，具体见下表。</w:t>
            </w:r>
          </w:p>
          <w:p w14:paraId="1627BA4D">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 xml:space="preserve"> 建设项目环境风险识别表</w:t>
            </w:r>
          </w:p>
          <w:tbl>
            <w:tblPr>
              <w:tblStyle w:val="28"/>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5"/>
              <w:gridCol w:w="905"/>
              <w:gridCol w:w="926"/>
              <w:gridCol w:w="1069"/>
              <w:gridCol w:w="906"/>
              <w:gridCol w:w="1106"/>
              <w:gridCol w:w="970"/>
              <w:gridCol w:w="1056"/>
            </w:tblGrid>
            <w:tr w14:paraId="3368B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1898FD12">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序号</w:t>
                  </w:r>
                </w:p>
              </w:tc>
              <w:tc>
                <w:tcPr>
                  <w:tcW w:w="907" w:type="dxa"/>
                  <w:tcBorders>
                    <w:tl2br w:val="nil"/>
                    <w:tr2bl w:val="nil"/>
                  </w:tcBorders>
                  <w:noWrap w:val="0"/>
                  <w:vAlign w:val="center"/>
                </w:tcPr>
                <w:p w14:paraId="4032E9BC">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危险单元</w:t>
                  </w:r>
                </w:p>
              </w:tc>
              <w:tc>
                <w:tcPr>
                  <w:tcW w:w="927" w:type="dxa"/>
                  <w:tcBorders>
                    <w:tl2br w:val="nil"/>
                    <w:tr2bl w:val="nil"/>
                  </w:tcBorders>
                  <w:noWrap w:val="0"/>
                  <w:vAlign w:val="center"/>
                </w:tcPr>
                <w:p w14:paraId="725DB055">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风险源</w:t>
                  </w:r>
                </w:p>
              </w:tc>
              <w:tc>
                <w:tcPr>
                  <w:tcW w:w="1070" w:type="dxa"/>
                  <w:tcBorders>
                    <w:tl2br w:val="nil"/>
                    <w:tr2bl w:val="nil"/>
                  </w:tcBorders>
                  <w:noWrap w:val="0"/>
                  <w:vAlign w:val="center"/>
                </w:tcPr>
                <w:p w14:paraId="01B8CEB8">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主要风险物质</w:t>
                  </w:r>
                </w:p>
              </w:tc>
              <w:tc>
                <w:tcPr>
                  <w:tcW w:w="907" w:type="dxa"/>
                  <w:tcBorders>
                    <w:tl2br w:val="nil"/>
                    <w:tr2bl w:val="nil"/>
                  </w:tcBorders>
                  <w:noWrap w:val="0"/>
                  <w:vAlign w:val="center"/>
                </w:tcPr>
                <w:p w14:paraId="4D30D7E3">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环境风险类型</w:t>
                  </w:r>
                </w:p>
              </w:tc>
              <w:tc>
                <w:tcPr>
                  <w:tcW w:w="1107" w:type="dxa"/>
                  <w:tcBorders>
                    <w:tl2br w:val="nil"/>
                    <w:tr2bl w:val="nil"/>
                  </w:tcBorders>
                  <w:noWrap w:val="0"/>
                  <w:vAlign w:val="center"/>
                </w:tcPr>
                <w:p w14:paraId="28983AF2">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环境风险途径</w:t>
                  </w:r>
                </w:p>
              </w:tc>
              <w:tc>
                <w:tcPr>
                  <w:tcW w:w="972" w:type="dxa"/>
                  <w:tcBorders>
                    <w:tl2br w:val="nil"/>
                    <w:tr2bl w:val="nil"/>
                  </w:tcBorders>
                  <w:noWrap w:val="0"/>
                  <w:vAlign w:val="center"/>
                </w:tcPr>
                <w:p w14:paraId="5CC3A0C6">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次生/伴生污染物</w:t>
                  </w:r>
                </w:p>
              </w:tc>
              <w:tc>
                <w:tcPr>
                  <w:tcW w:w="1057" w:type="dxa"/>
                  <w:tcBorders>
                    <w:tl2br w:val="nil"/>
                    <w:tr2bl w:val="nil"/>
                  </w:tcBorders>
                  <w:noWrap w:val="0"/>
                  <w:vAlign w:val="center"/>
                </w:tcPr>
                <w:p w14:paraId="17530F22">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可能影响的环境敏感目标</w:t>
                  </w:r>
                </w:p>
              </w:tc>
            </w:tr>
            <w:tr w14:paraId="55BF9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057D893D">
                  <w:pPr>
                    <w:pStyle w:val="56"/>
                    <w:keepNext w:val="0"/>
                    <w:keepLines w:val="0"/>
                    <w:suppressLineNumbers w:val="0"/>
                    <w:bidi w:val="0"/>
                    <w:spacing w:before="0" w:beforeAutospacing="0" w:after="0" w:afterAutospacing="0"/>
                    <w:ind w:left="0" w:right="0"/>
                    <w:rPr>
                      <w:rFonts w:hint="eastAsia" w:eastAsia="宋体"/>
                      <w:color w:val="auto"/>
                      <w:lang w:eastAsia="zh-CN"/>
                    </w:rPr>
                  </w:pPr>
                  <w:r>
                    <w:rPr>
                      <w:rFonts w:hint="eastAsia"/>
                      <w:color w:val="auto"/>
                      <w:lang w:val="en-US" w:eastAsia="zh-CN"/>
                    </w:rPr>
                    <w:t>1</w:t>
                  </w:r>
                </w:p>
              </w:tc>
              <w:tc>
                <w:tcPr>
                  <w:tcW w:w="907" w:type="dxa"/>
                  <w:tcBorders>
                    <w:tl2br w:val="nil"/>
                    <w:tr2bl w:val="nil"/>
                  </w:tcBorders>
                  <w:noWrap w:val="0"/>
                  <w:vAlign w:val="center"/>
                </w:tcPr>
                <w:p w14:paraId="6219D529">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危废暂存间</w:t>
                  </w:r>
                </w:p>
              </w:tc>
              <w:tc>
                <w:tcPr>
                  <w:tcW w:w="927" w:type="dxa"/>
                  <w:tcBorders>
                    <w:tl2br w:val="nil"/>
                    <w:tr2bl w:val="nil"/>
                  </w:tcBorders>
                  <w:noWrap w:val="0"/>
                  <w:vAlign w:val="center"/>
                </w:tcPr>
                <w:p w14:paraId="62807AF9">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危险废物</w:t>
                  </w:r>
                </w:p>
              </w:tc>
              <w:tc>
                <w:tcPr>
                  <w:tcW w:w="1070" w:type="dxa"/>
                  <w:tcBorders>
                    <w:tl2br w:val="nil"/>
                    <w:tr2bl w:val="nil"/>
                  </w:tcBorders>
                  <w:noWrap w:val="0"/>
                  <w:vAlign w:val="center"/>
                </w:tcPr>
                <w:p w14:paraId="3326A6F2">
                  <w:pPr>
                    <w:pStyle w:val="56"/>
                    <w:keepNext w:val="0"/>
                    <w:keepLines w:val="0"/>
                    <w:suppressLineNumbers w:val="0"/>
                    <w:bidi w:val="0"/>
                    <w:spacing w:before="0" w:beforeAutospacing="0" w:after="0" w:afterAutospacing="0"/>
                    <w:ind w:left="0" w:right="0"/>
                    <w:rPr>
                      <w:rFonts w:hint="default"/>
                      <w:color w:val="auto"/>
                    </w:rPr>
                  </w:pPr>
                  <w:r>
                    <w:rPr>
                      <w:rFonts w:hint="eastAsia" w:cs="Times New Roman"/>
                      <w:color w:val="auto"/>
                      <w:lang w:eastAsia="zh-CN"/>
                    </w:rPr>
                    <w:t>废润滑油</w:t>
                  </w:r>
                </w:p>
              </w:tc>
              <w:tc>
                <w:tcPr>
                  <w:tcW w:w="907" w:type="dxa"/>
                  <w:tcBorders>
                    <w:tl2br w:val="nil"/>
                    <w:tr2bl w:val="nil"/>
                  </w:tcBorders>
                  <w:noWrap w:val="0"/>
                  <w:vAlign w:val="center"/>
                </w:tcPr>
                <w:p w14:paraId="50AF6FDF">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泄漏</w:t>
                  </w:r>
                </w:p>
              </w:tc>
              <w:tc>
                <w:tcPr>
                  <w:tcW w:w="1107" w:type="dxa"/>
                  <w:tcBorders>
                    <w:tl2br w:val="nil"/>
                    <w:tr2bl w:val="nil"/>
                  </w:tcBorders>
                  <w:noWrap w:val="0"/>
                  <w:vAlign w:val="center"/>
                </w:tcPr>
                <w:p w14:paraId="6B7205E0">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液体物质、发生泄漏遇明火或其他易燃物质会发生火灾，甚至发生爆炸</w:t>
                  </w:r>
                </w:p>
              </w:tc>
              <w:tc>
                <w:tcPr>
                  <w:tcW w:w="972" w:type="dxa"/>
                  <w:tcBorders>
                    <w:tl2br w:val="nil"/>
                    <w:tr2bl w:val="nil"/>
                  </w:tcBorders>
                  <w:noWrap w:val="0"/>
                  <w:vAlign w:val="center"/>
                </w:tcPr>
                <w:p w14:paraId="6272D1A6">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有毒气体</w:t>
                  </w:r>
                </w:p>
              </w:tc>
              <w:tc>
                <w:tcPr>
                  <w:tcW w:w="1057" w:type="dxa"/>
                  <w:tcBorders>
                    <w:tl2br w:val="nil"/>
                    <w:tr2bl w:val="nil"/>
                  </w:tcBorders>
                  <w:noWrap w:val="0"/>
                  <w:vAlign w:val="center"/>
                </w:tcPr>
                <w:p w14:paraId="4A08D44B">
                  <w:pPr>
                    <w:pStyle w:val="56"/>
                    <w:keepNext w:val="0"/>
                    <w:keepLines w:val="0"/>
                    <w:suppressLineNumbers w:val="0"/>
                    <w:bidi w:val="0"/>
                    <w:spacing w:before="0" w:beforeAutospacing="0" w:after="0" w:afterAutospacing="0"/>
                    <w:ind w:left="0" w:right="0"/>
                    <w:rPr>
                      <w:rFonts w:hint="default"/>
                      <w:color w:val="auto"/>
                    </w:rPr>
                  </w:pPr>
                  <w:r>
                    <w:rPr>
                      <w:rFonts w:hint="default"/>
                      <w:color w:val="auto"/>
                      <w:highlight w:val="none"/>
                    </w:rPr>
                    <w:t>主要可能影响泄漏点附近的员工，对外环境基本无影响</w:t>
                  </w:r>
                </w:p>
              </w:tc>
            </w:tr>
            <w:tr w14:paraId="271EE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7092B86D">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2</w:t>
                  </w:r>
                </w:p>
              </w:tc>
              <w:tc>
                <w:tcPr>
                  <w:tcW w:w="907" w:type="dxa"/>
                  <w:tcBorders>
                    <w:tl2br w:val="nil"/>
                    <w:tr2bl w:val="nil"/>
                  </w:tcBorders>
                  <w:noWrap w:val="0"/>
                  <w:vAlign w:val="center"/>
                </w:tcPr>
                <w:p w14:paraId="67586D2F">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渗滤液池</w:t>
                  </w:r>
                </w:p>
              </w:tc>
              <w:tc>
                <w:tcPr>
                  <w:tcW w:w="927" w:type="dxa"/>
                  <w:tcBorders>
                    <w:tl2br w:val="nil"/>
                    <w:tr2bl w:val="nil"/>
                  </w:tcBorders>
                  <w:noWrap w:val="0"/>
                  <w:vAlign w:val="center"/>
                </w:tcPr>
                <w:p w14:paraId="2A9F3E2D">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渗滤液</w:t>
                  </w:r>
                </w:p>
              </w:tc>
              <w:tc>
                <w:tcPr>
                  <w:tcW w:w="1070" w:type="dxa"/>
                  <w:tcBorders>
                    <w:tl2br w:val="nil"/>
                    <w:tr2bl w:val="nil"/>
                  </w:tcBorders>
                  <w:noWrap w:val="0"/>
                  <w:vAlign w:val="center"/>
                </w:tcPr>
                <w:p w14:paraId="07A464F9">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渗滤液（含铊）</w:t>
                  </w:r>
                </w:p>
              </w:tc>
              <w:tc>
                <w:tcPr>
                  <w:tcW w:w="907" w:type="dxa"/>
                  <w:tcBorders>
                    <w:tl2br w:val="nil"/>
                    <w:tr2bl w:val="nil"/>
                  </w:tcBorders>
                  <w:noWrap w:val="0"/>
                  <w:vAlign w:val="center"/>
                </w:tcPr>
                <w:p w14:paraId="62FFA166">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泄漏</w:t>
                  </w:r>
                </w:p>
              </w:tc>
              <w:tc>
                <w:tcPr>
                  <w:tcW w:w="1107" w:type="dxa"/>
                  <w:tcBorders>
                    <w:tl2br w:val="nil"/>
                    <w:tr2bl w:val="nil"/>
                  </w:tcBorders>
                  <w:noWrap w:val="0"/>
                  <w:vAlign w:val="center"/>
                </w:tcPr>
                <w:p w14:paraId="1B204786">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泄漏污染大气环境、土壤、地下水</w:t>
                  </w:r>
                </w:p>
              </w:tc>
              <w:tc>
                <w:tcPr>
                  <w:tcW w:w="972" w:type="dxa"/>
                  <w:tcBorders>
                    <w:tl2br w:val="nil"/>
                    <w:tr2bl w:val="nil"/>
                  </w:tcBorders>
                  <w:noWrap w:val="0"/>
                  <w:vAlign w:val="center"/>
                </w:tcPr>
                <w:p w14:paraId="2A53EB79">
                  <w:pPr>
                    <w:pStyle w:val="56"/>
                    <w:keepNext w:val="0"/>
                    <w:keepLines w:val="0"/>
                    <w:suppressLineNumbers w:val="0"/>
                    <w:bidi w:val="0"/>
                    <w:spacing w:before="0" w:beforeAutospacing="0" w:after="0" w:afterAutospacing="0"/>
                    <w:ind w:left="0" w:right="0"/>
                    <w:rPr>
                      <w:rFonts w:hint="default"/>
                      <w:color w:val="auto"/>
                      <w:lang w:val="en-US" w:eastAsia="zh-CN"/>
                    </w:rPr>
                  </w:pPr>
                  <w:r>
                    <w:rPr>
                      <w:rFonts w:hint="eastAsia"/>
                      <w:color w:val="auto"/>
                      <w:lang w:val="en-US" w:eastAsia="zh-CN"/>
                    </w:rPr>
                    <w:t>重金属污染</w:t>
                  </w:r>
                </w:p>
              </w:tc>
              <w:tc>
                <w:tcPr>
                  <w:tcW w:w="1057" w:type="dxa"/>
                  <w:tcBorders>
                    <w:tl2br w:val="nil"/>
                    <w:tr2bl w:val="nil"/>
                  </w:tcBorders>
                  <w:noWrap w:val="0"/>
                  <w:vAlign w:val="center"/>
                </w:tcPr>
                <w:p w14:paraId="586D9CB4">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color w:val="auto"/>
                      <w:lang w:val="en-US" w:eastAsia="zh-CN"/>
                    </w:rPr>
                    <w:t>污染</w:t>
                  </w:r>
                  <w:r>
                    <w:rPr>
                      <w:rFonts w:hint="default"/>
                      <w:color w:val="auto"/>
                    </w:rPr>
                    <w:t>大气环境、土壤、地下水</w:t>
                  </w:r>
                  <w:r>
                    <w:rPr>
                      <w:rFonts w:hint="eastAsia"/>
                      <w:color w:val="auto"/>
                      <w:lang w:val="en-US" w:eastAsia="zh-CN"/>
                    </w:rPr>
                    <w:t>环境</w:t>
                  </w:r>
                </w:p>
              </w:tc>
            </w:tr>
          </w:tbl>
          <w:p w14:paraId="39F7D017">
            <w:pPr>
              <w:keepNext w:val="0"/>
              <w:keepLines w:val="0"/>
              <w:suppressLineNumbers w:val="0"/>
              <w:bidi w:val="0"/>
              <w:spacing w:before="0" w:beforeAutospacing="0" w:after="0" w:afterAutospacing="0"/>
              <w:ind w:left="0" w:right="0"/>
              <w:rPr>
                <w:rFonts w:hint="default"/>
                <w:b w:val="0"/>
                <w:bCs/>
                <w:color w:val="auto"/>
                <w:highlight w:val="none"/>
              </w:rPr>
            </w:pPr>
            <w:r>
              <w:rPr>
                <w:rFonts w:hint="eastAsia"/>
                <w:b w:val="0"/>
                <w:bCs/>
                <w:color w:val="auto"/>
                <w:highlight w:val="none"/>
                <w:lang w:eastAsia="zh-CN"/>
              </w:rPr>
              <w:t>（</w:t>
            </w:r>
            <w:r>
              <w:rPr>
                <w:rFonts w:hint="eastAsia"/>
                <w:b w:val="0"/>
                <w:bCs/>
                <w:color w:val="auto"/>
                <w:highlight w:val="none"/>
                <w:lang w:val="en-US" w:eastAsia="zh-CN"/>
              </w:rPr>
              <w:t>3</w:t>
            </w:r>
            <w:r>
              <w:rPr>
                <w:rFonts w:hint="eastAsia"/>
                <w:b w:val="0"/>
                <w:bCs/>
                <w:color w:val="auto"/>
                <w:highlight w:val="none"/>
                <w:lang w:eastAsia="zh-CN"/>
              </w:rPr>
              <w:t>）</w:t>
            </w:r>
            <w:r>
              <w:rPr>
                <w:rFonts w:hint="default"/>
                <w:b w:val="0"/>
                <w:bCs/>
                <w:color w:val="auto"/>
                <w:highlight w:val="none"/>
              </w:rPr>
              <w:t>环境风险分析</w:t>
            </w:r>
          </w:p>
          <w:p w14:paraId="0D9075B6">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①</w:t>
            </w:r>
            <w:r>
              <w:rPr>
                <w:rFonts w:hint="default"/>
                <w:color w:val="auto"/>
                <w:highlight w:val="none"/>
              </w:rPr>
              <w:t>大气环境风险分析</w:t>
            </w:r>
          </w:p>
          <w:p w14:paraId="46105755">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项目大气环境风险主要来自发生火灾爆炸导致的伴生污染物排放等。厂区内一旦发生火灾或爆炸，将会产生CO、CO</w:t>
            </w:r>
            <w:r>
              <w:rPr>
                <w:rFonts w:hint="default"/>
                <w:color w:val="auto"/>
                <w:highlight w:val="none"/>
                <w:vertAlign w:val="subscript"/>
              </w:rPr>
              <w:t>2</w:t>
            </w:r>
            <w:r>
              <w:rPr>
                <w:rFonts w:hint="default"/>
                <w:color w:val="auto"/>
                <w:highlight w:val="none"/>
              </w:rPr>
              <w:t>等伴生污染物对周围环境空气造成污染。</w:t>
            </w:r>
          </w:p>
          <w:p w14:paraId="010DB486">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②地表水环境风险分析</w:t>
            </w:r>
          </w:p>
          <w:p w14:paraId="655FB2D1">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灭火过程中产生的消防废水和生活污水等未及时收集或泄漏进入雨水管网及周边水体，给周边水体带来不利影响，对人体健康和农业生产造成一定的危害。</w:t>
            </w:r>
          </w:p>
          <w:p w14:paraId="22A0CA8A">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③</w:t>
            </w:r>
            <w:r>
              <w:rPr>
                <w:rFonts w:hint="default"/>
                <w:color w:val="auto"/>
                <w:highlight w:val="none"/>
              </w:rPr>
              <w:t>地下水环境风险分析</w:t>
            </w:r>
          </w:p>
          <w:p w14:paraId="3763491C">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项目风险物质一旦发生泄漏，可通过土壤发生渗漏，对区域地下水环境造成污染。</w:t>
            </w:r>
          </w:p>
          <w:p w14:paraId="3D99E2A9">
            <w:pPr>
              <w:keepNext w:val="0"/>
              <w:keepLines w:val="0"/>
              <w:suppressLineNumbers w:val="0"/>
              <w:bidi w:val="0"/>
              <w:spacing w:before="0" w:beforeAutospacing="0" w:after="0" w:afterAutospacing="0"/>
              <w:ind w:left="0" w:right="0"/>
              <w:rPr>
                <w:rFonts w:hint="default"/>
                <w:b w:val="0"/>
                <w:bCs/>
                <w:color w:val="auto"/>
                <w:highlight w:val="none"/>
              </w:rPr>
            </w:pPr>
            <w:r>
              <w:rPr>
                <w:rFonts w:hint="eastAsia"/>
                <w:b w:val="0"/>
                <w:bCs/>
                <w:color w:val="auto"/>
                <w:highlight w:val="none"/>
                <w:lang w:eastAsia="zh-CN"/>
              </w:rPr>
              <w:t>（</w:t>
            </w:r>
            <w:r>
              <w:rPr>
                <w:rFonts w:hint="eastAsia"/>
                <w:b w:val="0"/>
                <w:bCs/>
                <w:color w:val="auto"/>
                <w:highlight w:val="none"/>
                <w:lang w:val="en-US" w:eastAsia="zh-CN"/>
              </w:rPr>
              <w:t>4</w:t>
            </w:r>
            <w:r>
              <w:rPr>
                <w:rFonts w:hint="eastAsia"/>
                <w:b w:val="0"/>
                <w:bCs/>
                <w:color w:val="auto"/>
                <w:highlight w:val="none"/>
                <w:lang w:eastAsia="zh-CN"/>
              </w:rPr>
              <w:t>）</w:t>
            </w:r>
            <w:r>
              <w:rPr>
                <w:rFonts w:hint="default"/>
                <w:b w:val="0"/>
                <w:bCs/>
                <w:color w:val="auto"/>
                <w:highlight w:val="none"/>
              </w:rPr>
              <w:t>环境风险防范措施及应急要求</w:t>
            </w:r>
          </w:p>
          <w:p w14:paraId="52492DEF">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A.风险物质泄漏风险防范措施：</w:t>
            </w:r>
          </w:p>
          <w:p w14:paraId="7AEBA8CC">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①</w:t>
            </w:r>
            <w:r>
              <w:rPr>
                <w:rFonts w:hint="default"/>
                <w:color w:val="auto"/>
                <w:highlight w:val="none"/>
              </w:rPr>
              <w:t>建议操作人员应经过专门培训，严格遵守操作规程；</w:t>
            </w:r>
          </w:p>
          <w:p w14:paraId="02FDDF82">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②</w:t>
            </w:r>
            <w:r>
              <w:rPr>
                <w:rFonts w:hint="default"/>
                <w:color w:val="auto"/>
                <w:highlight w:val="none"/>
              </w:rPr>
              <w:t>配备相应品种和数量的消防器材及泄漏应急处理设备。建立环境风险管理体系，制定操作规程、安全规章、职工培训、应急计划等。车间布置固定式消防设施，如干粉灭火器及消防水炮力为0.7MPa时，其额定流量为10～25L/s；移动式消防炮为手动操作。</w:t>
            </w:r>
          </w:p>
          <w:p w14:paraId="29B4AE2C">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③</w:t>
            </w:r>
            <w:r>
              <w:rPr>
                <w:rFonts w:hint="default"/>
                <w:color w:val="auto"/>
                <w:highlight w:val="none"/>
              </w:rPr>
              <w:t>委托专业单位进行废气、废水治理工程的设计、施工，确保环保治理设施符合相关规范要求。同时派专业人员负责环保设施的运行、管理、维护，风机等均用一备一，定期维护，严防事故性废气、废水排放。</w:t>
            </w:r>
          </w:p>
          <w:p w14:paraId="29F78294">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④</w:t>
            </w:r>
            <w:r>
              <w:rPr>
                <w:rFonts w:hint="default"/>
                <w:color w:val="auto"/>
                <w:highlight w:val="none"/>
              </w:rPr>
              <w:t>生产车间原辅料一旦发生泄漏事故时，应立即切断一切火源，对原料间喷施泡沫覆盖泄漏物，降低蒸汽危害，并尽快封堵泄漏源。原辅料仓库存放处应贴有禁火标志，定期检查存放情况。凡在装置开停工、检修、生产过程中，可能产生含有可燃、有毒、对环境有污染液体漫流的装置单元周围，应当设置高度不低于150mm，宽度不超过150mm的围堰和导流设施。</w:t>
            </w:r>
          </w:p>
          <w:p w14:paraId="61147EB5">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B.火灾事故风险防范措施</w:t>
            </w:r>
          </w:p>
          <w:p w14:paraId="038569A7">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①</w:t>
            </w:r>
            <w:r>
              <w:rPr>
                <w:rFonts w:hint="default"/>
                <w:color w:val="auto"/>
                <w:highlight w:val="none"/>
              </w:rPr>
              <w:t>消除和控制明火源：在生产区及原料区及成品存放区内设置严禁烟火标志，严禁携带火柴、打火机等；在各厂房处配备灭火器、消防栓、消防沙等消防物资，以便及时扑灭初期火灾。</w:t>
            </w:r>
          </w:p>
          <w:p w14:paraId="6F1A1FC8">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②</w:t>
            </w:r>
            <w:r>
              <w:rPr>
                <w:rFonts w:hint="default"/>
                <w:color w:val="auto"/>
                <w:highlight w:val="none"/>
              </w:rPr>
              <w:t>防止电气火花：采取有效措施防止电气线路和电气设备在开关断开、接触不良、短路、漏电时产生火花，防止静电放电火花；采取防雷接地措施，防止雷电放电火花。</w:t>
            </w:r>
          </w:p>
          <w:p w14:paraId="42F40A7A">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③</w:t>
            </w:r>
            <w:r>
              <w:rPr>
                <w:rFonts w:hint="default"/>
                <w:color w:val="auto"/>
                <w:highlight w:val="none"/>
              </w:rPr>
              <w:t>原料、成品储存于阴凉、通风处。库温不超过30℃，相对湿度不超过85%，保持干燥通风。</w:t>
            </w:r>
          </w:p>
          <w:p w14:paraId="02B0ED8A">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④</w:t>
            </w:r>
            <w:r>
              <w:rPr>
                <w:rFonts w:hint="default"/>
                <w:color w:val="auto"/>
                <w:highlight w:val="none"/>
              </w:rPr>
              <w:t>定期对原料使用过程中的相关人员，如联络员、仓管员、直接使用人员进行过程检查，定期对上述人员进行相关知识教育和岗位职责培训。</w:t>
            </w:r>
          </w:p>
          <w:p w14:paraId="2F3E3798">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C.危险废物的风险防范措施</w:t>
            </w:r>
          </w:p>
          <w:p w14:paraId="26B37D11">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由前面工程分析可知，本项目生产过</w:t>
            </w:r>
            <w:r>
              <w:rPr>
                <w:rFonts w:hint="eastAsia"/>
                <w:color w:val="auto"/>
                <w:highlight w:val="none"/>
                <w:lang w:eastAsia="zh-CN"/>
              </w:rPr>
              <w:t>程中</w:t>
            </w:r>
            <w:r>
              <w:rPr>
                <w:rFonts w:hint="default"/>
                <w:color w:val="auto"/>
                <w:highlight w:val="none"/>
              </w:rPr>
              <w:t>产生的危险废物主要为</w:t>
            </w:r>
            <w:r>
              <w:rPr>
                <w:rFonts w:hint="eastAsia" w:cs="Times New Roman"/>
                <w:color w:val="auto"/>
                <w:lang w:eastAsia="zh-CN"/>
              </w:rPr>
              <w:t>废润滑油</w:t>
            </w:r>
            <w:r>
              <w:rPr>
                <w:rFonts w:hint="default"/>
                <w:color w:val="auto"/>
                <w:highlight w:val="none"/>
              </w:rPr>
              <w:t>等。在建设单位交由有资质的单位处理处置前，厂内必须设置危险废物暂存场所对其进行合理贮存和严格管理，若任意堆放或暂存场所未采取防渗防漏措施或疏于管理，都将造成危险废物中的有毒有害物质进入周边环境，给周边的土壤、生态、水体及空气等环境造成一定的危害。</w:t>
            </w:r>
          </w:p>
          <w:p w14:paraId="5C365009">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危险废物暂存仓的贮存场所须满足以下要求：</w:t>
            </w:r>
          </w:p>
          <w:p w14:paraId="371FF879">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①</w:t>
            </w:r>
            <w:r>
              <w:rPr>
                <w:rFonts w:hint="default"/>
                <w:color w:val="auto"/>
                <w:highlight w:val="none"/>
              </w:rPr>
              <w:t>基础做好防渗层，地面和墙壁设置防渗衬里。</w:t>
            </w:r>
          </w:p>
          <w:p w14:paraId="1FA2DB27">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②</w:t>
            </w:r>
            <w:r>
              <w:rPr>
                <w:rFonts w:hint="default"/>
                <w:color w:val="auto"/>
                <w:highlight w:val="none"/>
              </w:rPr>
              <w:t>堆放危险废物的高度应根据地面承载能力确定。</w:t>
            </w:r>
          </w:p>
          <w:p w14:paraId="66CEE0C3">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③</w:t>
            </w:r>
            <w:r>
              <w:rPr>
                <w:rFonts w:hint="default"/>
                <w:color w:val="auto"/>
                <w:highlight w:val="none"/>
              </w:rPr>
              <w:t>衬里放在一个基础或底座上。</w:t>
            </w:r>
          </w:p>
          <w:p w14:paraId="6CB5831D">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④</w:t>
            </w:r>
            <w:r>
              <w:rPr>
                <w:rFonts w:hint="default"/>
                <w:color w:val="auto"/>
                <w:highlight w:val="none"/>
              </w:rPr>
              <w:t>衬里要能够覆盖危险废物或其溶出物可能涉及的范围。</w:t>
            </w:r>
          </w:p>
          <w:p w14:paraId="6D2C3DA8">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⑤</w:t>
            </w:r>
            <w:r>
              <w:rPr>
                <w:rFonts w:hint="default"/>
                <w:color w:val="auto"/>
                <w:highlight w:val="none"/>
              </w:rPr>
              <w:t>衬里材料与堆放危险废物相容。</w:t>
            </w:r>
          </w:p>
          <w:p w14:paraId="179D3623">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⑥</w:t>
            </w:r>
            <w:r>
              <w:rPr>
                <w:rFonts w:hint="default"/>
                <w:color w:val="auto"/>
                <w:highlight w:val="none"/>
              </w:rPr>
              <w:t>危险废物采用密闭桶/袋装包装，不同类型的危险废物分开包装，不得混合。</w:t>
            </w:r>
          </w:p>
          <w:p w14:paraId="507E80C6">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⑦</w:t>
            </w:r>
            <w:r>
              <w:rPr>
                <w:rFonts w:hint="default"/>
                <w:color w:val="auto"/>
                <w:highlight w:val="none"/>
              </w:rPr>
              <w:t>危险废物临时堆放场要做好防风、防雨、防晒、防渗漏。</w:t>
            </w:r>
          </w:p>
          <w:p w14:paraId="1E22BD4F">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D</w:t>
            </w:r>
            <w:r>
              <w:rPr>
                <w:rFonts w:hint="default"/>
                <w:color w:val="auto"/>
                <w:highlight w:val="none"/>
              </w:rPr>
              <w:t>.危废仓库泄漏防范和应对措施：</w:t>
            </w:r>
          </w:p>
          <w:p w14:paraId="7E18D90A">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①</w:t>
            </w:r>
            <w:r>
              <w:rPr>
                <w:rFonts w:hint="default"/>
                <w:color w:val="auto"/>
                <w:highlight w:val="none"/>
              </w:rPr>
              <w:t>仓库门口应设置墁坡高于室内地面20cm，形成内封闭系统。</w:t>
            </w:r>
          </w:p>
          <w:p w14:paraId="0E4BF84B">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②</w:t>
            </w:r>
            <w:r>
              <w:rPr>
                <w:rFonts w:hint="default"/>
                <w:color w:val="auto"/>
                <w:highlight w:val="none"/>
              </w:rPr>
              <w:t>墙体及地面做好防腐、防渗等措施，废液储存桶周围设置0.3m高的围堰。</w:t>
            </w:r>
          </w:p>
          <w:p w14:paraId="2216BF86">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③</w:t>
            </w:r>
            <w:r>
              <w:rPr>
                <w:rFonts w:hint="default"/>
                <w:color w:val="auto"/>
                <w:highlight w:val="none"/>
              </w:rPr>
              <w:t>配备相应品种和数量的防器材；禁止使用易产生火花的机械设备和工具；要设置“危险”“禁止烟火”等警示标志。</w:t>
            </w:r>
          </w:p>
          <w:p w14:paraId="36794B8C">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④</w:t>
            </w:r>
            <w:r>
              <w:rPr>
                <w:rFonts w:hint="default"/>
                <w:color w:val="auto"/>
                <w:highlight w:val="none"/>
              </w:rPr>
              <w:t>各种废液应按其相应堆放规范堆置，禁止堆置过高，防止滚动。</w:t>
            </w:r>
          </w:p>
          <w:p w14:paraId="2D4D8819">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⑤</w:t>
            </w:r>
            <w:r>
              <w:rPr>
                <w:rFonts w:hint="default"/>
                <w:color w:val="auto"/>
                <w:highlight w:val="none"/>
              </w:rPr>
              <w:t>建立严格的管理和规章制度，废液装卸时，全过程应有人在现场监督，一旦发生事故，立即</w:t>
            </w:r>
            <w:r>
              <w:rPr>
                <w:rFonts w:hint="eastAsia"/>
                <w:color w:val="auto"/>
                <w:highlight w:val="none"/>
                <w:lang w:eastAsia="zh-CN"/>
              </w:rPr>
              <w:t>采取</w:t>
            </w:r>
            <w:r>
              <w:rPr>
                <w:rFonts w:hint="default"/>
                <w:color w:val="auto"/>
                <w:highlight w:val="none"/>
              </w:rPr>
              <w:t>防范措施。</w:t>
            </w:r>
          </w:p>
          <w:p w14:paraId="18F9D6C1">
            <w:pPr>
              <w:keepNext w:val="0"/>
              <w:keepLines w:val="0"/>
              <w:numPr>
                <w:ilvl w:val="0"/>
                <w:numId w:val="16"/>
              </w:numPr>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后期雨水监测措施</w:t>
            </w:r>
          </w:p>
          <w:p w14:paraId="38165300">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项目排水实行雨污分流制。项目后期雨水排放时自动监测铊、氟化物含量，排入园区雨水管网，铊预警限值浓度为5μg/L（参照《工业废水铊污染物排放标准》（DB36/1149-2019）标准限值），氟化物预警限值浓度为2mg/L（参照《无机化学工业污染物排放标准》（GB31573-2015）的水污染物排放限值），超过预警限值浓度后立即停止排放。</w:t>
            </w:r>
          </w:p>
          <w:p w14:paraId="58331FFB">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val="en-US" w:eastAsia="zh-CN"/>
              </w:rPr>
              <w:t>F.</w:t>
            </w:r>
            <w:r>
              <w:rPr>
                <w:rFonts w:hint="eastAsia"/>
                <w:color w:val="auto"/>
                <w:highlight w:val="none"/>
              </w:rPr>
              <w:t>建立环境污染三级防控体系</w:t>
            </w:r>
          </w:p>
          <w:p w14:paraId="1B3E10E5">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本项目</w:t>
            </w:r>
            <w:r>
              <w:rPr>
                <w:rFonts w:hint="eastAsia"/>
                <w:color w:val="auto"/>
                <w:highlight w:val="none"/>
                <w:lang w:eastAsia="zh-CN"/>
              </w:rPr>
              <w:t>应</w:t>
            </w:r>
            <w:r>
              <w:rPr>
                <w:rFonts w:hint="eastAsia"/>
                <w:color w:val="auto"/>
                <w:highlight w:val="none"/>
              </w:rPr>
              <w:t>设置环境风险事故水污染防控三级防控系统，防止环境风险事故造成水污染。为防止生产过程或事故状态污染物进入周边环境，导致环境污染事故，必须坚持预防为主、防控结合，建立安全有效的污染综合预防控制体系。针对项目生产原料、产品的特点，在事故池设施建立一级防控措施，在厂区建立二级预控措施，建立厂外三级防控措施，防止重大生产事故泄漏物料和消防废水造成的环境污染</w:t>
            </w:r>
            <w:r>
              <w:rPr>
                <w:rFonts w:hint="eastAsia"/>
                <w:color w:val="auto"/>
                <w:highlight w:val="none"/>
                <w:lang w:eastAsia="zh-CN"/>
              </w:rPr>
              <w:t>，</w:t>
            </w:r>
            <w:r>
              <w:rPr>
                <w:rFonts w:hint="eastAsia"/>
                <w:color w:val="auto"/>
                <w:highlight w:val="none"/>
                <w:lang w:val="en-US" w:eastAsia="zh-CN"/>
              </w:rPr>
              <w:t>由于租赁厂区已全面停产，与本项目相关的三级防控的责任主体均为</w:t>
            </w:r>
            <w:r>
              <w:rPr>
                <w:rFonts w:hint="default" w:ascii="Times New Roman" w:hAnsi="Times New Roman" w:cs="Times New Roman"/>
                <w:color w:val="auto"/>
                <w:sz w:val="24"/>
                <w:lang w:eastAsia="zh-CN"/>
              </w:rPr>
              <w:t>江西中源再生资源利用有限公司</w:t>
            </w:r>
            <w:r>
              <w:rPr>
                <w:rFonts w:hint="eastAsia"/>
                <w:color w:val="auto"/>
                <w:highlight w:val="none"/>
              </w:rPr>
              <w:t>。具体的三级防控措施设置要求及措施应如下：</w:t>
            </w:r>
          </w:p>
          <w:p w14:paraId="371ADE7C">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①一级防控措施</w:t>
            </w:r>
          </w:p>
          <w:p w14:paraId="1CD604DB">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生产区域的水池、原料及成品堆场四周设置导流沟和渗滤液收集措施可在第一时间内将渗滤液或泄漏的液体截留在小范围内，便于收集处理。</w:t>
            </w:r>
          </w:p>
          <w:p w14:paraId="5984F5D0">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②二级预防控制措施</w:t>
            </w:r>
          </w:p>
          <w:p w14:paraId="2882E66A">
            <w:pPr>
              <w:keepNext w:val="0"/>
              <w:keepLines w:val="0"/>
              <w:suppressLineNumbers w:val="0"/>
              <w:bidi w:val="0"/>
              <w:spacing w:before="0" w:beforeAutospacing="0" w:after="0" w:afterAutospacing="0"/>
              <w:ind w:left="0" w:right="0"/>
              <w:rPr>
                <w:rFonts w:hint="eastAsia"/>
                <w:color w:val="auto"/>
                <w:highlight w:val="none"/>
                <w:lang w:eastAsia="zh-CN"/>
              </w:rPr>
            </w:pPr>
            <w:r>
              <w:rPr>
                <w:rFonts w:hint="eastAsia"/>
                <w:color w:val="auto"/>
                <w:highlight w:val="none"/>
              </w:rPr>
              <w:t>为了预防生产废水处理设施异常导致生产废水外排，</w:t>
            </w:r>
            <w:r>
              <w:rPr>
                <w:rFonts w:hint="eastAsia"/>
                <w:color w:val="auto"/>
                <w:highlight w:val="none"/>
                <w:lang w:eastAsia="zh-CN"/>
              </w:rPr>
              <w:t>现有工程</w:t>
            </w:r>
            <w:r>
              <w:rPr>
                <w:rFonts w:hint="eastAsia"/>
                <w:color w:val="auto"/>
                <w:highlight w:val="none"/>
                <w:lang w:val="en-US" w:eastAsia="zh-CN"/>
              </w:rPr>
              <w:t>1#厂房外东北侧</w:t>
            </w:r>
            <w:r>
              <w:rPr>
                <w:rFonts w:hint="eastAsia"/>
                <w:color w:val="auto"/>
                <w:highlight w:val="none"/>
              </w:rPr>
              <w:t>建设</w:t>
            </w:r>
            <w:r>
              <w:rPr>
                <w:rFonts w:hint="eastAsia"/>
                <w:color w:val="auto"/>
                <w:highlight w:val="none"/>
                <w:lang w:val="en-US" w:eastAsia="zh-CN"/>
              </w:rPr>
              <w:t>有初期雨水池</w:t>
            </w:r>
            <w:r>
              <w:rPr>
                <w:rFonts w:hint="eastAsia"/>
                <w:color w:val="auto"/>
                <w:highlight w:val="none"/>
              </w:rPr>
              <w:t>容积为</w:t>
            </w:r>
            <w:r>
              <w:rPr>
                <w:rFonts w:hint="eastAsia"/>
                <w:color w:val="auto"/>
                <w:highlight w:val="none"/>
                <w:lang w:val="en-US" w:eastAsia="zh-CN"/>
              </w:rPr>
              <w:t>960m</w:t>
            </w:r>
            <w:r>
              <w:rPr>
                <w:rFonts w:hint="default" w:ascii="Times New Roman" w:hAnsi="Times New Roman" w:eastAsia="宋体" w:cs="Times New Roman"/>
                <w:color w:val="auto"/>
                <w:vertAlign w:val="superscript"/>
                <w:lang w:val="en-US" w:eastAsia="zh-CN"/>
              </w:rPr>
              <w:t>3</w:t>
            </w:r>
            <w:r>
              <w:rPr>
                <w:rFonts w:hint="eastAsia"/>
                <w:color w:val="auto"/>
                <w:highlight w:val="none"/>
                <w:lang w:eastAsia="zh-CN"/>
              </w:rPr>
              <w:t>，</w:t>
            </w:r>
            <w:r>
              <w:rPr>
                <w:rFonts w:hint="eastAsia"/>
                <w:color w:val="auto"/>
                <w:highlight w:val="none"/>
              </w:rPr>
              <w:t>一旦出现生产废水处理设施异常或是池体破裂生产废水进入事故池，生产废水处理设施检修正常后再由泵+管道导入预处理后回用，禁止外排</w:t>
            </w:r>
            <w:r>
              <w:rPr>
                <w:rFonts w:hint="eastAsia"/>
                <w:color w:val="auto"/>
                <w:highlight w:val="none"/>
                <w:lang w:eastAsia="zh-CN"/>
              </w:rPr>
              <w:t>。</w:t>
            </w:r>
          </w:p>
          <w:p w14:paraId="4068EA4C">
            <w:pPr>
              <w:keepNext w:val="0"/>
              <w:keepLines w:val="0"/>
              <w:suppressLineNumbers w:val="0"/>
              <w:bidi w:val="0"/>
              <w:spacing w:before="0" w:beforeAutospacing="0" w:after="0" w:afterAutospacing="0"/>
              <w:ind w:left="0" w:right="0"/>
              <w:rPr>
                <w:rFonts w:hint="eastAsia"/>
                <w:color w:val="auto"/>
                <w:highlight w:val="none"/>
                <w:lang w:eastAsia="zh-CN"/>
              </w:rPr>
            </w:pPr>
            <w:r>
              <w:rPr>
                <w:rFonts w:hint="eastAsia"/>
                <w:color w:val="auto"/>
                <w:highlight w:val="none"/>
                <w:lang w:eastAsia="zh-CN"/>
              </w:rPr>
              <w:t>建设单位依托现有工程已建的初期雨水收集池（</w:t>
            </w:r>
            <w:r>
              <w:rPr>
                <w:rFonts w:hint="eastAsia"/>
                <w:color w:val="auto"/>
                <w:highlight w:val="none"/>
                <w:lang w:val="en-US" w:eastAsia="zh-CN"/>
              </w:rPr>
              <w:t>960m</w:t>
            </w:r>
            <w:r>
              <w:rPr>
                <w:rFonts w:hint="default" w:ascii="Times New Roman" w:hAnsi="Times New Roman" w:eastAsia="宋体" w:cs="Times New Roman"/>
                <w:color w:val="auto"/>
                <w:vertAlign w:val="superscript"/>
                <w:lang w:val="en-US" w:eastAsia="zh-CN"/>
              </w:rPr>
              <w:t>3</w:t>
            </w:r>
            <w:r>
              <w:rPr>
                <w:rFonts w:hint="eastAsia"/>
                <w:color w:val="auto"/>
                <w:highlight w:val="none"/>
                <w:lang w:eastAsia="zh-CN"/>
              </w:rPr>
              <w:t>），</w:t>
            </w:r>
            <w:r>
              <w:rPr>
                <w:rFonts w:hint="eastAsia"/>
                <w:color w:val="auto"/>
                <w:lang w:eastAsia="zh-CN"/>
              </w:rPr>
              <w:t>本项目</w:t>
            </w:r>
            <w:r>
              <w:rPr>
                <w:rFonts w:hint="eastAsia"/>
                <w:color w:val="auto"/>
                <w:highlight w:val="none"/>
                <w:lang w:eastAsia="zh-CN"/>
              </w:rPr>
              <w:t>已在厂区进行地下水分区防渗措施，雨污水管网和在线监测设备已按环评要求设置；生产区域的水池、原料及成品堆场四周设置导流沟和渗滤液收集措施可在第一时间内将渗滤液或泄漏的液体截留在小范围内，便于收集处理；为了预防生产废水处理设施异常导致生产废水外排，本项目建设事故应急池容积</w:t>
            </w:r>
            <w:r>
              <w:rPr>
                <w:rFonts w:hint="eastAsia"/>
                <w:color w:val="auto"/>
                <w:highlight w:val="none"/>
                <w:lang w:val="en-US" w:eastAsia="zh-CN"/>
              </w:rPr>
              <w:t>1200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highlight w:val="none"/>
                <w:lang w:eastAsia="zh-CN"/>
              </w:rPr>
              <w:t>，一旦出现生产废水处理设施异常或池体破裂生产废水进入事故池，生产废水处理设施检修正常后再由泵+管道导入预处理后回用，可满足全厂事故废水收集要求。</w:t>
            </w:r>
          </w:p>
          <w:p w14:paraId="0F42CAAB">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参考中国石化集团公司《水体污染防控紧急措施设计导则》，事故池总有效容积按下式计算：</w:t>
            </w:r>
          </w:p>
          <w:p w14:paraId="1065B021">
            <w:pPr>
              <w:keepNext w:val="0"/>
              <w:keepLines w:val="0"/>
              <w:widowControl/>
              <w:suppressLineNumbers w:val="0"/>
              <w:autoSpaceDE w:val="0"/>
              <w:autoSpaceDN w:val="0"/>
              <w:adjustRightInd w:val="0"/>
              <w:spacing w:before="0" w:beforeAutospacing="0" w:after="0" w:afterAutospacing="0" w:line="360" w:lineRule="auto"/>
              <w:ind w:left="0" w:right="0"/>
              <w:jc w:val="center"/>
              <w:textAlignment w:val="baseline"/>
              <w:rPr>
                <w:rFonts w:hint="default"/>
                <w:b/>
                <w:color w:val="auto"/>
                <w:kern w:val="0"/>
                <w:sz w:val="24"/>
                <w:szCs w:val="20"/>
                <w:highlight w:val="none"/>
              </w:rPr>
            </w:pPr>
            <w:r>
              <w:rPr>
                <w:rFonts w:hint="default"/>
                <w:b/>
                <w:color w:val="auto"/>
                <w:kern w:val="0"/>
                <w:sz w:val="24"/>
                <w:szCs w:val="20"/>
                <w:highlight w:val="none"/>
              </w:rPr>
              <w:t>V</w:t>
            </w:r>
            <w:r>
              <w:rPr>
                <w:rFonts w:hint="default"/>
                <w:b/>
                <w:color w:val="auto"/>
                <w:kern w:val="0"/>
                <w:sz w:val="24"/>
                <w:szCs w:val="20"/>
                <w:highlight w:val="none"/>
                <w:vertAlign w:val="subscript"/>
              </w:rPr>
              <w:t>总</w:t>
            </w:r>
            <w:r>
              <w:rPr>
                <w:rFonts w:hint="default"/>
                <w:b/>
                <w:color w:val="auto"/>
                <w:kern w:val="0"/>
                <w:sz w:val="24"/>
                <w:szCs w:val="20"/>
                <w:highlight w:val="none"/>
              </w:rPr>
              <w:t>＝（V</w:t>
            </w:r>
            <w:r>
              <w:rPr>
                <w:rFonts w:hint="default"/>
                <w:b/>
                <w:color w:val="auto"/>
                <w:kern w:val="0"/>
                <w:sz w:val="24"/>
                <w:szCs w:val="20"/>
                <w:highlight w:val="none"/>
                <w:vertAlign w:val="subscript"/>
              </w:rPr>
              <w:t>1</w:t>
            </w:r>
            <w:r>
              <w:rPr>
                <w:rFonts w:hint="default"/>
                <w:b/>
                <w:color w:val="auto"/>
                <w:kern w:val="0"/>
                <w:sz w:val="24"/>
                <w:szCs w:val="20"/>
                <w:highlight w:val="none"/>
              </w:rPr>
              <w:t>＋V</w:t>
            </w:r>
            <w:r>
              <w:rPr>
                <w:rFonts w:hint="default"/>
                <w:b/>
                <w:color w:val="auto"/>
                <w:kern w:val="0"/>
                <w:sz w:val="24"/>
                <w:szCs w:val="20"/>
                <w:highlight w:val="none"/>
                <w:vertAlign w:val="subscript"/>
              </w:rPr>
              <w:t>2</w:t>
            </w:r>
            <w:r>
              <w:rPr>
                <w:rFonts w:hint="default"/>
                <w:b/>
                <w:color w:val="auto"/>
                <w:kern w:val="0"/>
                <w:sz w:val="24"/>
                <w:szCs w:val="20"/>
                <w:highlight w:val="none"/>
              </w:rPr>
              <w:t>－V</w:t>
            </w:r>
            <w:r>
              <w:rPr>
                <w:rFonts w:hint="default"/>
                <w:b/>
                <w:color w:val="auto"/>
                <w:kern w:val="0"/>
                <w:sz w:val="24"/>
                <w:szCs w:val="20"/>
                <w:highlight w:val="none"/>
                <w:vertAlign w:val="subscript"/>
              </w:rPr>
              <w:t>3</w:t>
            </w:r>
            <w:r>
              <w:rPr>
                <w:rFonts w:hint="default"/>
                <w:b/>
                <w:color w:val="auto"/>
                <w:kern w:val="0"/>
                <w:sz w:val="24"/>
                <w:szCs w:val="20"/>
                <w:highlight w:val="none"/>
              </w:rPr>
              <w:t>）</w:t>
            </w:r>
            <w:r>
              <w:rPr>
                <w:rFonts w:hint="default"/>
                <w:b/>
                <w:color w:val="auto"/>
                <w:kern w:val="0"/>
                <w:sz w:val="24"/>
                <w:szCs w:val="20"/>
                <w:highlight w:val="none"/>
                <w:vertAlign w:val="subscript"/>
              </w:rPr>
              <w:t>max</w:t>
            </w:r>
            <w:r>
              <w:rPr>
                <w:rFonts w:hint="default"/>
                <w:b/>
                <w:color w:val="auto"/>
                <w:kern w:val="0"/>
                <w:sz w:val="24"/>
                <w:szCs w:val="20"/>
                <w:highlight w:val="none"/>
              </w:rPr>
              <w:t>+V</w:t>
            </w:r>
            <w:r>
              <w:rPr>
                <w:rFonts w:hint="default"/>
                <w:b/>
                <w:color w:val="auto"/>
                <w:kern w:val="0"/>
                <w:sz w:val="24"/>
                <w:szCs w:val="20"/>
                <w:highlight w:val="none"/>
                <w:vertAlign w:val="subscript"/>
              </w:rPr>
              <w:t>4</w:t>
            </w:r>
            <w:r>
              <w:rPr>
                <w:rFonts w:hint="default"/>
                <w:b/>
                <w:color w:val="auto"/>
                <w:kern w:val="0"/>
                <w:sz w:val="24"/>
                <w:szCs w:val="20"/>
                <w:highlight w:val="none"/>
              </w:rPr>
              <w:t>+V</w:t>
            </w:r>
            <w:r>
              <w:rPr>
                <w:rFonts w:hint="default"/>
                <w:b/>
                <w:color w:val="auto"/>
                <w:kern w:val="0"/>
                <w:sz w:val="24"/>
                <w:szCs w:val="20"/>
                <w:highlight w:val="none"/>
                <w:vertAlign w:val="subscript"/>
              </w:rPr>
              <w:t>5</w:t>
            </w:r>
          </w:p>
          <w:p w14:paraId="2822A9B2">
            <w:pPr>
              <w:pStyle w:val="13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注：计算应急事故废水量时，装置区或贮罐区事故不作同时发生考虑，取其中的最大值。</w:t>
            </w:r>
          </w:p>
          <w:p w14:paraId="54D4E4FC">
            <w:pPr>
              <w:pStyle w:val="13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V</w:t>
            </w:r>
            <w:r>
              <w:rPr>
                <w:rFonts w:hint="default"/>
                <w:color w:val="auto"/>
                <w:highlight w:val="none"/>
                <w:vertAlign w:val="subscript"/>
              </w:rPr>
              <w:t>1</w:t>
            </w:r>
            <w:r>
              <w:rPr>
                <w:rFonts w:hint="default"/>
                <w:color w:val="auto"/>
                <w:highlight w:val="none"/>
              </w:rPr>
              <w:t>——最大一个容量的设备或贮罐。</w:t>
            </w:r>
            <w:r>
              <w:rPr>
                <w:rFonts w:hint="eastAsia"/>
                <w:color w:val="auto"/>
                <w:highlight w:val="none"/>
              </w:rPr>
              <w:t>项目不设储罐，故V1=0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highlight w:val="none"/>
              </w:rPr>
              <w:t>；</w:t>
            </w:r>
          </w:p>
          <w:p w14:paraId="066170CA">
            <w:pPr>
              <w:pStyle w:val="13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V</w:t>
            </w:r>
            <w:r>
              <w:rPr>
                <w:rFonts w:hint="default"/>
                <w:color w:val="auto"/>
                <w:highlight w:val="none"/>
                <w:vertAlign w:val="subscript"/>
              </w:rPr>
              <w:t>2</w:t>
            </w:r>
            <w:r>
              <w:rPr>
                <w:rFonts w:hint="default"/>
                <w:color w:val="auto"/>
                <w:highlight w:val="none"/>
              </w:rPr>
              <w:t>——一旦发生火灾、爆炸时的消防用水量，包括扑灭火灾所需用水量和保护</w:t>
            </w:r>
            <w:r>
              <w:rPr>
                <w:rFonts w:hint="eastAsia"/>
                <w:color w:val="auto"/>
                <w:highlight w:val="none"/>
                <w:lang w:eastAsia="zh-CN"/>
              </w:rPr>
              <w:t>邻近</w:t>
            </w:r>
            <w:r>
              <w:rPr>
                <w:rFonts w:hint="default"/>
                <w:color w:val="auto"/>
                <w:highlight w:val="none"/>
              </w:rPr>
              <w:t>设备的喷淋水量。</w:t>
            </w:r>
          </w:p>
          <w:p w14:paraId="6330B5AB">
            <w:pPr>
              <w:pStyle w:val="13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发生事故时的消防水量，</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color w:val="auto"/>
                <w:highlight w:val="none"/>
              </w:rPr>
              <w:t>；</w:t>
            </w:r>
          </w:p>
          <w:p w14:paraId="5EB65B7A">
            <w:pPr>
              <w:keepNext w:val="0"/>
              <w:keepLines w:val="0"/>
              <w:widowControl/>
              <w:suppressLineNumbers w:val="0"/>
              <w:autoSpaceDE w:val="0"/>
              <w:autoSpaceDN w:val="0"/>
              <w:adjustRightInd w:val="0"/>
              <w:spacing w:before="0" w:beforeAutospacing="0" w:after="0" w:afterAutospacing="0" w:line="360" w:lineRule="auto"/>
              <w:ind w:left="0" w:right="0"/>
              <w:jc w:val="center"/>
              <w:textAlignment w:val="baseline"/>
              <w:rPr>
                <w:rFonts w:hint="default"/>
                <w:b/>
                <w:color w:val="auto"/>
                <w:kern w:val="0"/>
                <w:sz w:val="24"/>
                <w:szCs w:val="20"/>
                <w:highlight w:val="none"/>
              </w:rPr>
            </w:pPr>
            <w:r>
              <w:rPr>
                <w:rFonts w:hint="default"/>
                <w:b/>
                <w:color w:val="auto"/>
                <w:kern w:val="0"/>
                <w:sz w:val="24"/>
                <w:szCs w:val="20"/>
                <w:highlight w:val="none"/>
              </w:rPr>
              <w:object>
                <v:shape id="_x0000_i1046" o:spt="75" type="#_x0000_t75" style="height:14.25pt;width:72pt;" o:ole="t" filled="f" o:preferrelative="t" stroked="f" coordsize="21600,21600">
                  <v:path/>
                  <v:fill on="f" focussize="0,0"/>
                  <v:stroke on="f" joinstyle="miter"/>
                  <v:imagedata r:id="rId62" o:title=""/>
                  <o:lock v:ext="edit" aspectratio="t"/>
                  <w10:wrap type="none"/>
                  <w10:anchorlock/>
                </v:shape>
                <o:OLEObject Type="Embed" ProgID="Acrobat.Document.DC" ShapeID="_x0000_i1046" DrawAspect="Content" ObjectID="_1468075746" r:id="rId61">
                  <o:LockedField>false</o:LockedField>
                </o:OLEObject>
              </w:object>
            </w:r>
          </w:p>
          <w:p w14:paraId="14E048EA">
            <w:pPr>
              <w:pStyle w:val="13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Q</w:t>
            </w:r>
            <w:r>
              <w:rPr>
                <w:rFonts w:hint="default"/>
                <w:color w:val="auto"/>
                <w:highlight w:val="none"/>
                <w:vertAlign w:val="subscript"/>
              </w:rPr>
              <w:t>消</w:t>
            </w:r>
            <w:r>
              <w:rPr>
                <w:rFonts w:hint="default"/>
                <w:color w:val="auto"/>
                <w:highlight w:val="none"/>
              </w:rPr>
              <w:t>——发生事故的储罐或装置的同时使用的消防设施给水流量，</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color w:val="auto"/>
                <w:highlight w:val="none"/>
              </w:rPr>
              <w:t>/h；根据《消防给水及消防栓系统技术规范》</w:t>
            </w:r>
            <w:r>
              <w:rPr>
                <w:rFonts w:hint="eastAsia"/>
                <w:color w:val="auto"/>
                <w:highlight w:val="none"/>
              </w:rPr>
              <w:t>（</w:t>
            </w:r>
            <w:r>
              <w:rPr>
                <w:rFonts w:hint="default"/>
                <w:color w:val="auto"/>
                <w:highlight w:val="none"/>
              </w:rPr>
              <w:t>GB50974-2014</w:t>
            </w:r>
            <w:r>
              <w:rPr>
                <w:rFonts w:hint="eastAsia"/>
                <w:color w:val="auto"/>
                <w:highlight w:val="none"/>
              </w:rPr>
              <w:t>）</w:t>
            </w:r>
            <w:r>
              <w:rPr>
                <w:rFonts w:hint="default"/>
                <w:color w:val="auto"/>
                <w:highlight w:val="none"/>
              </w:rPr>
              <w:t>计算，室外消防栓设计流量20L/s、室内消防栓设计流量10L/s，本评价假设项目出现火灾时，按消防水量消耗30L/s计算</w:t>
            </w:r>
          </w:p>
          <w:p w14:paraId="7B59FA91">
            <w:pPr>
              <w:pStyle w:val="13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t</w:t>
            </w:r>
            <w:r>
              <w:rPr>
                <w:rFonts w:hint="default"/>
                <w:color w:val="auto"/>
                <w:highlight w:val="none"/>
                <w:vertAlign w:val="subscript"/>
              </w:rPr>
              <w:t>消</w:t>
            </w:r>
            <w:r>
              <w:rPr>
                <w:rFonts w:hint="default"/>
                <w:color w:val="auto"/>
                <w:highlight w:val="none"/>
              </w:rPr>
              <w:t>——消防设施对应的设计消防历时，h；（本项目事故持续时间假定为2h），所以，本次环评一次事故收集的消防废水量取216</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color w:val="auto"/>
                <w:highlight w:val="none"/>
              </w:rPr>
              <w:t>。</w:t>
            </w:r>
          </w:p>
          <w:p w14:paraId="45EE8A68">
            <w:pPr>
              <w:pStyle w:val="13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V</w:t>
            </w:r>
            <w:r>
              <w:rPr>
                <w:rFonts w:hint="default"/>
                <w:color w:val="auto"/>
                <w:highlight w:val="none"/>
                <w:vertAlign w:val="subscript"/>
              </w:rPr>
              <w:t>3</w:t>
            </w:r>
            <w:r>
              <w:rPr>
                <w:rFonts w:hint="default"/>
                <w:color w:val="auto"/>
                <w:highlight w:val="none"/>
              </w:rPr>
              <w:t>——发生事故时可以传输到其他储存或处理设施的物料量，</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color w:val="auto"/>
                <w:highlight w:val="none"/>
              </w:rPr>
              <w:t>，本项目取0。</w:t>
            </w:r>
          </w:p>
          <w:p w14:paraId="6B4089D3">
            <w:pPr>
              <w:pStyle w:val="13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V</w:t>
            </w:r>
            <w:r>
              <w:rPr>
                <w:rFonts w:hint="default"/>
                <w:color w:val="auto"/>
                <w:highlight w:val="none"/>
                <w:vertAlign w:val="subscript"/>
              </w:rPr>
              <w:t>4</w:t>
            </w:r>
            <w:r>
              <w:rPr>
                <w:rFonts w:hint="default"/>
                <w:color w:val="auto"/>
                <w:highlight w:val="none"/>
              </w:rPr>
              <w:t>——发生事故时仍必须进入该收集系统的生产废水量，</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color w:val="auto"/>
                <w:highlight w:val="none"/>
              </w:rPr>
              <w:t>，</w:t>
            </w:r>
            <w:r>
              <w:rPr>
                <w:rFonts w:hint="eastAsia"/>
                <w:color w:val="auto"/>
                <w:highlight w:val="none"/>
              </w:rPr>
              <w:t>项目生产废水有单独的收集处理系统，无生产废水进入厂区事故池，V4=0；</w:t>
            </w:r>
          </w:p>
          <w:p w14:paraId="2A90D671">
            <w:pPr>
              <w:pStyle w:val="137"/>
              <w:keepNext w:val="0"/>
              <w:keepLines w:val="0"/>
              <w:suppressLineNumbers w:val="0"/>
              <w:spacing w:before="0" w:beforeAutospacing="0" w:after="0" w:afterAutospacing="0"/>
              <w:ind w:left="0" w:right="0"/>
              <w:rPr>
                <w:rFonts w:hint="default"/>
                <w:color w:val="auto"/>
                <w:szCs w:val="20"/>
              </w:rPr>
            </w:pPr>
            <w:r>
              <w:rPr>
                <w:rFonts w:hint="default"/>
                <w:color w:val="auto"/>
                <w:highlight w:val="none"/>
              </w:rPr>
              <w:t>V</w:t>
            </w:r>
            <w:r>
              <w:rPr>
                <w:rFonts w:hint="default"/>
                <w:color w:val="auto"/>
                <w:highlight w:val="none"/>
                <w:vertAlign w:val="subscript"/>
              </w:rPr>
              <w:t>5</w:t>
            </w:r>
            <w:r>
              <w:rPr>
                <w:rFonts w:hint="default"/>
                <w:color w:val="auto"/>
                <w:highlight w:val="none"/>
              </w:rPr>
              <w:t>——发生事故时可能进入该收集系统的降雨量，</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color w:val="auto"/>
                <w:highlight w:val="none"/>
              </w:rPr>
              <w:t>，</w:t>
            </w:r>
            <w:r>
              <w:rPr>
                <w:rFonts w:hint="eastAsia"/>
                <w:color w:val="auto"/>
                <w:szCs w:val="20"/>
              </w:rPr>
              <w:t>本项目V</w:t>
            </w:r>
            <w:r>
              <w:rPr>
                <w:rFonts w:hint="eastAsia"/>
                <w:color w:val="auto"/>
                <w:szCs w:val="20"/>
                <w:vertAlign w:val="subscript"/>
              </w:rPr>
              <w:t>5</w:t>
            </w:r>
            <w:r>
              <w:rPr>
                <w:rFonts w:hint="eastAsia"/>
                <w:color w:val="auto"/>
                <w:szCs w:val="20"/>
              </w:rPr>
              <w:t>=</w:t>
            </w:r>
            <w:r>
              <w:rPr>
                <w:rFonts w:hint="eastAsia" w:ascii="Times New Roman" w:hAnsi="Times New Roman" w:eastAsia="宋体" w:cs="Times New Roman"/>
                <w:color w:val="auto"/>
                <w:highlight w:val="none"/>
                <w:lang w:val="en-US" w:eastAsia="zh-CN"/>
              </w:rPr>
              <w:t>180</w:t>
            </w:r>
            <w:r>
              <w:rPr>
                <w:rFonts w:hint="eastAsia" w:ascii="Times New Roman" w:hAnsi="Times New Roman" w:eastAsia="宋体" w:cs="Times New Roman"/>
                <w:color w:val="auto"/>
                <w:highlight w:val="none"/>
              </w:rPr>
              <w:t>。</w:t>
            </w:r>
          </w:p>
          <w:p w14:paraId="117F798E">
            <w:pPr>
              <w:pStyle w:val="137"/>
              <w:keepNext w:val="0"/>
              <w:keepLines w:val="0"/>
              <w:suppressLineNumbers w:val="0"/>
              <w:spacing w:before="0" w:beforeAutospacing="0" w:after="0" w:afterAutospacing="0"/>
              <w:ind w:left="0" w:right="0"/>
              <w:rPr>
                <w:rFonts w:hint="eastAsia" w:eastAsia="宋体"/>
                <w:color w:val="auto"/>
                <w:vertAlign w:val="baseline"/>
                <w:lang w:eastAsia="zh-CN"/>
              </w:rPr>
            </w:pPr>
            <w:r>
              <w:rPr>
                <w:rFonts w:hint="eastAsia"/>
                <w:color w:val="auto"/>
              </w:rPr>
              <w:t>综上，</w:t>
            </w:r>
            <w:r>
              <w:rPr>
                <w:rFonts w:hint="default"/>
                <w:color w:val="auto"/>
              </w:rPr>
              <w:t>V</w:t>
            </w:r>
            <w:r>
              <w:rPr>
                <w:rFonts w:hint="eastAsia"/>
                <w:color w:val="auto"/>
              </w:rPr>
              <w:t>总</w:t>
            </w:r>
            <w:r>
              <w:rPr>
                <w:rFonts w:hint="default"/>
                <w:color w:val="auto"/>
              </w:rPr>
              <w:t>=</w:t>
            </w:r>
            <w:r>
              <w:rPr>
                <w:rFonts w:hint="eastAsia"/>
                <w:color w:val="auto"/>
              </w:rPr>
              <w:t>（</w:t>
            </w:r>
            <w:r>
              <w:rPr>
                <w:rFonts w:hint="default"/>
                <w:color w:val="auto"/>
              </w:rPr>
              <w:t>V1+V2</w:t>
            </w:r>
            <w:r>
              <w:rPr>
                <w:rFonts w:hint="eastAsia"/>
                <w:color w:val="auto"/>
              </w:rPr>
              <w:t>－</w:t>
            </w:r>
            <w:r>
              <w:rPr>
                <w:rFonts w:hint="default"/>
                <w:color w:val="auto"/>
              </w:rPr>
              <w:t>V3</w:t>
            </w:r>
            <w:r>
              <w:rPr>
                <w:rFonts w:hint="eastAsia"/>
                <w:color w:val="auto"/>
              </w:rPr>
              <w:t>）</w:t>
            </w:r>
            <w:r>
              <w:rPr>
                <w:rFonts w:hint="default"/>
                <w:color w:val="auto"/>
              </w:rPr>
              <w:t>+V4+V5</w:t>
            </w:r>
            <w:r>
              <w:rPr>
                <w:rFonts w:hint="eastAsia"/>
                <w:color w:val="auto"/>
              </w:rPr>
              <w:t>＝</w:t>
            </w:r>
            <w:r>
              <w:rPr>
                <w:rFonts w:hint="default"/>
                <w:color w:val="auto"/>
              </w:rPr>
              <w:t>(0+2</w:t>
            </w:r>
            <w:r>
              <w:rPr>
                <w:rFonts w:hint="eastAsia"/>
                <w:color w:val="auto"/>
              </w:rPr>
              <w:t>16</w:t>
            </w:r>
            <w:r>
              <w:rPr>
                <w:rFonts w:hint="default"/>
                <w:color w:val="auto"/>
              </w:rPr>
              <w:t>-0)+</w:t>
            </w:r>
            <w:r>
              <w:rPr>
                <w:rFonts w:hint="eastAsia"/>
                <w:color w:val="auto"/>
              </w:rPr>
              <w:t>0</w:t>
            </w:r>
            <w:r>
              <w:rPr>
                <w:rFonts w:hint="default"/>
                <w:color w:val="auto"/>
              </w:rPr>
              <w:t>+</w:t>
            </w:r>
            <w:r>
              <w:rPr>
                <w:rFonts w:hint="eastAsia" w:ascii="Times New Roman" w:hAnsi="Times New Roman" w:eastAsia="宋体" w:cs="Times New Roman"/>
                <w:color w:val="auto"/>
                <w:highlight w:val="none"/>
                <w:lang w:val="en-US" w:eastAsia="zh-CN"/>
              </w:rPr>
              <w:t>450</w:t>
            </w:r>
            <w:r>
              <w:rPr>
                <w:rFonts w:hint="eastAsia"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val="en-US" w:eastAsia="zh-CN"/>
              </w:rPr>
              <w:t>396</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ascii="Times New Roman" w:hAnsi="Times New Roman" w:eastAsia="宋体" w:cs="Times New Roman"/>
                <w:color w:val="auto"/>
                <w:highlight w:val="none"/>
                <w:lang w:eastAsia="zh-CN"/>
              </w:rPr>
              <w:t>，</w:t>
            </w:r>
          </w:p>
          <w:p w14:paraId="5F8A5F73">
            <w:pPr>
              <w:pStyle w:val="137"/>
              <w:keepNext w:val="0"/>
              <w:keepLines w:val="0"/>
              <w:suppressLineNumbers w:val="0"/>
              <w:spacing w:before="0" w:beforeAutospacing="0" w:after="0" w:afterAutospacing="0"/>
              <w:ind w:left="0" w:right="0"/>
              <w:rPr>
                <w:rFonts w:hint="default"/>
                <w:color w:val="auto"/>
                <w:highlight w:val="none"/>
              </w:rPr>
            </w:pPr>
            <w:r>
              <w:rPr>
                <w:rFonts w:hint="eastAsia" w:ascii="宋体" w:hAnsi="宋体"/>
                <w:color w:val="auto"/>
                <w:highlight w:val="none"/>
              </w:rPr>
              <w:t>③</w:t>
            </w:r>
            <w:r>
              <w:rPr>
                <w:rFonts w:hint="eastAsia"/>
                <w:color w:val="auto"/>
                <w:highlight w:val="none"/>
              </w:rPr>
              <w:t>三级预防控制措施</w:t>
            </w:r>
          </w:p>
          <w:p w14:paraId="13AB128A">
            <w:pPr>
              <w:pStyle w:val="137"/>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园区建有三级风险防控措施</w:t>
            </w:r>
            <w:r>
              <w:rPr>
                <w:rFonts w:hint="eastAsia"/>
                <w:color w:val="auto"/>
                <w:highlight w:val="none"/>
                <w:lang w:eastAsia="zh-CN"/>
              </w:rPr>
              <w:t>：</w:t>
            </w:r>
            <w:r>
              <w:rPr>
                <w:rFonts w:hint="eastAsia"/>
                <w:color w:val="auto"/>
                <w:highlight w:val="none"/>
              </w:rPr>
              <w:t>江西省建筑陶瓷产业基地污水处理厂设事故池1座（10000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highlight w:val="none"/>
              </w:rPr>
              <w:t>，位于园区地势最低处）和专用管道，收集江西省建筑陶瓷产业基地各企业的废水，经进一步处理后排入肖江，防止正常和事故废水泄漏影响下游水体。建立企业与园区管理委员会安全环保管理部门的管理、信息、通讯联系，始终处于畅通状态，一旦发生风险事故，能及时报告、及时响应。一旦废水处理设施出现故障，铊、氟化物、铍等污染物超标，企业应将产生的废水排入事故应急池，并对废水进行暂存或者停产，及时维修处理设施，一旦修好，应立即将事故池中的废水治理达标后外排。</w:t>
            </w:r>
          </w:p>
          <w:p w14:paraId="6D55E302">
            <w:pPr>
              <w:pStyle w:val="138"/>
              <w:keepLines w:val="0"/>
              <w:suppressLineNumbers w:val="0"/>
              <w:spacing w:beforeAutospacing="0" w:afterAutospacing="0"/>
              <w:ind w:left="0" w:leftChars="0" w:right="0" w:firstLine="0" w:firstLineChars="0"/>
              <w:jc w:val="center"/>
              <w:rPr>
                <w:rFonts w:hint="default"/>
                <w:color w:val="auto"/>
                <w:highlight w:val="none"/>
              </w:rPr>
            </w:pPr>
            <w:r>
              <w:rPr>
                <w:rFonts w:hint="default"/>
                <w:color w:val="auto"/>
                <w:highlight w:val="none"/>
              </w:rPr>
              <w:drawing>
                <wp:inline distT="0" distB="0" distL="0" distR="0">
                  <wp:extent cx="5113020" cy="1195705"/>
                  <wp:effectExtent l="0" t="0" r="11430" b="4445"/>
                  <wp:docPr id="7929244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924494" name="图片 1"/>
                          <pic:cNvPicPr>
                            <a:picLocks noChangeAspect="1"/>
                          </pic:cNvPicPr>
                        </pic:nvPicPr>
                        <pic:blipFill>
                          <a:blip r:embed="rId63"/>
                          <a:stretch>
                            <a:fillRect/>
                          </a:stretch>
                        </pic:blipFill>
                        <pic:spPr>
                          <a:xfrm>
                            <a:off x="0" y="0"/>
                            <a:ext cx="5113020" cy="1195705"/>
                          </a:xfrm>
                          <a:prstGeom prst="rect">
                            <a:avLst/>
                          </a:prstGeom>
                        </pic:spPr>
                      </pic:pic>
                    </a:graphicData>
                  </a:graphic>
                </wp:inline>
              </w:drawing>
            </w:r>
          </w:p>
          <w:p w14:paraId="68CC5E96">
            <w:pPr>
              <w:pStyle w:val="138"/>
              <w:keepLines w:val="0"/>
              <w:suppressLineNumbers w:val="0"/>
              <w:spacing w:beforeAutospacing="0" w:afterAutospacing="0"/>
              <w:ind w:right="0"/>
              <w:rPr>
                <w:rFonts w:hint="default"/>
                <w:color w:val="auto"/>
                <w:highlight w:val="none"/>
              </w:rPr>
            </w:pPr>
            <w:r>
              <w:rPr>
                <w:rFonts w:hint="eastAsia"/>
                <w:color w:val="auto"/>
                <w:highlight w:val="none"/>
              </w:rPr>
              <w:t>图4-</w:t>
            </w:r>
            <w:r>
              <w:rPr>
                <w:rFonts w:hint="eastAsia"/>
                <w:color w:val="auto"/>
                <w:highlight w:val="none"/>
                <w:lang w:val="en-US" w:eastAsia="zh-CN"/>
              </w:rPr>
              <w:t>2</w:t>
            </w:r>
            <w:r>
              <w:rPr>
                <w:rFonts w:hint="eastAsia"/>
                <w:color w:val="auto"/>
                <w:highlight w:val="none"/>
              </w:rPr>
              <w:t xml:space="preserve">  厂区三级事故废水防控体系图</w:t>
            </w:r>
          </w:p>
          <w:p w14:paraId="6C73A22A">
            <w:pPr>
              <w:pStyle w:val="129"/>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val="en-US" w:eastAsia="zh-CN"/>
              </w:rPr>
              <w:t>G</w:t>
            </w:r>
            <w:r>
              <w:rPr>
                <w:rFonts w:hint="default"/>
                <w:color w:val="auto"/>
                <w:highlight w:val="none"/>
              </w:rPr>
              <w:t>制定突发环境事件应急预案</w:t>
            </w:r>
          </w:p>
          <w:p w14:paraId="188400C8">
            <w:pPr>
              <w:pStyle w:val="129"/>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建设单位应根据《关于印发〈企业事业单位突发环境事件应急预案备案管理办法（试行）〉的通知》（环发〔2015〕4号）的相关要求编制环境应急预案</w:t>
            </w:r>
            <w:r>
              <w:rPr>
                <w:rFonts w:hint="eastAsia"/>
                <w:color w:val="auto"/>
                <w:highlight w:val="none"/>
              </w:rPr>
              <w:t>，具体内容见下表</w:t>
            </w:r>
            <w:r>
              <w:rPr>
                <w:rFonts w:hint="default"/>
                <w:color w:val="auto"/>
                <w:highlight w:val="none"/>
              </w:rPr>
              <w:t>，并结合实际情况，开展环境应急预案的培训、宣传和必要的应急演练，发生或者可能发生突发环境事件时及时启动环境应急预案，定期进行修订完善。</w:t>
            </w:r>
          </w:p>
          <w:p w14:paraId="5CA9AC68">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default"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应急预案的主要内容</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7"/>
              <w:gridCol w:w="6449"/>
            </w:tblGrid>
            <w:tr w14:paraId="1C331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tcBorders>
                    <w:tl2br w:val="nil"/>
                    <w:tr2bl w:val="nil"/>
                  </w:tcBorders>
                  <w:noWrap w:val="0"/>
                  <w:vAlign w:val="center"/>
                </w:tcPr>
                <w:p w14:paraId="64F47100">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项目</w:t>
                  </w:r>
                </w:p>
              </w:tc>
              <w:tc>
                <w:tcPr>
                  <w:tcW w:w="4110" w:type="pct"/>
                  <w:tcBorders>
                    <w:tl2br w:val="nil"/>
                    <w:tr2bl w:val="nil"/>
                  </w:tcBorders>
                  <w:noWrap w:val="0"/>
                  <w:vAlign w:val="center"/>
                </w:tcPr>
                <w:p w14:paraId="7FAEAE6B">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内容及要求</w:t>
                  </w:r>
                </w:p>
              </w:tc>
            </w:tr>
            <w:tr w14:paraId="66CC8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tcBorders>
                    <w:tl2br w:val="nil"/>
                    <w:tr2bl w:val="nil"/>
                  </w:tcBorders>
                  <w:noWrap w:val="0"/>
                  <w:vAlign w:val="center"/>
                </w:tcPr>
                <w:p w14:paraId="40FA18D2">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应急计划区</w:t>
                  </w:r>
                </w:p>
              </w:tc>
              <w:tc>
                <w:tcPr>
                  <w:tcW w:w="4110" w:type="pct"/>
                  <w:tcBorders>
                    <w:tl2br w:val="nil"/>
                    <w:tr2bl w:val="nil"/>
                  </w:tcBorders>
                  <w:noWrap w:val="0"/>
                  <w:vAlign w:val="center"/>
                </w:tcPr>
                <w:p w14:paraId="479F39AE">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厂区</w:t>
                  </w:r>
                </w:p>
              </w:tc>
            </w:tr>
            <w:tr w14:paraId="00BCD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tcBorders>
                    <w:tl2br w:val="nil"/>
                    <w:tr2bl w:val="nil"/>
                  </w:tcBorders>
                  <w:noWrap w:val="0"/>
                  <w:vAlign w:val="center"/>
                </w:tcPr>
                <w:p w14:paraId="73134EE2">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应急组织</w:t>
                  </w:r>
                </w:p>
              </w:tc>
              <w:tc>
                <w:tcPr>
                  <w:tcW w:w="4110" w:type="pct"/>
                  <w:tcBorders>
                    <w:tl2br w:val="nil"/>
                    <w:tr2bl w:val="nil"/>
                  </w:tcBorders>
                  <w:noWrap w:val="0"/>
                  <w:vAlign w:val="center"/>
                </w:tcPr>
                <w:p w14:paraId="4C32AA54">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应急指挥中心：负责现场全面指挥；</w:t>
                  </w:r>
                </w:p>
                <w:p w14:paraId="7A01F326">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应急办公室：负责接收指令、下达任务，协调联络</w:t>
                  </w:r>
                </w:p>
                <w:p w14:paraId="758B9F6F">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应急小组：负责抢险、警戒、后勤保障、医疗救护</w:t>
                  </w:r>
                </w:p>
              </w:tc>
            </w:tr>
            <w:tr w14:paraId="5CEB0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90" w:type="pct"/>
                  <w:tcBorders>
                    <w:tl2br w:val="nil"/>
                    <w:tr2bl w:val="nil"/>
                  </w:tcBorders>
                  <w:noWrap w:val="0"/>
                  <w:vAlign w:val="center"/>
                </w:tcPr>
                <w:p w14:paraId="5839EFE4">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分级响应</w:t>
                  </w:r>
                </w:p>
              </w:tc>
              <w:tc>
                <w:tcPr>
                  <w:tcW w:w="4110" w:type="pct"/>
                  <w:tcBorders>
                    <w:tl2br w:val="nil"/>
                    <w:tr2bl w:val="nil"/>
                  </w:tcBorders>
                  <w:noWrap w:val="0"/>
                  <w:vAlign w:val="center"/>
                </w:tcPr>
                <w:p w14:paraId="6452928C">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一级响应：需要全公司和社会力量参与应急；</w:t>
                  </w:r>
                </w:p>
                <w:p w14:paraId="037D6D3A">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二级响应：需要全公司力量参与应急；</w:t>
                  </w:r>
                </w:p>
                <w:p w14:paraId="0BC979E1">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三级响应：仅需事件部门或个别部门参与应急。</w:t>
                  </w:r>
                </w:p>
              </w:tc>
            </w:tr>
            <w:tr w14:paraId="66EA3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tcBorders>
                    <w:tl2br w:val="nil"/>
                    <w:tr2bl w:val="nil"/>
                  </w:tcBorders>
                  <w:noWrap w:val="0"/>
                  <w:vAlign w:val="center"/>
                </w:tcPr>
                <w:p w14:paraId="6AF8C948">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应急救援保障</w:t>
                  </w:r>
                </w:p>
              </w:tc>
              <w:tc>
                <w:tcPr>
                  <w:tcW w:w="4110" w:type="pct"/>
                  <w:tcBorders>
                    <w:tl2br w:val="nil"/>
                    <w:tr2bl w:val="nil"/>
                  </w:tcBorders>
                  <w:noWrap w:val="0"/>
                  <w:vAlign w:val="center"/>
                </w:tcPr>
                <w:p w14:paraId="5CA378F0">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后勤保障小组负责及时运送应急设施、急救箱、应急工具等。</w:t>
                  </w:r>
                </w:p>
              </w:tc>
            </w:tr>
            <w:tr w14:paraId="4E898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tcBorders>
                    <w:tl2br w:val="nil"/>
                    <w:tr2bl w:val="nil"/>
                  </w:tcBorders>
                  <w:noWrap w:val="0"/>
                  <w:vAlign w:val="center"/>
                </w:tcPr>
                <w:p w14:paraId="18014611">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预警条件</w:t>
                  </w:r>
                </w:p>
              </w:tc>
              <w:tc>
                <w:tcPr>
                  <w:tcW w:w="4110" w:type="pct"/>
                  <w:tcBorders>
                    <w:tl2br w:val="nil"/>
                    <w:tr2bl w:val="nil"/>
                  </w:tcBorders>
                  <w:noWrap w:val="0"/>
                  <w:vAlign w:val="center"/>
                </w:tcPr>
                <w:p w14:paraId="1558E2D6">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发现明火燃烧；火警报装置发生响动；仓库冒出浓烟。</w:t>
                  </w:r>
                </w:p>
              </w:tc>
            </w:tr>
            <w:tr w14:paraId="6D69B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tcBorders>
                    <w:tl2br w:val="nil"/>
                    <w:tr2bl w:val="nil"/>
                  </w:tcBorders>
                  <w:noWrap w:val="0"/>
                  <w:vAlign w:val="center"/>
                </w:tcPr>
                <w:p w14:paraId="194C80E4">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上报程序</w:t>
                  </w:r>
                </w:p>
              </w:tc>
              <w:tc>
                <w:tcPr>
                  <w:tcW w:w="4110" w:type="pct"/>
                  <w:tcBorders>
                    <w:tl2br w:val="nil"/>
                    <w:tr2bl w:val="nil"/>
                  </w:tcBorders>
                  <w:noWrap w:val="0"/>
                  <w:vAlign w:val="center"/>
                </w:tcPr>
                <w:p w14:paraId="30424B06">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第一发现者→应急办公室负责人→应急指挥部。</w:t>
                  </w:r>
                </w:p>
              </w:tc>
            </w:tr>
            <w:tr w14:paraId="3F85B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90" w:type="pct"/>
                  <w:tcBorders>
                    <w:tl2br w:val="nil"/>
                    <w:tr2bl w:val="nil"/>
                  </w:tcBorders>
                  <w:noWrap w:val="0"/>
                  <w:vAlign w:val="center"/>
                </w:tcPr>
                <w:p w14:paraId="6CBB0CDA">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应急启动程序</w:t>
                  </w:r>
                </w:p>
              </w:tc>
              <w:tc>
                <w:tcPr>
                  <w:tcW w:w="4110" w:type="pct"/>
                  <w:tcBorders>
                    <w:tl2br w:val="nil"/>
                    <w:tr2bl w:val="nil"/>
                  </w:tcBorders>
                  <w:noWrap w:val="0"/>
                  <w:vAlign w:val="center"/>
                </w:tcPr>
                <w:p w14:paraId="7ED27890">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事故确认：应急指挥部→应急办公室→应急小组。</w:t>
                  </w:r>
                </w:p>
              </w:tc>
            </w:tr>
            <w:tr w14:paraId="37FF5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tcBorders>
                    <w:tl2br w:val="nil"/>
                    <w:tr2bl w:val="nil"/>
                  </w:tcBorders>
                  <w:noWrap w:val="0"/>
                  <w:vAlign w:val="center"/>
                </w:tcPr>
                <w:p w14:paraId="12D23961">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人员疏散</w:t>
                  </w:r>
                </w:p>
              </w:tc>
              <w:tc>
                <w:tcPr>
                  <w:tcW w:w="4110" w:type="pct"/>
                  <w:tcBorders>
                    <w:tl2br w:val="nil"/>
                    <w:tr2bl w:val="nil"/>
                  </w:tcBorders>
                  <w:noWrap w:val="0"/>
                  <w:vAlign w:val="center"/>
                </w:tcPr>
                <w:p w14:paraId="0251A34B">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警戒组及时隔离事故现场，疏散无关人员，禁止无关人员进入警戒区。</w:t>
                  </w:r>
                </w:p>
              </w:tc>
            </w:tr>
            <w:tr w14:paraId="6F81B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tcBorders>
                    <w:tl2br w:val="nil"/>
                    <w:tr2bl w:val="nil"/>
                  </w:tcBorders>
                  <w:noWrap w:val="0"/>
                  <w:vAlign w:val="center"/>
                </w:tcPr>
                <w:p w14:paraId="23797380">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灭火处理</w:t>
                  </w:r>
                </w:p>
              </w:tc>
              <w:tc>
                <w:tcPr>
                  <w:tcW w:w="4110" w:type="pct"/>
                  <w:tcBorders>
                    <w:tl2br w:val="nil"/>
                    <w:tr2bl w:val="nil"/>
                  </w:tcBorders>
                  <w:noWrap w:val="0"/>
                  <w:vAlign w:val="center"/>
                </w:tcPr>
                <w:p w14:paraId="052A33D3">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抢险组佩戴防护设备，切断火势蔓延途径，及时撤离其他可燃物，控制燃烧范围；尽快采用灭火器、消防栓等进行灭火，把火势消灭在萌芽状态；判断着火面积，并能占领现场上风和侧风阵地，继续进行控制火势、灭火。</w:t>
                  </w:r>
                </w:p>
              </w:tc>
            </w:tr>
            <w:tr w14:paraId="0E659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tcBorders>
                    <w:tl2br w:val="nil"/>
                    <w:tr2bl w:val="nil"/>
                  </w:tcBorders>
                  <w:noWrap w:val="0"/>
                  <w:vAlign w:val="center"/>
                </w:tcPr>
                <w:p w14:paraId="4697F73A">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医疗救护</w:t>
                  </w:r>
                </w:p>
              </w:tc>
              <w:tc>
                <w:tcPr>
                  <w:tcW w:w="4110" w:type="pct"/>
                  <w:tcBorders>
                    <w:tl2br w:val="nil"/>
                    <w:tr2bl w:val="nil"/>
                  </w:tcBorders>
                  <w:noWrap w:val="0"/>
                  <w:vAlign w:val="center"/>
                </w:tcPr>
                <w:p w14:paraId="0F76663E">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若发生人员烧伤或中毒事故，医疗组佩戴好防护设备，及时转移受伤人员至安全地点，并实施应急救护，如有必要及时送伤员就医。</w:t>
                  </w:r>
                </w:p>
              </w:tc>
            </w:tr>
            <w:tr w14:paraId="1590D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90" w:type="pct"/>
                  <w:tcBorders>
                    <w:tl2br w:val="nil"/>
                    <w:tr2bl w:val="nil"/>
                  </w:tcBorders>
                  <w:noWrap w:val="0"/>
                  <w:vAlign w:val="center"/>
                </w:tcPr>
                <w:p w14:paraId="00A9FE05">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环境监测</w:t>
                  </w:r>
                </w:p>
              </w:tc>
              <w:tc>
                <w:tcPr>
                  <w:tcW w:w="4110" w:type="pct"/>
                  <w:tcBorders>
                    <w:tl2br w:val="nil"/>
                    <w:tr2bl w:val="nil"/>
                  </w:tcBorders>
                  <w:noWrap w:val="0"/>
                  <w:vAlign w:val="center"/>
                </w:tcPr>
                <w:p w14:paraId="12FAFD79">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应急办公室协助专业人员对事故现场进行侦查监测，对事故性质、参数与后果进行评估，为指挥部门提供决策依据。</w:t>
                  </w:r>
                </w:p>
              </w:tc>
            </w:tr>
            <w:tr w14:paraId="0D731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tcBorders>
                    <w:tl2br w:val="nil"/>
                    <w:tr2bl w:val="nil"/>
                  </w:tcBorders>
                  <w:noWrap w:val="0"/>
                  <w:vAlign w:val="center"/>
                </w:tcPr>
                <w:p w14:paraId="25B0DD53">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应急终止</w:t>
                  </w:r>
                </w:p>
              </w:tc>
              <w:tc>
                <w:tcPr>
                  <w:tcW w:w="4110" w:type="pct"/>
                  <w:tcBorders>
                    <w:tl2br w:val="nil"/>
                    <w:tr2bl w:val="nil"/>
                  </w:tcBorders>
                  <w:noWrap w:val="0"/>
                  <w:vAlign w:val="center"/>
                </w:tcPr>
                <w:p w14:paraId="2F351FD3">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当事件现场得到控制，事件条件已经消除，事件所造成的危害已经被彻底消除，无继发可能时应急终止。</w:t>
                  </w:r>
                </w:p>
              </w:tc>
            </w:tr>
            <w:tr w14:paraId="344BC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tcBorders>
                    <w:tl2br w:val="nil"/>
                    <w:tr2bl w:val="nil"/>
                  </w:tcBorders>
                  <w:noWrap w:val="0"/>
                  <w:vAlign w:val="center"/>
                </w:tcPr>
                <w:p w14:paraId="3E8BC721">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现场恢复</w:t>
                  </w:r>
                </w:p>
              </w:tc>
              <w:tc>
                <w:tcPr>
                  <w:tcW w:w="4110" w:type="pct"/>
                  <w:tcBorders>
                    <w:tl2br w:val="nil"/>
                    <w:tr2bl w:val="nil"/>
                  </w:tcBorders>
                  <w:noWrap w:val="0"/>
                  <w:vAlign w:val="center"/>
                </w:tcPr>
                <w:p w14:paraId="428E1F22">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火灾扑灭后，检查事故现场，消除隐患，清点损失，联系相关单位进行修复，恢复正常生产。</w:t>
                  </w:r>
                </w:p>
              </w:tc>
            </w:tr>
            <w:tr w14:paraId="539C7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tcBorders>
                    <w:tl2br w:val="nil"/>
                    <w:tr2bl w:val="nil"/>
                  </w:tcBorders>
                  <w:noWrap w:val="0"/>
                  <w:vAlign w:val="center"/>
                </w:tcPr>
                <w:p w14:paraId="20E643CA">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后续工作</w:t>
                  </w:r>
                </w:p>
              </w:tc>
              <w:tc>
                <w:tcPr>
                  <w:tcW w:w="4110" w:type="pct"/>
                  <w:tcBorders>
                    <w:tl2br w:val="nil"/>
                    <w:tr2bl w:val="nil"/>
                  </w:tcBorders>
                  <w:noWrap w:val="0"/>
                  <w:vAlign w:val="center"/>
                </w:tcPr>
                <w:p w14:paraId="1BB15441">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总指挥部调查了解事故发生的原因、过程、损失等情况，提出处理方案和整改措施，经济补偿受伤人员，对突发环境事件进行总结和事后污染评估。</w:t>
                  </w:r>
                </w:p>
              </w:tc>
            </w:tr>
            <w:tr w14:paraId="3161C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90" w:type="pct"/>
                  <w:tcBorders>
                    <w:tl2br w:val="nil"/>
                    <w:tr2bl w:val="nil"/>
                  </w:tcBorders>
                  <w:noWrap w:val="0"/>
                  <w:vAlign w:val="center"/>
                </w:tcPr>
                <w:p w14:paraId="77909A28">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注意事项</w:t>
                  </w:r>
                </w:p>
              </w:tc>
              <w:tc>
                <w:tcPr>
                  <w:tcW w:w="4110" w:type="pct"/>
                  <w:tcBorders>
                    <w:tl2br w:val="nil"/>
                    <w:tr2bl w:val="nil"/>
                  </w:tcBorders>
                  <w:noWrap w:val="0"/>
                  <w:vAlign w:val="center"/>
                </w:tcPr>
                <w:p w14:paraId="1057BD49">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①现场处置以先抢救人、后抢救物为原则。</w:t>
                  </w:r>
                </w:p>
                <w:p w14:paraId="416E7469">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②抢救人员须穿戴好劳动防护用品，正确使用抢险救援器材。</w:t>
                  </w:r>
                </w:p>
                <w:p w14:paraId="04531C07">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③遇火灾拨打119火警电话时，需告知火险情况、具体位置，并在厂房门口接应消防车。</w:t>
                  </w:r>
                </w:p>
                <w:p w14:paraId="08D6CC9F">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④现场应急救援应至少一名监护人员。</w:t>
                  </w:r>
                </w:p>
              </w:tc>
            </w:tr>
          </w:tbl>
          <w:p w14:paraId="6E90AEF0">
            <w:pPr>
              <w:pStyle w:val="79"/>
              <w:keepNext w:val="0"/>
              <w:keepLines w:val="0"/>
              <w:widowControl/>
              <w:suppressLineNumbers w:val="0"/>
              <w:spacing w:before="0" w:beforeAutospacing="0" w:after="0" w:afterAutospacing="0"/>
              <w:ind w:left="0" w:right="0" w:firstLine="480"/>
              <w:rPr>
                <w:rFonts w:hint="eastAsia"/>
                <w:color w:val="auto"/>
              </w:rPr>
            </w:pPr>
            <w:r>
              <w:rPr>
                <w:rFonts w:hint="default"/>
                <w:color w:val="auto"/>
              </w:rPr>
              <w:t>8</w:t>
            </w:r>
            <w:r>
              <w:rPr>
                <w:rFonts w:hint="eastAsia"/>
                <w:color w:val="auto"/>
              </w:rPr>
              <w:t>、生态环境影响分析</w:t>
            </w:r>
          </w:p>
          <w:p w14:paraId="3ADB652C">
            <w:pPr>
              <w:pStyle w:val="74"/>
              <w:keepNext w:val="0"/>
              <w:keepLines w:val="0"/>
              <w:suppressLineNumbers w:val="0"/>
              <w:spacing w:before="0" w:beforeAutospacing="0" w:after="0" w:afterAutospacing="0"/>
              <w:ind w:left="0" w:right="0" w:firstLine="480"/>
              <w:rPr>
                <w:rFonts w:hint="default" w:cs="Times New Roman"/>
                <w:color w:val="auto"/>
              </w:rPr>
            </w:pPr>
            <w:r>
              <w:rPr>
                <w:rFonts w:hint="eastAsia" w:cs="Times New Roman"/>
                <w:color w:val="auto"/>
                <w:lang w:val="en-US" w:eastAsia="zh-CN"/>
              </w:rPr>
              <w:t>项目租用已建成厂房生产</w:t>
            </w:r>
            <w:r>
              <w:rPr>
                <w:rFonts w:hint="default" w:cs="Times New Roman"/>
                <w:color w:val="auto"/>
              </w:rPr>
              <w:t>，</w:t>
            </w:r>
            <w:r>
              <w:rPr>
                <w:rFonts w:hint="eastAsia" w:cs="Times New Roman"/>
                <w:color w:val="auto"/>
              </w:rPr>
              <w:t>无</w:t>
            </w:r>
            <w:r>
              <w:rPr>
                <w:rFonts w:hint="eastAsia" w:cs="Times New Roman"/>
                <w:color w:val="auto"/>
                <w:lang w:val="en-US" w:eastAsia="zh-CN"/>
              </w:rPr>
              <w:t>自然</w:t>
            </w:r>
            <w:r>
              <w:rPr>
                <w:rFonts w:hint="eastAsia" w:cs="Times New Roman"/>
                <w:color w:val="auto"/>
              </w:rPr>
              <w:t>植被分布，周边植被主要为道路绿化带，运营期主要污染物为污水、固体废物、噪声等各项污染物采取相关措施处理后对周围生态环境无明显影响。综上所述，本项目的建设对周边生态环境影响较小。</w:t>
            </w:r>
          </w:p>
          <w:p w14:paraId="498998BC">
            <w:pPr>
              <w:pStyle w:val="74"/>
              <w:keepNext w:val="0"/>
              <w:keepLines w:val="0"/>
              <w:suppressLineNumbers w:val="0"/>
              <w:spacing w:before="0" w:beforeAutospacing="0" w:after="0" w:afterAutospacing="0"/>
              <w:ind w:left="0" w:right="0" w:firstLine="480"/>
              <w:rPr>
                <w:rFonts w:hint="eastAsia" w:cs="Times New Roman"/>
                <w:color w:val="auto"/>
              </w:rPr>
            </w:pPr>
            <w:r>
              <w:rPr>
                <w:rFonts w:hint="eastAsia" w:cs="Times New Roman"/>
                <w:color w:val="auto"/>
              </w:rPr>
              <w:t>9、项目环保投资费用</w:t>
            </w:r>
          </w:p>
          <w:p w14:paraId="7EA3A05E">
            <w:pPr>
              <w:pStyle w:val="74"/>
              <w:keepNext w:val="0"/>
              <w:keepLines w:val="0"/>
              <w:suppressLineNumbers w:val="0"/>
              <w:spacing w:before="0" w:beforeAutospacing="0" w:after="0" w:afterAutospacing="0"/>
              <w:ind w:left="0" w:right="0" w:firstLine="480"/>
              <w:rPr>
                <w:rFonts w:hint="eastAsia" w:cs="Times New Roman"/>
                <w:color w:val="auto"/>
              </w:rPr>
            </w:pPr>
            <w:r>
              <w:rPr>
                <w:rFonts w:hint="eastAsia" w:cs="Times New Roman"/>
                <w:color w:val="auto"/>
              </w:rPr>
              <w:t>根据项目投资及行业特性，本项目运营期环保投资如下：</w:t>
            </w:r>
          </w:p>
          <w:p w14:paraId="2B64350E">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建设项目环保设备投资情况一览表</w:t>
            </w:r>
          </w:p>
          <w:tbl>
            <w:tblPr>
              <w:tblStyle w:val="28"/>
              <w:tblW w:w="4997"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521"/>
              <w:gridCol w:w="722"/>
              <w:gridCol w:w="4841"/>
              <w:gridCol w:w="711"/>
              <w:gridCol w:w="1054"/>
            </w:tblGrid>
            <w:tr w14:paraId="61464CF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32" w:type="pct"/>
                  <w:tcBorders>
                    <w:tl2br w:val="nil"/>
                    <w:tr2bl w:val="nil"/>
                  </w:tcBorders>
                  <w:noWrap w:val="0"/>
                  <w:vAlign w:val="center"/>
                </w:tcPr>
                <w:p w14:paraId="64FF2E01">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序号</w:t>
                  </w:r>
                </w:p>
              </w:tc>
              <w:tc>
                <w:tcPr>
                  <w:tcW w:w="460" w:type="pct"/>
                  <w:tcBorders>
                    <w:tl2br w:val="nil"/>
                    <w:tr2bl w:val="nil"/>
                  </w:tcBorders>
                  <w:noWrap w:val="0"/>
                  <w:vAlign w:val="center"/>
                </w:tcPr>
                <w:p w14:paraId="3995DFFE">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污染源</w:t>
                  </w:r>
                </w:p>
              </w:tc>
              <w:tc>
                <w:tcPr>
                  <w:tcW w:w="3082" w:type="pct"/>
                  <w:tcBorders>
                    <w:tl2br w:val="nil"/>
                    <w:tr2bl w:val="nil"/>
                  </w:tcBorders>
                  <w:noWrap w:val="0"/>
                  <w:vAlign w:val="center"/>
                </w:tcPr>
                <w:p w14:paraId="7BFF894F">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环保</w:t>
                  </w:r>
                  <w:r>
                    <w:rPr>
                      <w:rFonts w:hint="default" w:cs="Times New Roman"/>
                      <w:color w:val="auto"/>
                    </w:rPr>
                    <w:t>措施</w:t>
                  </w:r>
                </w:p>
              </w:tc>
              <w:tc>
                <w:tcPr>
                  <w:tcW w:w="453" w:type="pct"/>
                  <w:tcBorders>
                    <w:tl2br w:val="nil"/>
                    <w:tr2bl w:val="nil"/>
                  </w:tcBorders>
                  <w:noWrap w:val="0"/>
                  <w:vAlign w:val="center"/>
                </w:tcPr>
                <w:p w14:paraId="4B53252D">
                  <w:pPr>
                    <w:pStyle w:val="56"/>
                    <w:keepNext w:val="0"/>
                    <w:keepLines w:val="0"/>
                    <w:suppressLineNumbers w:val="0"/>
                    <w:bidi w:val="0"/>
                    <w:spacing w:before="0" w:beforeAutospacing="0" w:after="0" w:afterAutospacing="0"/>
                    <w:ind w:left="0" w:right="0"/>
                    <w:rPr>
                      <w:rFonts w:hint="eastAsia" w:eastAsia="宋体" w:cs="Times New Roman"/>
                      <w:color w:val="auto"/>
                      <w:lang w:val="en-US" w:eastAsia="zh-CN"/>
                    </w:rPr>
                  </w:pPr>
                  <w:r>
                    <w:rPr>
                      <w:rFonts w:hint="eastAsia" w:cs="Times New Roman"/>
                      <w:color w:val="auto"/>
                      <w:lang w:val="en-US" w:eastAsia="zh-CN"/>
                    </w:rPr>
                    <w:t>备注</w:t>
                  </w:r>
                </w:p>
              </w:tc>
              <w:tc>
                <w:tcPr>
                  <w:tcW w:w="670" w:type="pct"/>
                  <w:tcBorders>
                    <w:tl2br w:val="nil"/>
                    <w:tr2bl w:val="nil"/>
                  </w:tcBorders>
                  <w:noWrap w:val="0"/>
                  <w:vAlign w:val="center"/>
                </w:tcPr>
                <w:p w14:paraId="30A0FEFA">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环保投资（万）</w:t>
                  </w:r>
                </w:p>
              </w:tc>
            </w:tr>
            <w:tr w14:paraId="43ED933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32" w:type="pct"/>
                  <w:tcBorders>
                    <w:tl2br w:val="nil"/>
                    <w:tr2bl w:val="nil"/>
                  </w:tcBorders>
                  <w:noWrap w:val="0"/>
                  <w:vAlign w:val="center"/>
                </w:tcPr>
                <w:p w14:paraId="02D2B726">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1</w:t>
                  </w:r>
                </w:p>
              </w:tc>
              <w:tc>
                <w:tcPr>
                  <w:tcW w:w="460" w:type="pct"/>
                  <w:tcBorders>
                    <w:tl2br w:val="nil"/>
                    <w:tr2bl w:val="nil"/>
                  </w:tcBorders>
                  <w:noWrap w:val="0"/>
                  <w:vAlign w:val="center"/>
                </w:tcPr>
                <w:p w14:paraId="24370ACE">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废水</w:t>
                  </w:r>
                </w:p>
              </w:tc>
              <w:tc>
                <w:tcPr>
                  <w:tcW w:w="3082" w:type="pct"/>
                  <w:tcBorders>
                    <w:tl2br w:val="nil"/>
                    <w:tr2bl w:val="nil"/>
                  </w:tcBorders>
                  <w:noWrap w:val="0"/>
                  <w:vAlign w:val="center"/>
                </w:tcPr>
                <w:p w14:paraId="279BD579">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rPr>
                    <w:t>沉淀池</w:t>
                  </w:r>
                  <w:r>
                    <w:rPr>
                      <w:rFonts w:hint="eastAsia" w:cs="Times New Roman"/>
                      <w:color w:val="auto"/>
                      <w:lang w:val="en-US" w:eastAsia="zh-CN"/>
                    </w:rPr>
                    <w:t>1个（50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s="Times New Roman"/>
                      <w:color w:val="auto"/>
                      <w:lang w:val="en-US" w:eastAsia="zh-CN"/>
                    </w:rPr>
                    <w:t>）</w:t>
                  </w:r>
                </w:p>
              </w:tc>
              <w:tc>
                <w:tcPr>
                  <w:tcW w:w="453" w:type="pct"/>
                  <w:tcBorders>
                    <w:tl2br w:val="nil"/>
                    <w:tr2bl w:val="nil"/>
                  </w:tcBorders>
                  <w:noWrap w:val="0"/>
                  <w:vAlign w:val="center"/>
                </w:tcPr>
                <w:p w14:paraId="45FB643C">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已建</w:t>
                  </w:r>
                </w:p>
              </w:tc>
              <w:tc>
                <w:tcPr>
                  <w:tcW w:w="670" w:type="pct"/>
                  <w:tcBorders>
                    <w:tl2br w:val="nil"/>
                    <w:tr2bl w:val="nil"/>
                  </w:tcBorders>
                  <w:noWrap w:val="0"/>
                  <w:vAlign w:val="center"/>
                </w:tcPr>
                <w:p w14:paraId="1DCE5672">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0</w:t>
                  </w:r>
                </w:p>
              </w:tc>
            </w:tr>
            <w:tr w14:paraId="3E94116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7" w:hRule="atLeast"/>
              </w:trPr>
              <w:tc>
                <w:tcPr>
                  <w:tcW w:w="332" w:type="pct"/>
                  <w:tcBorders>
                    <w:tl2br w:val="nil"/>
                    <w:tr2bl w:val="nil"/>
                  </w:tcBorders>
                  <w:noWrap w:val="0"/>
                  <w:vAlign w:val="center"/>
                </w:tcPr>
                <w:p w14:paraId="2A1C6577">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2</w:t>
                  </w:r>
                </w:p>
              </w:tc>
              <w:tc>
                <w:tcPr>
                  <w:tcW w:w="460" w:type="pct"/>
                  <w:tcBorders>
                    <w:tl2br w:val="nil"/>
                    <w:tr2bl w:val="nil"/>
                  </w:tcBorders>
                  <w:noWrap w:val="0"/>
                  <w:vAlign w:val="center"/>
                </w:tcPr>
                <w:p w14:paraId="16C8868C">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废气</w:t>
                  </w:r>
                </w:p>
              </w:tc>
              <w:tc>
                <w:tcPr>
                  <w:tcW w:w="3082" w:type="pct"/>
                  <w:tcBorders>
                    <w:tl2br w:val="nil"/>
                    <w:tr2bl w:val="nil"/>
                  </w:tcBorders>
                  <w:noWrap w:val="0"/>
                  <w:vAlign w:val="center"/>
                </w:tcPr>
                <w:p w14:paraId="1479DB22">
                  <w:pPr>
                    <w:pStyle w:val="56"/>
                    <w:keepNext w:val="0"/>
                    <w:keepLines w:val="0"/>
                    <w:suppressLineNumbers w:val="0"/>
                    <w:bidi w:val="0"/>
                    <w:spacing w:before="0" w:beforeAutospacing="0" w:after="0" w:afterAutospacing="0"/>
                    <w:ind w:left="0" w:right="0"/>
                    <w:rPr>
                      <w:rFonts w:hint="eastAsia"/>
                      <w:color w:val="auto"/>
                      <w:lang w:eastAsia="zh-CN"/>
                    </w:rPr>
                  </w:pPr>
                  <w:r>
                    <w:rPr>
                      <w:rFonts w:hint="eastAsia" w:cs="Times New Roman"/>
                      <w:color w:val="auto"/>
                      <w:lang w:val="en-US" w:eastAsia="zh-CN"/>
                    </w:rPr>
                    <w:t>经3个集气罩收集后+1个布袋除尘+15m的排气筒排放（DA001）</w:t>
                  </w:r>
                </w:p>
              </w:tc>
              <w:tc>
                <w:tcPr>
                  <w:tcW w:w="453" w:type="pct"/>
                  <w:tcBorders>
                    <w:tl2br w:val="nil"/>
                    <w:tr2bl w:val="nil"/>
                  </w:tcBorders>
                  <w:noWrap w:val="0"/>
                  <w:vAlign w:val="center"/>
                </w:tcPr>
                <w:p w14:paraId="06D6D8A9">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已建</w:t>
                  </w:r>
                </w:p>
              </w:tc>
              <w:tc>
                <w:tcPr>
                  <w:tcW w:w="670" w:type="pct"/>
                  <w:tcBorders>
                    <w:tl2br w:val="nil"/>
                    <w:tr2bl w:val="nil"/>
                  </w:tcBorders>
                  <w:noWrap w:val="0"/>
                  <w:vAlign w:val="center"/>
                </w:tcPr>
                <w:p w14:paraId="7A64FC38">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0</w:t>
                  </w:r>
                </w:p>
              </w:tc>
            </w:tr>
            <w:tr w14:paraId="403D8AB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32" w:type="pct"/>
                  <w:tcBorders>
                    <w:tl2br w:val="nil"/>
                    <w:tr2bl w:val="nil"/>
                  </w:tcBorders>
                  <w:noWrap w:val="0"/>
                  <w:vAlign w:val="center"/>
                </w:tcPr>
                <w:p w14:paraId="5C5EA81E">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3</w:t>
                  </w:r>
                </w:p>
              </w:tc>
              <w:tc>
                <w:tcPr>
                  <w:tcW w:w="460" w:type="pct"/>
                  <w:tcBorders>
                    <w:tl2br w:val="nil"/>
                    <w:tr2bl w:val="nil"/>
                  </w:tcBorders>
                  <w:noWrap w:val="0"/>
                  <w:vAlign w:val="center"/>
                </w:tcPr>
                <w:p w14:paraId="186A0FC6">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噪声</w:t>
                  </w:r>
                </w:p>
              </w:tc>
              <w:tc>
                <w:tcPr>
                  <w:tcW w:w="3082" w:type="pct"/>
                  <w:tcBorders>
                    <w:tl2br w:val="nil"/>
                    <w:tr2bl w:val="nil"/>
                  </w:tcBorders>
                  <w:noWrap w:val="0"/>
                  <w:vAlign w:val="center"/>
                </w:tcPr>
                <w:p w14:paraId="68A83F90">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生产设备底座设置减振垫，外侧设置隔声罩</w:t>
                  </w:r>
                </w:p>
              </w:tc>
              <w:tc>
                <w:tcPr>
                  <w:tcW w:w="453" w:type="pct"/>
                  <w:tcBorders>
                    <w:tl2br w:val="nil"/>
                    <w:tr2bl w:val="nil"/>
                  </w:tcBorders>
                  <w:noWrap w:val="0"/>
                  <w:vAlign w:val="center"/>
                </w:tcPr>
                <w:p w14:paraId="32086776">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已建</w:t>
                  </w:r>
                </w:p>
              </w:tc>
              <w:tc>
                <w:tcPr>
                  <w:tcW w:w="670" w:type="pct"/>
                  <w:tcBorders>
                    <w:tl2br w:val="nil"/>
                    <w:tr2bl w:val="nil"/>
                  </w:tcBorders>
                  <w:noWrap w:val="0"/>
                  <w:vAlign w:val="center"/>
                </w:tcPr>
                <w:p w14:paraId="11747D11">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0</w:t>
                  </w:r>
                </w:p>
              </w:tc>
            </w:tr>
            <w:tr w14:paraId="03976A5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32" w:type="pct"/>
                  <w:tcBorders>
                    <w:tl2br w:val="nil"/>
                    <w:tr2bl w:val="nil"/>
                  </w:tcBorders>
                  <w:noWrap w:val="0"/>
                  <w:vAlign w:val="center"/>
                </w:tcPr>
                <w:p w14:paraId="69280673">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4</w:t>
                  </w:r>
                </w:p>
              </w:tc>
              <w:tc>
                <w:tcPr>
                  <w:tcW w:w="460" w:type="pct"/>
                  <w:tcBorders>
                    <w:tl2br w:val="nil"/>
                    <w:tr2bl w:val="nil"/>
                  </w:tcBorders>
                  <w:noWrap w:val="0"/>
                  <w:vAlign w:val="center"/>
                </w:tcPr>
                <w:p w14:paraId="7AA88ACB">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固体废物</w:t>
                  </w:r>
                </w:p>
              </w:tc>
              <w:tc>
                <w:tcPr>
                  <w:tcW w:w="3082" w:type="pct"/>
                  <w:tcBorders>
                    <w:tl2br w:val="nil"/>
                    <w:tr2bl w:val="nil"/>
                  </w:tcBorders>
                  <w:noWrap w:val="0"/>
                  <w:vAlign w:val="center"/>
                </w:tcPr>
                <w:p w14:paraId="1A3855EC">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rPr>
                    <w:t>垃圾收集设备、一般固废暂存区</w:t>
                  </w:r>
                  <w:r>
                    <w:rPr>
                      <w:rFonts w:hint="eastAsia" w:cs="Times New Roman"/>
                      <w:color w:val="auto"/>
                      <w:lang w:eastAsia="zh-CN"/>
                    </w:rPr>
                    <w:t>（</w:t>
                  </w:r>
                  <w:r>
                    <w:rPr>
                      <w:rFonts w:hint="eastAsia" w:cs="Times New Roman"/>
                      <w:color w:val="auto"/>
                      <w:lang w:val="en-US" w:eastAsia="zh-CN"/>
                    </w:rPr>
                    <w:t>50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s="Times New Roman"/>
                      <w:color w:val="auto"/>
                      <w:vertAlign w:val="baseline"/>
                      <w:lang w:val="en-US" w:eastAsia="zh-CN"/>
                    </w:rPr>
                    <w:t>）</w:t>
                  </w:r>
                  <w:r>
                    <w:rPr>
                      <w:rFonts w:hint="eastAsia" w:cs="Times New Roman"/>
                      <w:color w:val="auto"/>
                    </w:rPr>
                    <w:t>、危险废物</w:t>
                  </w:r>
                  <w:r>
                    <w:rPr>
                      <w:rFonts w:hint="eastAsia" w:cs="Times New Roman"/>
                      <w:color w:val="auto"/>
                      <w:lang w:val="en-US" w:eastAsia="zh-CN"/>
                    </w:rPr>
                    <w:t>暂</w:t>
                  </w:r>
                  <w:r>
                    <w:rPr>
                      <w:rFonts w:hint="eastAsia" w:cs="Times New Roman"/>
                      <w:color w:val="auto"/>
                    </w:rPr>
                    <w:t>存间</w:t>
                  </w:r>
                  <w:r>
                    <w:rPr>
                      <w:rFonts w:hint="eastAsia"/>
                      <w:color w:val="auto"/>
                      <w:lang w:eastAsia="zh-CN"/>
                    </w:rPr>
                    <w:t>（</w:t>
                  </w:r>
                  <w:r>
                    <w:rPr>
                      <w:rFonts w:hint="eastAsia"/>
                      <w:color w:val="auto"/>
                      <w:lang w:val="en-US" w:eastAsia="zh-CN"/>
                    </w:rPr>
                    <w:t>10</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eastAsia"/>
                      <w:color w:val="auto"/>
                      <w:vertAlign w:val="baseline"/>
                      <w:lang w:val="en-US" w:eastAsia="zh-CN"/>
                    </w:rPr>
                    <w:t>）</w:t>
                  </w:r>
                </w:p>
              </w:tc>
              <w:tc>
                <w:tcPr>
                  <w:tcW w:w="453" w:type="pct"/>
                  <w:tcBorders>
                    <w:tl2br w:val="nil"/>
                    <w:tr2bl w:val="nil"/>
                  </w:tcBorders>
                  <w:noWrap w:val="0"/>
                  <w:vAlign w:val="center"/>
                </w:tcPr>
                <w:p w14:paraId="0F0D20E6">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已建</w:t>
                  </w:r>
                </w:p>
              </w:tc>
              <w:tc>
                <w:tcPr>
                  <w:tcW w:w="670" w:type="pct"/>
                  <w:tcBorders>
                    <w:tl2br w:val="nil"/>
                    <w:tr2bl w:val="nil"/>
                  </w:tcBorders>
                  <w:noWrap w:val="0"/>
                  <w:vAlign w:val="center"/>
                </w:tcPr>
                <w:p w14:paraId="24DD02FA">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0</w:t>
                  </w:r>
                </w:p>
              </w:tc>
            </w:tr>
            <w:tr w14:paraId="61AFCE8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32" w:type="pct"/>
                  <w:tcBorders>
                    <w:tl2br w:val="nil"/>
                    <w:tr2bl w:val="nil"/>
                  </w:tcBorders>
                  <w:noWrap w:val="0"/>
                  <w:vAlign w:val="center"/>
                </w:tcPr>
                <w:p w14:paraId="64A5AA65">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5</w:t>
                  </w:r>
                </w:p>
              </w:tc>
              <w:tc>
                <w:tcPr>
                  <w:tcW w:w="460" w:type="pct"/>
                  <w:tcBorders>
                    <w:tl2br w:val="nil"/>
                    <w:tr2bl w:val="nil"/>
                  </w:tcBorders>
                  <w:noWrap w:val="0"/>
                  <w:vAlign w:val="center"/>
                </w:tcPr>
                <w:p w14:paraId="53D94A7B">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环境</w:t>
                  </w:r>
                  <w:r>
                    <w:rPr>
                      <w:rFonts w:hint="default" w:cs="Times New Roman"/>
                      <w:color w:val="auto"/>
                    </w:rPr>
                    <w:t>风险</w:t>
                  </w:r>
                </w:p>
              </w:tc>
              <w:tc>
                <w:tcPr>
                  <w:tcW w:w="3082" w:type="pct"/>
                  <w:tcBorders>
                    <w:tl2br w:val="nil"/>
                    <w:tr2bl w:val="nil"/>
                  </w:tcBorders>
                  <w:noWrap w:val="0"/>
                  <w:vAlign w:val="center"/>
                </w:tcPr>
                <w:p w14:paraId="7BBCC842">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地面防渗、厂房出入口设置慢坡，定期评估工业集聚区环境风险和健康风险，落实防控措施。</w:t>
                  </w:r>
                </w:p>
              </w:tc>
              <w:tc>
                <w:tcPr>
                  <w:tcW w:w="453" w:type="pct"/>
                  <w:tcBorders>
                    <w:tl2br w:val="nil"/>
                    <w:tr2bl w:val="nil"/>
                  </w:tcBorders>
                  <w:noWrap w:val="0"/>
                  <w:vAlign w:val="center"/>
                </w:tcPr>
                <w:p w14:paraId="3195327F">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已建</w:t>
                  </w:r>
                </w:p>
              </w:tc>
              <w:tc>
                <w:tcPr>
                  <w:tcW w:w="670" w:type="pct"/>
                  <w:tcBorders>
                    <w:tl2br w:val="nil"/>
                    <w:tr2bl w:val="nil"/>
                  </w:tcBorders>
                  <w:noWrap w:val="0"/>
                  <w:vAlign w:val="center"/>
                </w:tcPr>
                <w:p w14:paraId="4324C4A7">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0</w:t>
                  </w:r>
                </w:p>
              </w:tc>
            </w:tr>
            <w:tr w14:paraId="2081B66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875" w:type="pct"/>
                  <w:gridSpan w:val="3"/>
                  <w:tcBorders>
                    <w:tl2br w:val="nil"/>
                    <w:tr2bl w:val="nil"/>
                  </w:tcBorders>
                  <w:noWrap w:val="0"/>
                  <w:vAlign w:val="center"/>
                </w:tcPr>
                <w:p w14:paraId="6C047746">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总计</w:t>
                  </w:r>
                </w:p>
              </w:tc>
              <w:tc>
                <w:tcPr>
                  <w:tcW w:w="1124" w:type="pct"/>
                  <w:gridSpan w:val="2"/>
                  <w:tcBorders>
                    <w:tl2br w:val="nil"/>
                    <w:tr2bl w:val="nil"/>
                  </w:tcBorders>
                  <w:noWrap w:val="0"/>
                  <w:vAlign w:val="center"/>
                </w:tcPr>
                <w:p w14:paraId="24A917C2">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0</w:t>
                  </w:r>
                </w:p>
              </w:tc>
            </w:tr>
          </w:tbl>
          <w:p w14:paraId="420B3CB8">
            <w:pPr>
              <w:pStyle w:val="74"/>
              <w:keepNext w:val="0"/>
              <w:keepLines w:val="0"/>
              <w:suppressLineNumbers w:val="0"/>
              <w:spacing w:before="0" w:beforeAutospacing="0" w:after="0" w:afterAutospacing="0"/>
              <w:ind w:left="0" w:right="0" w:firstLine="480"/>
              <w:rPr>
                <w:rFonts w:hint="eastAsia" w:ascii="Times New Roman" w:hAnsi="Times New Roman" w:eastAsia="宋体" w:cs="Times New Roman"/>
                <w:color w:val="auto"/>
              </w:rPr>
            </w:pPr>
            <w:r>
              <w:rPr>
                <w:rFonts w:hint="eastAsia" w:ascii="Times New Roman" w:hAnsi="Times New Roman" w:eastAsia="宋体" w:cs="Times New Roman"/>
                <w:color w:val="auto"/>
                <w:lang w:val="en-US" w:eastAsia="zh-CN"/>
              </w:rPr>
              <w:t>10、</w:t>
            </w:r>
            <w:r>
              <w:rPr>
                <w:rFonts w:hint="eastAsia" w:ascii="Times New Roman" w:hAnsi="Times New Roman" w:eastAsia="宋体" w:cs="Times New Roman"/>
                <w:color w:val="auto"/>
                <w:lang w:eastAsia="zh-CN"/>
              </w:rPr>
              <w:t>三同时验收清单</w:t>
            </w:r>
          </w:p>
          <w:p w14:paraId="08E95A92">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本项目“三同时”竣工验收清单见下表</w:t>
            </w:r>
          </w:p>
          <w:p w14:paraId="4CF370C7">
            <w:pPr>
              <w:keepNext w:val="0"/>
              <w:keepLines w:val="0"/>
              <w:pageBreakBefore w:val="0"/>
              <w:widowControl/>
              <w:numPr>
                <w:ilvl w:val="0"/>
                <w:numId w:val="12"/>
              </w:numPr>
              <w:suppressLineNumbers w:val="0"/>
              <w:tabs>
                <w:tab w:val="left" w:pos="0"/>
              </w:tabs>
              <w:kinsoku/>
              <w:wordWrap/>
              <w:overflowPunct/>
              <w:topLinePunct w:val="0"/>
              <w:autoSpaceDE/>
              <w:autoSpaceDN/>
              <w:bidi w:val="0"/>
              <w:adjustRightInd w:val="0"/>
              <w:snapToGrid w:val="0"/>
              <w:spacing w:before="0" w:beforeAutospacing="0" w:after="0" w:afterAutospacing="0" w:line="440" w:lineRule="exact"/>
              <w:ind w:left="0" w:leftChars="0" w:right="0" w:rightChars="0" w:hanging="380" w:firstLineChars="0"/>
              <w:jc w:val="center"/>
              <w:textAlignment w:val="auto"/>
              <w:rPr>
                <w:rFonts w:hint="eastAsia" w:ascii="Times New Roman" w:hAnsi="Times New Roman" w:eastAsia="宋体" w:cs="Times New Roman"/>
                <w:b/>
                <w:bCs/>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三同时验收清单一览表</w:t>
            </w:r>
          </w:p>
          <w:tbl>
            <w:tblPr>
              <w:tblStyle w:val="28"/>
              <w:tblW w:w="0" w:type="auto"/>
              <w:tblInd w:w="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55"/>
              <w:gridCol w:w="662"/>
              <w:gridCol w:w="1192"/>
              <w:gridCol w:w="1511"/>
              <w:gridCol w:w="1382"/>
              <w:gridCol w:w="2646"/>
            </w:tblGrid>
            <w:tr w14:paraId="748FB4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55" w:type="dxa"/>
                  <w:tcBorders>
                    <w:tl2br w:val="nil"/>
                    <w:tr2bl w:val="nil"/>
                  </w:tcBorders>
                  <w:noWrap w:val="0"/>
                  <w:vAlign w:val="center"/>
                </w:tcPr>
                <w:p w14:paraId="16142D7C">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序号</w:t>
                  </w:r>
                </w:p>
              </w:tc>
              <w:tc>
                <w:tcPr>
                  <w:tcW w:w="1854" w:type="dxa"/>
                  <w:gridSpan w:val="2"/>
                  <w:tcBorders>
                    <w:tl2br w:val="nil"/>
                    <w:tr2bl w:val="nil"/>
                  </w:tcBorders>
                  <w:noWrap w:val="0"/>
                  <w:vAlign w:val="center"/>
                </w:tcPr>
                <w:p w14:paraId="6E5A007C">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类别</w:t>
                  </w:r>
                </w:p>
              </w:tc>
              <w:tc>
                <w:tcPr>
                  <w:tcW w:w="1511" w:type="dxa"/>
                  <w:tcBorders>
                    <w:tl2br w:val="nil"/>
                    <w:tr2bl w:val="nil"/>
                  </w:tcBorders>
                  <w:noWrap w:val="0"/>
                  <w:vAlign w:val="center"/>
                </w:tcPr>
                <w:p w14:paraId="49FB3F72">
                  <w:pPr>
                    <w:pStyle w:val="56"/>
                    <w:keepNext w:val="0"/>
                    <w:keepLines w:val="0"/>
                    <w:suppressLineNumbers w:val="0"/>
                    <w:bidi w:val="0"/>
                    <w:spacing w:before="0" w:beforeAutospacing="0" w:after="0" w:afterAutospacing="0"/>
                    <w:ind w:left="0" w:right="0"/>
                    <w:rPr>
                      <w:rFonts w:hint="eastAsia"/>
                      <w:color w:val="auto"/>
                      <w:lang w:eastAsia="zh-CN"/>
                    </w:rPr>
                  </w:pPr>
                  <w:r>
                    <w:rPr>
                      <w:rFonts w:hint="eastAsia"/>
                      <w:color w:val="auto"/>
                      <w:lang w:eastAsia="zh-CN"/>
                    </w:rPr>
                    <w:t>污染因子</w:t>
                  </w:r>
                </w:p>
              </w:tc>
              <w:tc>
                <w:tcPr>
                  <w:tcW w:w="1382" w:type="dxa"/>
                  <w:tcBorders>
                    <w:tl2br w:val="nil"/>
                    <w:tr2bl w:val="nil"/>
                  </w:tcBorders>
                  <w:noWrap w:val="0"/>
                  <w:vAlign w:val="center"/>
                </w:tcPr>
                <w:p w14:paraId="42C5856C">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内容</w:t>
                  </w:r>
                </w:p>
              </w:tc>
              <w:tc>
                <w:tcPr>
                  <w:tcW w:w="2646" w:type="dxa"/>
                  <w:tcBorders>
                    <w:tl2br w:val="nil"/>
                    <w:tr2bl w:val="nil"/>
                  </w:tcBorders>
                  <w:noWrap w:val="0"/>
                  <w:vAlign w:val="center"/>
                </w:tcPr>
                <w:p w14:paraId="6F819E38">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环保要求及验收标准</w:t>
                  </w:r>
                </w:p>
              </w:tc>
            </w:tr>
            <w:tr w14:paraId="7335CE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55" w:type="dxa"/>
                  <w:vMerge w:val="restart"/>
                  <w:tcBorders>
                    <w:tl2br w:val="nil"/>
                    <w:tr2bl w:val="nil"/>
                  </w:tcBorders>
                  <w:noWrap w:val="0"/>
                  <w:vAlign w:val="center"/>
                </w:tcPr>
                <w:p w14:paraId="53AD8847">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1</w:t>
                  </w:r>
                </w:p>
              </w:tc>
              <w:tc>
                <w:tcPr>
                  <w:tcW w:w="662" w:type="dxa"/>
                  <w:vMerge w:val="restart"/>
                  <w:tcBorders>
                    <w:tl2br w:val="nil"/>
                    <w:tr2bl w:val="nil"/>
                  </w:tcBorders>
                  <w:noWrap w:val="0"/>
                  <w:vAlign w:val="center"/>
                </w:tcPr>
                <w:p w14:paraId="293EA34A">
                  <w:pPr>
                    <w:pStyle w:val="56"/>
                    <w:keepNext w:val="0"/>
                    <w:keepLines w:val="0"/>
                    <w:suppressLineNumbers w:val="0"/>
                    <w:bidi w:val="0"/>
                    <w:spacing w:before="0" w:beforeAutospacing="0" w:after="0" w:afterAutospacing="0"/>
                    <w:ind w:left="0" w:right="0"/>
                    <w:rPr>
                      <w:rFonts w:hint="eastAsia"/>
                      <w:color w:val="auto"/>
                    </w:rPr>
                  </w:pPr>
                  <w:r>
                    <w:rPr>
                      <w:rFonts w:hint="eastAsia"/>
                      <w:color w:val="auto"/>
                    </w:rPr>
                    <w:t>废水</w:t>
                  </w:r>
                </w:p>
              </w:tc>
              <w:tc>
                <w:tcPr>
                  <w:tcW w:w="1192" w:type="dxa"/>
                  <w:tcBorders>
                    <w:tl2br w:val="nil"/>
                    <w:tr2bl w:val="nil"/>
                  </w:tcBorders>
                  <w:noWrap w:val="0"/>
                  <w:vAlign w:val="center"/>
                </w:tcPr>
                <w:p w14:paraId="05BC3993">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生活污水</w:t>
                  </w:r>
                </w:p>
              </w:tc>
              <w:tc>
                <w:tcPr>
                  <w:tcW w:w="1511" w:type="dxa"/>
                  <w:tcBorders>
                    <w:tl2br w:val="nil"/>
                    <w:tr2bl w:val="nil"/>
                  </w:tcBorders>
                  <w:shd w:val="clear" w:color="auto" w:fill="auto"/>
                  <w:noWrap w:val="0"/>
                  <w:vAlign w:val="center"/>
                </w:tcPr>
                <w:p w14:paraId="08B51F33">
                  <w:pPr>
                    <w:pStyle w:val="56"/>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spacing w:val="0"/>
                      <w:kern w:val="0"/>
                      <w:sz w:val="21"/>
                      <w:szCs w:val="21"/>
                      <w:lang w:val="en-US" w:eastAsia="zh-CN" w:bidi="ar-SA"/>
                    </w:rPr>
                  </w:pPr>
                  <w:r>
                    <w:rPr>
                      <w:rFonts w:hint="default" w:cs="Times New Roman"/>
                      <w:color w:val="auto"/>
                    </w:rPr>
                    <w:t>COD</w:t>
                  </w:r>
                  <w:r>
                    <w:rPr>
                      <w:rFonts w:hint="eastAsia" w:cs="Times New Roman"/>
                      <w:color w:val="auto"/>
                      <w:lang w:eastAsia="zh-CN"/>
                    </w:rPr>
                    <w:t>、</w:t>
                  </w:r>
                  <w:r>
                    <w:rPr>
                      <w:rFonts w:hint="default" w:cs="Times New Roman"/>
                      <w:color w:val="auto"/>
                    </w:rPr>
                    <w:t>NH</w:t>
                  </w:r>
                  <w:r>
                    <w:rPr>
                      <w:rFonts w:hint="default" w:cs="Times New Roman"/>
                      <w:color w:val="auto"/>
                      <w:vertAlign w:val="subscript"/>
                    </w:rPr>
                    <w:t>3</w:t>
                  </w:r>
                  <w:r>
                    <w:rPr>
                      <w:rFonts w:hint="default" w:cs="Times New Roman"/>
                      <w:color w:val="auto"/>
                    </w:rPr>
                    <w:t>-N</w:t>
                  </w:r>
                  <w:r>
                    <w:rPr>
                      <w:rFonts w:hint="eastAsia" w:cs="Times New Roman"/>
                      <w:color w:val="auto"/>
                      <w:lang w:eastAsia="zh-CN"/>
                    </w:rPr>
                    <w:t>、</w:t>
                  </w:r>
                  <w:r>
                    <w:rPr>
                      <w:rFonts w:hint="default" w:cs="Times New Roman"/>
                      <w:color w:val="auto"/>
                    </w:rPr>
                    <w:t>TP</w:t>
                  </w:r>
                  <w:r>
                    <w:rPr>
                      <w:rFonts w:hint="eastAsia" w:cs="Times New Roman"/>
                      <w:color w:val="auto"/>
                      <w:lang w:eastAsia="zh-CN"/>
                    </w:rPr>
                    <w:t>、</w:t>
                  </w:r>
                  <w:r>
                    <w:rPr>
                      <w:rFonts w:hint="default" w:cs="Times New Roman"/>
                      <w:color w:val="auto"/>
                    </w:rPr>
                    <w:t>TN</w:t>
                  </w:r>
                  <w:r>
                    <w:rPr>
                      <w:rFonts w:hint="eastAsia" w:cs="Times New Roman"/>
                      <w:color w:val="auto"/>
                      <w:lang w:eastAsia="zh-CN"/>
                    </w:rPr>
                    <w:t>、</w:t>
                  </w:r>
                  <w:r>
                    <w:rPr>
                      <w:rFonts w:hint="default" w:cs="Times New Roman"/>
                      <w:color w:val="auto"/>
                    </w:rPr>
                    <w:t>SS</w:t>
                  </w:r>
                  <w:r>
                    <w:rPr>
                      <w:rFonts w:hint="eastAsia" w:cs="Times New Roman"/>
                      <w:color w:val="auto"/>
                      <w:lang w:eastAsia="zh-CN"/>
                    </w:rPr>
                    <w:t>、</w:t>
                  </w:r>
                  <w:r>
                    <w:rPr>
                      <w:rFonts w:hint="default" w:cs="Times New Roman"/>
                      <w:color w:val="auto"/>
                    </w:rPr>
                    <w:t>BOD</w:t>
                  </w:r>
                  <w:r>
                    <w:rPr>
                      <w:rFonts w:hint="default" w:cs="Times New Roman"/>
                      <w:color w:val="auto"/>
                      <w:vertAlign w:val="subscript"/>
                    </w:rPr>
                    <w:t>5</w:t>
                  </w:r>
                </w:p>
              </w:tc>
              <w:tc>
                <w:tcPr>
                  <w:tcW w:w="1382" w:type="dxa"/>
                  <w:tcBorders>
                    <w:tl2br w:val="nil"/>
                    <w:tr2bl w:val="nil"/>
                  </w:tcBorders>
                  <w:noWrap w:val="0"/>
                  <w:vAlign w:val="center"/>
                </w:tcPr>
                <w:p w14:paraId="15CCCD4A">
                  <w:pPr>
                    <w:pStyle w:val="56"/>
                    <w:keepNext w:val="0"/>
                    <w:keepLines w:val="0"/>
                    <w:suppressLineNumbers w:val="0"/>
                    <w:bidi w:val="0"/>
                    <w:spacing w:before="0" w:beforeAutospacing="0" w:after="0" w:afterAutospacing="0"/>
                    <w:ind w:left="0" w:right="0"/>
                    <w:rPr>
                      <w:rFonts w:hint="default"/>
                      <w:color w:val="auto"/>
                    </w:rPr>
                  </w:pPr>
                  <w:r>
                    <w:rPr>
                      <w:rFonts w:hint="eastAsia"/>
                      <w:color w:val="auto"/>
                    </w:rPr>
                    <w:t>隔油池</w:t>
                  </w:r>
                </w:p>
              </w:tc>
              <w:tc>
                <w:tcPr>
                  <w:tcW w:w="2646" w:type="dxa"/>
                  <w:tcBorders>
                    <w:tl2br w:val="nil"/>
                    <w:tr2bl w:val="nil"/>
                  </w:tcBorders>
                  <w:noWrap w:val="0"/>
                  <w:vAlign w:val="center"/>
                </w:tcPr>
                <w:p w14:paraId="6DD2B2CD">
                  <w:pPr>
                    <w:pStyle w:val="56"/>
                    <w:keepNext w:val="0"/>
                    <w:keepLines w:val="0"/>
                    <w:suppressLineNumbers w:val="0"/>
                    <w:bidi w:val="0"/>
                    <w:spacing w:before="0" w:beforeAutospacing="0" w:after="0" w:afterAutospacing="0"/>
                    <w:ind w:left="0" w:right="0"/>
                    <w:rPr>
                      <w:rFonts w:hint="default"/>
                      <w:color w:val="auto"/>
                    </w:rPr>
                  </w:pPr>
                  <w:r>
                    <w:rPr>
                      <w:rFonts w:hint="eastAsia" w:cs="Times New Roman"/>
                      <w:color w:val="auto"/>
                      <w:lang w:val="en-US" w:eastAsia="zh-CN"/>
                    </w:rPr>
                    <w:t>建筑陶瓷产业园污水处理厂接管标准</w:t>
                  </w:r>
                </w:p>
              </w:tc>
            </w:tr>
            <w:tr w14:paraId="338C60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55" w:type="dxa"/>
                  <w:vMerge w:val="continue"/>
                  <w:tcBorders>
                    <w:tl2br w:val="nil"/>
                    <w:tr2bl w:val="nil"/>
                  </w:tcBorders>
                  <w:noWrap w:val="0"/>
                  <w:vAlign w:val="center"/>
                </w:tcPr>
                <w:p w14:paraId="5EFA4721">
                  <w:pPr>
                    <w:pStyle w:val="56"/>
                    <w:keepNext w:val="0"/>
                    <w:keepLines w:val="0"/>
                    <w:suppressLineNumbers w:val="0"/>
                    <w:bidi w:val="0"/>
                    <w:spacing w:before="0" w:beforeAutospacing="0" w:after="0" w:afterAutospacing="0"/>
                    <w:ind w:left="0" w:right="0"/>
                    <w:rPr>
                      <w:rFonts w:hint="default"/>
                      <w:color w:val="auto"/>
                    </w:rPr>
                  </w:pPr>
                </w:p>
              </w:tc>
              <w:tc>
                <w:tcPr>
                  <w:tcW w:w="662" w:type="dxa"/>
                  <w:vMerge w:val="continue"/>
                  <w:tcBorders>
                    <w:tl2br w:val="nil"/>
                    <w:tr2bl w:val="nil"/>
                  </w:tcBorders>
                  <w:noWrap w:val="0"/>
                  <w:vAlign w:val="center"/>
                </w:tcPr>
                <w:p w14:paraId="3C201D7C">
                  <w:pPr>
                    <w:pStyle w:val="56"/>
                    <w:keepNext w:val="0"/>
                    <w:keepLines w:val="0"/>
                    <w:suppressLineNumbers w:val="0"/>
                    <w:bidi w:val="0"/>
                    <w:spacing w:before="0" w:beforeAutospacing="0" w:after="0" w:afterAutospacing="0"/>
                    <w:ind w:left="0" w:right="0"/>
                    <w:rPr>
                      <w:rFonts w:hint="eastAsia"/>
                      <w:color w:val="auto"/>
                    </w:rPr>
                  </w:pPr>
                </w:p>
              </w:tc>
              <w:tc>
                <w:tcPr>
                  <w:tcW w:w="1192" w:type="dxa"/>
                  <w:tcBorders>
                    <w:tl2br w:val="nil"/>
                    <w:tr2bl w:val="nil"/>
                  </w:tcBorders>
                  <w:shd w:val="clear" w:color="auto" w:fill="auto"/>
                  <w:noWrap w:val="0"/>
                  <w:vAlign w:val="center"/>
                </w:tcPr>
                <w:p w14:paraId="2F227CE2">
                  <w:pPr>
                    <w:pStyle w:val="56"/>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s="Times New Roman"/>
                      <w:color w:val="auto"/>
                      <w:lang w:val="en-US" w:eastAsia="zh-CN"/>
                    </w:rPr>
                    <w:t>运输车辆冲洗废水、</w:t>
                  </w:r>
                  <w:r>
                    <w:rPr>
                      <w:rFonts w:hint="eastAsia"/>
                      <w:color w:val="auto"/>
                      <w:kern w:val="0"/>
                      <w:sz w:val="21"/>
                      <w:szCs w:val="21"/>
                      <w:lang w:val="en-US" w:eastAsia="zh-CN"/>
                    </w:rPr>
                    <w:t>设备清洗与地面清洗用水</w:t>
                  </w:r>
                </w:p>
              </w:tc>
              <w:tc>
                <w:tcPr>
                  <w:tcW w:w="1511" w:type="dxa"/>
                  <w:tcBorders>
                    <w:tl2br w:val="nil"/>
                    <w:tr2bl w:val="nil"/>
                  </w:tcBorders>
                  <w:shd w:val="clear" w:color="auto" w:fill="auto"/>
                  <w:noWrap w:val="0"/>
                  <w:vAlign w:val="center"/>
                </w:tcPr>
                <w:p w14:paraId="103546B1">
                  <w:pPr>
                    <w:pStyle w:val="56"/>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val="en-US" w:eastAsia="zh-CN"/>
                    </w:rPr>
                    <w:t>SS</w:t>
                  </w:r>
                </w:p>
              </w:tc>
              <w:tc>
                <w:tcPr>
                  <w:tcW w:w="1382" w:type="dxa"/>
                  <w:tcBorders>
                    <w:tl2br w:val="nil"/>
                    <w:tr2bl w:val="nil"/>
                  </w:tcBorders>
                  <w:shd w:val="clear" w:color="auto" w:fill="auto"/>
                  <w:noWrap w:val="0"/>
                  <w:vAlign w:val="center"/>
                </w:tcPr>
                <w:p w14:paraId="75A85566">
                  <w:pPr>
                    <w:pStyle w:val="56"/>
                    <w:keepNext w:val="0"/>
                    <w:keepLines w:val="0"/>
                    <w:suppressLineNumbers w:val="0"/>
                    <w:bidi w:val="0"/>
                    <w:spacing w:before="0" w:beforeAutospacing="0" w:after="0" w:afterAutospacing="0"/>
                    <w:ind w:left="0" w:right="0" w:firstLine="0" w:firstLineChars="0"/>
                    <w:rPr>
                      <w:rFonts w:hint="eastAsia" w:ascii="Times New Roman" w:hAnsi="Times New Roman" w:eastAsia="宋体" w:cs="Times New Roman"/>
                      <w:color w:val="auto"/>
                      <w:spacing w:val="0"/>
                      <w:kern w:val="0"/>
                      <w:sz w:val="21"/>
                      <w:szCs w:val="21"/>
                      <w:lang w:val="en-US" w:eastAsia="zh-CN" w:bidi="ar-SA"/>
                    </w:rPr>
                  </w:pPr>
                  <w:r>
                    <w:rPr>
                      <w:rFonts w:hint="eastAsia"/>
                      <w:color w:val="auto"/>
                      <w:lang w:eastAsia="zh-CN"/>
                    </w:rPr>
                    <w:t>沉淀池</w:t>
                  </w:r>
                </w:p>
              </w:tc>
              <w:tc>
                <w:tcPr>
                  <w:tcW w:w="2646" w:type="dxa"/>
                  <w:tcBorders>
                    <w:tl2br w:val="nil"/>
                    <w:tr2bl w:val="nil"/>
                  </w:tcBorders>
                  <w:noWrap w:val="0"/>
                  <w:vAlign w:val="center"/>
                </w:tcPr>
                <w:p w14:paraId="5742482A">
                  <w:pPr>
                    <w:pStyle w:val="56"/>
                    <w:keepNext w:val="0"/>
                    <w:keepLines w:val="0"/>
                    <w:suppressLineNumbers w:val="0"/>
                    <w:bidi w:val="0"/>
                    <w:spacing w:before="0" w:beforeAutospacing="0" w:after="0" w:afterAutospacing="0"/>
                    <w:ind w:left="0" w:right="0"/>
                    <w:rPr>
                      <w:rFonts w:hint="eastAsia"/>
                      <w:color w:val="auto"/>
                    </w:rPr>
                  </w:pPr>
                  <w:r>
                    <w:rPr>
                      <w:rFonts w:hint="eastAsia" w:cs="Times New Roman"/>
                      <w:color w:val="auto"/>
                      <w:lang w:val="en-US" w:eastAsia="zh-CN"/>
                    </w:rPr>
                    <w:t>《城市污水再生利用工业用水水质》（GB/T19923-2024)</w:t>
                  </w:r>
                </w:p>
              </w:tc>
            </w:tr>
            <w:tr w14:paraId="79B2EE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55" w:type="dxa"/>
                  <w:vMerge w:val="continue"/>
                  <w:tcBorders>
                    <w:tl2br w:val="nil"/>
                    <w:tr2bl w:val="nil"/>
                  </w:tcBorders>
                  <w:noWrap w:val="0"/>
                  <w:vAlign w:val="center"/>
                </w:tcPr>
                <w:p w14:paraId="700F1CAA">
                  <w:pPr>
                    <w:pStyle w:val="56"/>
                    <w:keepNext w:val="0"/>
                    <w:keepLines w:val="0"/>
                    <w:suppressLineNumbers w:val="0"/>
                    <w:bidi w:val="0"/>
                    <w:spacing w:before="0" w:beforeAutospacing="0" w:after="0" w:afterAutospacing="0"/>
                    <w:ind w:left="0" w:right="0"/>
                    <w:rPr>
                      <w:rFonts w:hint="default"/>
                      <w:color w:val="auto"/>
                    </w:rPr>
                  </w:pPr>
                </w:p>
              </w:tc>
              <w:tc>
                <w:tcPr>
                  <w:tcW w:w="662" w:type="dxa"/>
                  <w:vMerge w:val="continue"/>
                  <w:tcBorders>
                    <w:tl2br w:val="nil"/>
                    <w:tr2bl w:val="nil"/>
                  </w:tcBorders>
                  <w:noWrap w:val="0"/>
                  <w:vAlign w:val="center"/>
                </w:tcPr>
                <w:p w14:paraId="62874F67">
                  <w:pPr>
                    <w:pStyle w:val="56"/>
                    <w:keepNext w:val="0"/>
                    <w:keepLines w:val="0"/>
                    <w:suppressLineNumbers w:val="0"/>
                    <w:bidi w:val="0"/>
                    <w:spacing w:before="0" w:beforeAutospacing="0" w:after="0" w:afterAutospacing="0"/>
                    <w:ind w:left="0" w:right="0"/>
                    <w:rPr>
                      <w:rFonts w:hint="eastAsia"/>
                      <w:color w:val="auto"/>
                    </w:rPr>
                  </w:pPr>
                </w:p>
              </w:tc>
              <w:tc>
                <w:tcPr>
                  <w:tcW w:w="1192" w:type="dxa"/>
                  <w:tcBorders>
                    <w:tl2br w:val="nil"/>
                    <w:tr2bl w:val="nil"/>
                  </w:tcBorders>
                  <w:noWrap w:val="0"/>
                  <w:vAlign w:val="center"/>
                </w:tcPr>
                <w:p w14:paraId="7FF69E8E">
                  <w:pPr>
                    <w:pStyle w:val="56"/>
                    <w:keepNext w:val="0"/>
                    <w:keepLines w:val="0"/>
                    <w:suppressLineNumbers w:val="0"/>
                    <w:bidi w:val="0"/>
                    <w:spacing w:before="0" w:beforeAutospacing="0" w:after="0" w:afterAutospacing="0"/>
                    <w:ind w:left="0" w:leftChars="0" w:right="0" w:rightChars="0" w:firstLine="0" w:firstLineChars="0"/>
                    <w:rPr>
                      <w:rFonts w:hint="eastAsia"/>
                      <w:color w:val="auto"/>
                    </w:rPr>
                  </w:pPr>
                  <w:r>
                    <w:rPr>
                      <w:rFonts w:hint="eastAsia" w:cs="Times New Roman"/>
                      <w:color w:val="auto"/>
                      <w:lang w:val="en-US" w:eastAsia="zh-CN"/>
                    </w:rPr>
                    <w:t>初期雨水</w:t>
                  </w:r>
                </w:p>
              </w:tc>
              <w:tc>
                <w:tcPr>
                  <w:tcW w:w="1511" w:type="dxa"/>
                  <w:tcBorders>
                    <w:tl2br w:val="nil"/>
                    <w:tr2bl w:val="nil"/>
                  </w:tcBorders>
                  <w:noWrap w:val="0"/>
                  <w:vAlign w:val="center"/>
                </w:tcPr>
                <w:p w14:paraId="26DB8A1B">
                  <w:pPr>
                    <w:pStyle w:val="56"/>
                    <w:keepNext w:val="0"/>
                    <w:keepLines w:val="0"/>
                    <w:suppressLineNumbers w:val="0"/>
                    <w:bidi w:val="0"/>
                    <w:spacing w:before="0" w:beforeAutospacing="0" w:after="0" w:afterAutospacing="0"/>
                    <w:ind w:left="0" w:leftChars="0" w:right="0" w:rightChars="0" w:firstLine="0" w:firstLineChars="0"/>
                    <w:rPr>
                      <w:rFonts w:hint="eastAsia"/>
                      <w:color w:val="auto"/>
                      <w:lang w:eastAsia="zh-CN"/>
                    </w:rPr>
                  </w:pPr>
                  <w:r>
                    <w:rPr>
                      <w:rFonts w:hint="eastAsia" w:cs="Times New Roman"/>
                      <w:color w:val="auto"/>
                      <w:lang w:val="en-US" w:eastAsia="zh-CN"/>
                    </w:rPr>
                    <w:t>SS</w:t>
                  </w:r>
                </w:p>
              </w:tc>
              <w:tc>
                <w:tcPr>
                  <w:tcW w:w="1382" w:type="dxa"/>
                  <w:tcBorders>
                    <w:tl2br w:val="nil"/>
                    <w:tr2bl w:val="nil"/>
                  </w:tcBorders>
                  <w:noWrap w:val="0"/>
                  <w:vAlign w:val="center"/>
                </w:tcPr>
                <w:p w14:paraId="611BEF8C">
                  <w:pPr>
                    <w:pStyle w:val="56"/>
                    <w:keepNext w:val="0"/>
                    <w:keepLines w:val="0"/>
                    <w:suppressLineNumbers w:val="0"/>
                    <w:bidi w:val="0"/>
                    <w:spacing w:before="0" w:beforeAutospacing="0" w:after="0" w:afterAutospacing="0"/>
                    <w:ind w:left="0" w:leftChars="0" w:right="0" w:rightChars="0" w:firstLine="0" w:firstLineChars="0"/>
                    <w:rPr>
                      <w:rFonts w:hint="eastAsia"/>
                      <w:color w:val="auto"/>
                      <w:lang w:eastAsia="zh-CN"/>
                    </w:rPr>
                  </w:pPr>
                  <w:r>
                    <w:rPr>
                      <w:rFonts w:hint="eastAsia" w:cs="Times New Roman"/>
                      <w:color w:val="auto"/>
                      <w:lang w:val="en-US" w:eastAsia="zh-CN"/>
                    </w:rPr>
                    <w:t>沉淀处理</w:t>
                  </w:r>
                </w:p>
              </w:tc>
              <w:tc>
                <w:tcPr>
                  <w:tcW w:w="2646" w:type="dxa"/>
                  <w:tcBorders>
                    <w:tl2br w:val="nil"/>
                    <w:tr2bl w:val="nil"/>
                  </w:tcBorders>
                  <w:noWrap w:val="0"/>
                  <w:vAlign w:val="center"/>
                </w:tcPr>
                <w:p w14:paraId="6C861882">
                  <w:pPr>
                    <w:pStyle w:val="56"/>
                    <w:keepNext w:val="0"/>
                    <w:keepLines w:val="0"/>
                    <w:suppressLineNumbers w:val="0"/>
                    <w:bidi w:val="0"/>
                    <w:spacing w:before="0" w:beforeAutospacing="0" w:after="0" w:afterAutospacing="0"/>
                    <w:ind w:left="0" w:leftChars="0" w:right="0" w:rightChars="0" w:firstLine="0" w:firstLineChars="0"/>
                    <w:rPr>
                      <w:rFonts w:hint="eastAsia"/>
                      <w:color w:val="auto"/>
                    </w:rPr>
                  </w:pPr>
                  <w:r>
                    <w:rPr>
                      <w:rFonts w:hint="eastAsia" w:cs="Times New Roman"/>
                      <w:color w:val="auto"/>
                      <w:lang w:val="en-US" w:eastAsia="zh-CN"/>
                    </w:rPr>
                    <w:t>/</w:t>
                  </w:r>
                </w:p>
              </w:tc>
            </w:tr>
            <w:tr w14:paraId="619225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55" w:type="dxa"/>
                  <w:vMerge w:val="restart"/>
                  <w:tcBorders>
                    <w:tl2br w:val="nil"/>
                    <w:tr2bl w:val="nil"/>
                  </w:tcBorders>
                  <w:noWrap w:val="0"/>
                  <w:vAlign w:val="center"/>
                </w:tcPr>
                <w:p w14:paraId="04A1F5DA">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2</w:t>
                  </w:r>
                </w:p>
              </w:tc>
              <w:tc>
                <w:tcPr>
                  <w:tcW w:w="662" w:type="dxa"/>
                  <w:vMerge w:val="restart"/>
                  <w:tcBorders>
                    <w:tl2br w:val="nil"/>
                    <w:tr2bl w:val="nil"/>
                  </w:tcBorders>
                  <w:noWrap w:val="0"/>
                  <w:vAlign w:val="center"/>
                </w:tcPr>
                <w:p w14:paraId="72099762">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废气</w:t>
                  </w:r>
                </w:p>
              </w:tc>
              <w:tc>
                <w:tcPr>
                  <w:tcW w:w="1192" w:type="dxa"/>
                  <w:tcBorders>
                    <w:tl2br w:val="nil"/>
                    <w:tr2bl w:val="nil"/>
                  </w:tcBorders>
                  <w:noWrap w:val="0"/>
                  <w:vAlign w:val="center"/>
                </w:tcPr>
                <w:p w14:paraId="7008F145">
                  <w:pPr>
                    <w:pStyle w:val="56"/>
                    <w:keepNext w:val="0"/>
                    <w:keepLines w:val="0"/>
                    <w:suppressLineNumbers w:val="0"/>
                    <w:bidi w:val="0"/>
                    <w:spacing w:before="0" w:beforeAutospacing="0" w:after="0" w:afterAutospacing="0"/>
                    <w:ind w:left="0" w:leftChars="0" w:right="0" w:rightChars="0" w:firstLine="0" w:firstLineChars="0"/>
                    <w:jc w:val="center"/>
                    <w:rPr>
                      <w:rFonts w:hint="eastAsia"/>
                      <w:color w:val="auto"/>
                    </w:rPr>
                  </w:pPr>
                  <w:r>
                    <w:rPr>
                      <w:rFonts w:hint="eastAsia" w:cs="Times New Roman"/>
                      <w:color w:val="auto"/>
                      <w:lang w:val="en-US" w:eastAsia="zh-CN"/>
                    </w:rPr>
                    <w:t>筛选破碎废气</w:t>
                  </w:r>
                </w:p>
              </w:tc>
              <w:tc>
                <w:tcPr>
                  <w:tcW w:w="1511" w:type="dxa"/>
                  <w:vMerge w:val="restart"/>
                  <w:tcBorders>
                    <w:tl2br w:val="nil"/>
                    <w:tr2bl w:val="nil"/>
                  </w:tcBorders>
                  <w:noWrap w:val="0"/>
                  <w:vAlign w:val="center"/>
                </w:tcPr>
                <w:p w14:paraId="2423BB6C">
                  <w:pPr>
                    <w:pStyle w:val="56"/>
                    <w:keepNext w:val="0"/>
                    <w:keepLines w:val="0"/>
                    <w:suppressLineNumbers w:val="0"/>
                    <w:bidi w:val="0"/>
                    <w:spacing w:before="0" w:beforeAutospacing="0" w:after="0" w:afterAutospacing="0"/>
                    <w:ind w:left="0" w:right="0"/>
                    <w:rPr>
                      <w:rFonts w:hint="eastAsia"/>
                      <w:color w:val="auto"/>
                      <w:lang w:val="en-US" w:eastAsia="zh-CN"/>
                    </w:rPr>
                  </w:pPr>
                  <w:r>
                    <w:rPr>
                      <w:rFonts w:hint="eastAsia" w:ascii="Times New Roman" w:hAnsi="Times New Roman" w:eastAsia="宋体" w:cs="Times New Roman"/>
                      <w:color w:val="auto"/>
                      <w:lang w:val="en-US" w:eastAsia="zh-CN"/>
                    </w:rPr>
                    <w:t>氟化物、</w:t>
                  </w:r>
                  <w:r>
                    <w:rPr>
                      <w:rFonts w:hint="default" w:ascii="Times New Roman" w:hAnsi="Times New Roman" w:eastAsia="宋体" w:cs="Times New Roman"/>
                      <w:color w:val="auto"/>
                    </w:rPr>
                    <w:t>颗粒物</w:t>
                  </w:r>
                </w:p>
              </w:tc>
              <w:tc>
                <w:tcPr>
                  <w:tcW w:w="1382" w:type="dxa"/>
                  <w:vMerge w:val="restart"/>
                  <w:tcBorders>
                    <w:tl2br w:val="nil"/>
                    <w:tr2bl w:val="nil"/>
                  </w:tcBorders>
                  <w:noWrap w:val="0"/>
                  <w:vAlign w:val="center"/>
                </w:tcPr>
                <w:p w14:paraId="1C2ACD8E">
                  <w:pPr>
                    <w:pStyle w:val="56"/>
                    <w:keepNext w:val="0"/>
                    <w:keepLines w:val="0"/>
                    <w:suppressLineNumbers w:val="0"/>
                    <w:bidi w:val="0"/>
                    <w:spacing w:before="0" w:beforeAutospacing="0" w:after="0" w:afterAutospacing="0"/>
                    <w:ind w:left="0" w:right="0"/>
                    <w:rPr>
                      <w:rFonts w:hint="default"/>
                      <w:color w:val="auto"/>
                    </w:rPr>
                  </w:pPr>
                  <w:r>
                    <w:rPr>
                      <w:rFonts w:hint="eastAsia"/>
                      <w:color w:val="auto"/>
                      <w:kern w:val="0"/>
                      <w:sz w:val="21"/>
                      <w:szCs w:val="21"/>
                      <w:lang w:val="en-US" w:eastAsia="zh-CN"/>
                    </w:rPr>
                    <w:t>筛选破碎废气、投料废气、搅拌经3个集气罩收集+1个布袋除尘处理后通过15m的排气筒排放（DA001）</w:t>
                  </w:r>
                </w:p>
              </w:tc>
              <w:tc>
                <w:tcPr>
                  <w:tcW w:w="2646" w:type="dxa"/>
                  <w:vMerge w:val="restart"/>
                  <w:tcBorders>
                    <w:tl2br w:val="nil"/>
                    <w:tr2bl w:val="nil"/>
                  </w:tcBorders>
                  <w:noWrap w:val="0"/>
                  <w:vAlign w:val="center"/>
                </w:tcPr>
                <w:p w14:paraId="42889BCB">
                  <w:pPr>
                    <w:pStyle w:val="56"/>
                    <w:keepNext w:val="0"/>
                    <w:keepLines w:val="0"/>
                    <w:suppressLineNumbers w:val="0"/>
                    <w:bidi w:val="0"/>
                    <w:spacing w:before="0" w:beforeAutospacing="0" w:after="0" w:afterAutospacing="0"/>
                    <w:ind w:left="0" w:right="0"/>
                    <w:rPr>
                      <w:rFonts w:hint="eastAsia"/>
                      <w:color w:val="auto"/>
                    </w:rPr>
                  </w:pPr>
                  <w:r>
                    <w:rPr>
                      <w:rFonts w:hint="eastAsia" w:cs="Times New Roman"/>
                      <w:color w:val="auto"/>
                      <w:lang w:val="en-US" w:eastAsia="zh-CN"/>
                    </w:rPr>
                    <w:t>颗粒物执行《水泥工业大气污染物排放标准》（GB 4915-2013）表1；氟化物执行《大气污染物综合排放标准》（GB 16297-1996）</w:t>
                  </w:r>
                </w:p>
              </w:tc>
            </w:tr>
            <w:tr w14:paraId="197976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55" w:type="dxa"/>
                  <w:vMerge w:val="continue"/>
                  <w:tcBorders>
                    <w:tl2br w:val="nil"/>
                    <w:tr2bl w:val="nil"/>
                  </w:tcBorders>
                  <w:noWrap w:val="0"/>
                  <w:vAlign w:val="center"/>
                </w:tcPr>
                <w:p w14:paraId="75C4870A">
                  <w:pPr>
                    <w:pStyle w:val="56"/>
                    <w:keepNext w:val="0"/>
                    <w:keepLines w:val="0"/>
                    <w:suppressLineNumbers w:val="0"/>
                    <w:bidi w:val="0"/>
                    <w:spacing w:before="0" w:beforeAutospacing="0" w:after="0" w:afterAutospacing="0"/>
                    <w:ind w:left="0" w:right="0"/>
                    <w:rPr>
                      <w:rFonts w:hint="default"/>
                      <w:color w:val="auto"/>
                    </w:rPr>
                  </w:pPr>
                </w:p>
              </w:tc>
              <w:tc>
                <w:tcPr>
                  <w:tcW w:w="662" w:type="dxa"/>
                  <w:vMerge w:val="continue"/>
                  <w:tcBorders>
                    <w:tl2br w:val="nil"/>
                    <w:tr2bl w:val="nil"/>
                  </w:tcBorders>
                  <w:noWrap w:val="0"/>
                  <w:vAlign w:val="center"/>
                </w:tcPr>
                <w:p w14:paraId="79E5D071">
                  <w:pPr>
                    <w:pStyle w:val="56"/>
                    <w:keepNext w:val="0"/>
                    <w:keepLines w:val="0"/>
                    <w:suppressLineNumbers w:val="0"/>
                    <w:bidi w:val="0"/>
                    <w:spacing w:before="0" w:beforeAutospacing="0" w:after="0" w:afterAutospacing="0"/>
                    <w:ind w:left="0" w:right="0"/>
                    <w:rPr>
                      <w:rFonts w:hint="default"/>
                      <w:color w:val="auto"/>
                    </w:rPr>
                  </w:pPr>
                </w:p>
              </w:tc>
              <w:tc>
                <w:tcPr>
                  <w:tcW w:w="1192" w:type="dxa"/>
                  <w:tcBorders>
                    <w:tl2br w:val="nil"/>
                    <w:tr2bl w:val="nil"/>
                  </w:tcBorders>
                  <w:noWrap w:val="0"/>
                  <w:vAlign w:val="center"/>
                </w:tcPr>
                <w:p w14:paraId="4FE9D422">
                  <w:pPr>
                    <w:pStyle w:val="56"/>
                    <w:keepNext w:val="0"/>
                    <w:keepLines w:val="0"/>
                    <w:suppressLineNumbers w:val="0"/>
                    <w:bidi w:val="0"/>
                    <w:spacing w:before="0" w:beforeAutospacing="0" w:after="0" w:afterAutospacing="0"/>
                    <w:ind w:left="0" w:leftChars="0" w:right="0" w:rightChars="0" w:firstLine="0" w:firstLineChars="0"/>
                    <w:jc w:val="center"/>
                    <w:rPr>
                      <w:rFonts w:hint="eastAsia"/>
                      <w:color w:val="auto"/>
                      <w:lang w:eastAsia="zh-CN"/>
                    </w:rPr>
                  </w:pPr>
                  <w:r>
                    <w:rPr>
                      <w:rFonts w:hint="eastAsia" w:cs="Times New Roman"/>
                      <w:color w:val="auto"/>
                      <w:lang w:val="en-US" w:eastAsia="zh-CN"/>
                    </w:rPr>
                    <w:t>投料废气</w:t>
                  </w:r>
                </w:p>
              </w:tc>
              <w:tc>
                <w:tcPr>
                  <w:tcW w:w="1511" w:type="dxa"/>
                  <w:vMerge w:val="continue"/>
                  <w:tcBorders>
                    <w:tl2br w:val="nil"/>
                    <w:tr2bl w:val="nil"/>
                  </w:tcBorders>
                  <w:noWrap w:val="0"/>
                  <w:vAlign w:val="center"/>
                </w:tcPr>
                <w:p w14:paraId="6872ED23">
                  <w:pPr>
                    <w:pStyle w:val="56"/>
                    <w:keepNext w:val="0"/>
                    <w:keepLines w:val="0"/>
                    <w:suppressLineNumbers w:val="0"/>
                    <w:bidi w:val="0"/>
                    <w:spacing w:before="0" w:beforeAutospacing="0" w:after="0" w:afterAutospacing="0"/>
                    <w:ind w:left="0" w:right="0"/>
                    <w:rPr>
                      <w:rFonts w:hint="default"/>
                      <w:color w:val="auto"/>
                    </w:rPr>
                  </w:pPr>
                </w:p>
              </w:tc>
              <w:tc>
                <w:tcPr>
                  <w:tcW w:w="1382" w:type="dxa"/>
                  <w:vMerge w:val="continue"/>
                  <w:tcBorders>
                    <w:tl2br w:val="nil"/>
                    <w:tr2bl w:val="nil"/>
                  </w:tcBorders>
                  <w:noWrap w:val="0"/>
                  <w:vAlign w:val="center"/>
                </w:tcPr>
                <w:p w14:paraId="172826A0">
                  <w:pPr>
                    <w:pStyle w:val="56"/>
                    <w:keepNext w:val="0"/>
                    <w:keepLines w:val="0"/>
                    <w:suppressLineNumbers w:val="0"/>
                    <w:bidi w:val="0"/>
                    <w:spacing w:before="0" w:beforeAutospacing="0" w:after="0" w:afterAutospacing="0"/>
                    <w:ind w:left="0" w:right="0"/>
                    <w:rPr>
                      <w:rFonts w:hint="eastAsia"/>
                      <w:color w:val="auto"/>
                      <w:lang w:eastAsia="zh-CN"/>
                    </w:rPr>
                  </w:pPr>
                </w:p>
              </w:tc>
              <w:tc>
                <w:tcPr>
                  <w:tcW w:w="2646" w:type="dxa"/>
                  <w:vMerge w:val="continue"/>
                  <w:tcBorders>
                    <w:tl2br w:val="nil"/>
                    <w:tr2bl w:val="nil"/>
                  </w:tcBorders>
                  <w:noWrap w:val="0"/>
                  <w:vAlign w:val="center"/>
                </w:tcPr>
                <w:p w14:paraId="786CF804">
                  <w:pPr>
                    <w:pStyle w:val="56"/>
                    <w:keepNext w:val="0"/>
                    <w:keepLines w:val="0"/>
                    <w:suppressLineNumbers w:val="0"/>
                    <w:bidi w:val="0"/>
                    <w:spacing w:before="0" w:beforeAutospacing="0" w:after="0" w:afterAutospacing="0"/>
                    <w:ind w:left="0" w:right="0"/>
                    <w:rPr>
                      <w:rFonts w:hint="default"/>
                      <w:color w:val="auto"/>
                    </w:rPr>
                  </w:pPr>
                </w:p>
              </w:tc>
            </w:tr>
            <w:tr w14:paraId="4135E8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55" w:type="dxa"/>
                  <w:vMerge w:val="continue"/>
                  <w:tcBorders>
                    <w:tl2br w:val="nil"/>
                    <w:tr2bl w:val="nil"/>
                  </w:tcBorders>
                  <w:noWrap w:val="0"/>
                  <w:vAlign w:val="center"/>
                </w:tcPr>
                <w:p w14:paraId="505D5885">
                  <w:pPr>
                    <w:pStyle w:val="56"/>
                    <w:keepNext w:val="0"/>
                    <w:keepLines w:val="0"/>
                    <w:suppressLineNumbers w:val="0"/>
                    <w:bidi w:val="0"/>
                    <w:spacing w:before="0" w:beforeAutospacing="0" w:after="0" w:afterAutospacing="0"/>
                    <w:ind w:left="0" w:right="0"/>
                    <w:rPr>
                      <w:rFonts w:hint="default"/>
                      <w:color w:val="auto"/>
                    </w:rPr>
                  </w:pPr>
                </w:p>
              </w:tc>
              <w:tc>
                <w:tcPr>
                  <w:tcW w:w="662" w:type="dxa"/>
                  <w:vMerge w:val="continue"/>
                  <w:tcBorders>
                    <w:tl2br w:val="nil"/>
                    <w:tr2bl w:val="nil"/>
                  </w:tcBorders>
                  <w:noWrap w:val="0"/>
                  <w:vAlign w:val="center"/>
                </w:tcPr>
                <w:p w14:paraId="764F4603">
                  <w:pPr>
                    <w:pStyle w:val="56"/>
                    <w:keepNext w:val="0"/>
                    <w:keepLines w:val="0"/>
                    <w:suppressLineNumbers w:val="0"/>
                    <w:bidi w:val="0"/>
                    <w:spacing w:before="0" w:beforeAutospacing="0" w:after="0" w:afterAutospacing="0"/>
                    <w:ind w:left="0" w:right="0"/>
                    <w:rPr>
                      <w:rFonts w:hint="default"/>
                      <w:color w:val="auto"/>
                    </w:rPr>
                  </w:pPr>
                </w:p>
              </w:tc>
              <w:tc>
                <w:tcPr>
                  <w:tcW w:w="1192" w:type="dxa"/>
                  <w:tcBorders>
                    <w:tl2br w:val="nil"/>
                    <w:tr2bl w:val="nil"/>
                  </w:tcBorders>
                  <w:noWrap w:val="0"/>
                  <w:vAlign w:val="center"/>
                </w:tcPr>
                <w:p w14:paraId="25A92E7A">
                  <w:pPr>
                    <w:pStyle w:val="56"/>
                    <w:keepNext w:val="0"/>
                    <w:keepLines w:val="0"/>
                    <w:suppressLineNumbers w:val="0"/>
                    <w:bidi w:val="0"/>
                    <w:spacing w:before="0" w:beforeAutospacing="0" w:after="0" w:afterAutospacing="0"/>
                    <w:ind w:left="0" w:leftChars="0" w:right="0" w:rightChars="0" w:firstLine="0" w:firstLineChars="0"/>
                    <w:jc w:val="center"/>
                    <w:rPr>
                      <w:rFonts w:hint="eastAsia"/>
                      <w:color w:val="auto"/>
                      <w:lang w:eastAsia="zh-CN"/>
                    </w:rPr>
                  </w:pPr>
                  <w:r>
                    <w:rPr>
                      <w:rFonts w:hint="eastAsia" w:cs="Times New Roman"/>
                      <w:color w:val="auto"/>
                      <w:lang w:val="en-US" w:eastAsia="zh-CN"/>
                    </w:rPr>
                    <w:t>搅拌废气</w:t>
                  </w:r>
                </w:p>
              </w:tc>
              <w:tc>
                <w:tcPr>
                  <w:tcW w:w="1511" w:type="dxa"/>
                  <w:vMerge w:val="continue"/>
                  <w:tcBorders>
                    <w:tl2br w:val="nil"/>
                    <w:tr2bl w:val="nil"/>
                  </w:tcBorders>
                  <w:noWrap w:val="0"/>
                  <w:vAlign w:val="center"/>
                </w:tcPr>
                <w:p w14:paraId="0D262A11">
                  <w:pPr>
                    <w:pStyle w:val="56"/>
                    <w:keepNext w:val="0"/>
                    <w:keepLines w:val="0"/>
                    <w:suppressLineNumbers w:val="0"/>
                    <w:bidi w:val="0"/>
                    <w:spacing w:before="0" w:beforeAutospacing="0" w:after="0" w:afterAutospacing="0"/>
                    <w:ind w:left="0" w:right="0"/>
                    <w:rPr>
                      <w:rFonts w:hint="eastAsia"/>
                      <w:color w:val="auto"/>
                      <w:lang w:val="en-US" w:eastAsia="zh-CN"/>
                    </w:rPr>
                  </w:pPr>
                </w:p>
              </w:tc>
              <w:tc>
                <w:tcPr>
                  <w:tcW w:w="1382" w:type="dxa"/>
                  <w:vMerge w:val="continue"/>
                  <w:tcBorders>
                    <w:tl2br w:val="nil"/>
                    <w:tr2bl w:val="nil"/>
                  </w:tcBorders>
                  <w:noWrap w:val="0"/>
                  <w:vAlign w:val="center"/>
                </w:tcPr>
                <w:p w14:paraId="498DFA2D">
                  <w:pPr>
                    <w:pStyle w:val="56"/>
                    <w:keepNext w:val="0"/>
                    <w:keepLines w:val="0"/>
                    <w:suppressLineNumbers w:val="0"/>
                    <w:bidi w:val="0"/>
                    <w:spacing w:before="0" w:beforeAutospacing="0" w:after="0" w:afterAutospacing="0"/>
                    <w:ind w:left="0" w:right="0"/>
                    <w:rPr>
                      <w:rFonts w:hint="eastAsia"/>
                      <w:color w:val="auto"/>
                      <w:lang w:eastAsia="zh-CN"/>
                    </w:rPr>
                  </w:pPr>
                </w:p>
              </w:tc>
              <w:tc>
                <w:tcPr>
                  <w:tcW w:w="2646" w:type="dxa"/>
                  <w:vMerge w:val="continue"/>
                  <w:tcBorders>
                    <w:tl2br w:val="nil"/>
                    <w:tr2bl w:val="nil"/>
                  </w:tcBorders>
                  <w:noWrap w:val="0"/>
                  <w:vAlign w:val="center"/>
                </w:tcPr>
                <w:p w14:paraId="6D44FB08">
                  <w:pPr>
                    <w:pStyle w:val="56"/>
                    <w:keepNext w:val="0"/>
                    <w:keepLines w:val="0"/>
                    <w:suppressLineNumbers w:val="0"/>
                    <w:bidi w:val="0"/>
                    <w:spacing w:before="0" w:beforeAutospacing="0" w:after="0" w:afterAutospacing="0"/>
                    <w:ind w:left="0" w:right="0"/>
                    <w:rPr>
                      <w:rFonts w:hint="eastAsia"/>
                      <w:color w:val="auto"/>
                    </w:rPr>
                  </w:pPr>
                </w:p>
              </w:tc>
            </w:tr>
            <w:tr w14:paraId="7CC215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55" w:type="dxa"/>
                  <w:vMerge w:val="continue"/>
                  <w:tcBorders>
                    <w:tl2br w:val="nil"/>
                    <w:tr2bl w:val="nil"/>
                  </w:tcBorders>
                  <w:noWrap w:val="0"/>
                  <w:vAlign w:val="center"/>
                </w:tcPr>
                <w:p w14:paraId="1D5FB57A">
                  <w:pPr>
                    <w:pStyle w:val="56"/>
                    <w:keepNext w:val="0"/>
                    <w:keepLines w:val="0"/>
                    <w:suppressLineNumbers w:val="0"/>
                    <w:bidi w:val="0"/>
                    <w:spacing w:before="0" w:beforeAutospacing="0" w:after="0" w:afterAutospacing="0"/>
                    <w:ind w:left="0" w:right="0"/>
                    <w:rPr>
                      <w:rFonts w:hint="default"/>
                      <w:color w:val="auto"/>
                    </w:rPr>
                  </w:pPr>
                </w:p>
              </w:tc>
              <w:tc>
                <w:tcPr>
                  <w:tcW w:w="662" w:type="dxa"/>
                  <w:vMerge w:val="continue"/>
                  <w:tcBorders>
                    <w:tl2br w:val="nil"/>
                    <w:tr2bl w:val="nil"/>
                  </w:tcBorders>
                  <w:noWrap w:val="0"/>
                  <w:vAlign w:val="center"/>
                </w:tcPr>
                <w:p w14:paraId="69129412">
                  <w:pPr>
                    <w:pStyle w:val="56"/>
                    <w:keepNext w:val="0"/>
                    <w:keepLines w:val="0"/>
                    <w:suppressLineNumbers w:val="0"/>
                    <w:bidi w:val="0"/>
                    <w:spacing w:before="0" w:beforeAutospacing="0" w:after="0" w:afterAutospacing="0"/>
                    <w:ind w:left="0" w:right="0"/>
                    <w:rPr>
                      <w:rFonts w:hint="default"/>
                      <w:color w:val="auto"/>
                    </w:rPr>
                  </w:pPr>
                </w:p>
              </w:tc>
              <w:tc>
                <w:tcPr>
                  <w:tcW w:w="1192" w:type="dxa"/>
                  <w:tcBorders>
                    <w:tl2br w:val="nil"/>
                    <w:tr2bl w:val="nil"/>
                  </w:tcBorders>
                  <w:noWrap w:val="0"/>
                  <w:vAlign w:val="center"/>
                </w:tcPr>
                <w:p w14:paraId="2B913E33">
                  <w:pPr>
                    <w:pStyle w:val="56"/>
                    <w:keepNext w:val="0"/>
                    <w:keepLines w:val="0"/>
                    <w:suppressLineNumbers w:val="0"/>
                    <w:bidi w:val="0"/>
                    <w:spacing w:before="0" w:beforeAutospacing="0" w:after="0" w:afterAutospacing="0"/>
                    <w:ind w:left="0" w:leftChars="0" w:right="0" w:rightChars="0" w:firstLine="0" w:firstLineChars="0"/>
                    <w:jc w:val="center"/>
                    <w:rPr>
                      <w:rFonts w:hint="eastAsia"/>
                      <w:color w:val="auto"/>
                      <w:lang w:eastAsia="zh-CN"/>
                    </w:rPr>
                  </w:pPr>
                  <w:r>
                    <w:rPr>
                      <w:rFonts w:hint="default" w:cs="Times New Roman"/>
                      <w:color w:val="auto"/>
                      <w:lang w:val="en-US" w:eastAsia="zh-CN"/>
                    </w:rPr>
                    <w:t>水泥筒库顶呼吸孔粉尘</w:t>
                  </w:r>
                </w:p>
              </w:tc>
              <w:tc>
                <w:tcPr>
                  <w:tcW w:w="1511" w:type="dxa"/>
                  <w:tcBorders>
                    <w:tl2br w:val="nil"/>
                    <w:tr2bl w:val="nil"/>
                  </w:tcBorders>
                  <w:noWrap w:val="0"/>
                  <w:vAlign w:val="center"/>
                </w:tcPr>
                <w:p w14:paraId="05289BF0">
                  <w:pPr>
                    <w:pStyle w:val="56"/>
                    <w:keepNext w:val="0"/>
                    <w:keepLines w:val="0"/>
                    <w:suppressLineNumbers w:val="0"/>
                    <w:bidi w:val="0"/>
                    <w:spacing w:before="0" w:beforeAutospacing="0" w:after="0" w:afterAutospacing="0"/>
                    <w:ind w:left="0" w:leftChars="0" w:right="0" w:rightChars="0" w:firstLine="0" w:firstLineChars="0"/>
                    <w:rPr>
                      <w:rFonts w:hint="eastAsia"/>
                      <w:color w:val="auto"/>
                    </w:rPr>
                  </w:pPr>
                  <w:r>
                    <w:rPr>
                      <w:rFonts w:hint="default" w:ascii="Times New Roman" w:hAnsi="Times New Roman" w:eastAsia="宋体" w:cs="Times New Roman"/>
                      <w:color w:val="auto"/>
                    </w:rPr>
                    <w:t>颗粒物</w:t>
                  </w:r>
                </w:p>
              </w:tc>
              <w:tc>
                <w:tcPr>
                  <w:tcW w:w="1382" w:type="dxa"/>
                  <w:tcBorders>
                    <w:tl2br w:val="nil"/>
                    <w:tr2bl w:val="nil"/>
                  </w:tcBorders>
                  <w:noWrap w:val="0"/>
                  <w:vAlign w:val="center"/>
                </w:tcPr>
                <w:p w14:paraId="5F2DCBE0">
                  <w:pPr>
                    <w:pStyle w:val="56"/>
                    <w:keepNext w:val="0"/>
                    <w:keepLines w:val="0"/>
                    <w:suppressLineNumbers w:val="0"/>
                    <w:bidi w:val="0"/>
                    <w:spacing w:before="0" w:beforeAutospacing="0" w:after="0" w:afterAutospacing="0"/>
                    <w:ind w:left="0" w:leftChars="0" w:right="0" w:rightChars="0" w:firstLine="0" w:firstLineChars="0"/>
                    <w:jc w:val="center"/>
                    <w:rPr>
                      <w:rFonts w:hint="eastAsia"/>
                      <w:color w:val="auto"/>
                    </w:rPr>
                  </w:pPr>
                  <w:r>
                    <w:rPr>
                      <w:rFonts w:hint="eastAsia"/>
                      <w:color w:val="auto"/>
                      <w:kern w:val="0"/>
                      <w:sz w:val="21"/>
                      <w:szCs w:val="21"/>
                      <w:lang w:val="en-US" w:eastAsia="zh-CN"/>
                    </w:rPr>
                    <w:t>自带高效袋式除尘设备处理后无组织排放</w:t>
                  </w:r>
                </w:p>
              </w:tc>
              <w:tc>
                <w:tcPr>
                  <w:tcW w:w="2646" w:type="dxa"/>
                  <w:tcBorders>
                    <w:tl2br w:val="nil"/>
                    <w:tr2bl w:val="nil"/>
                  </w:tcBorders>
                  <w:noWrap w:val="0"/>
                  <w:vAlign w:val="center"/>
                </w:tcPr>
                <w:p w14:paraId="6C81F631">
                  <w:pPr>
                    <w:pStyle w:val="56"/>
                    <w:keepNext w:val="0"/>
                    <w:keepLines w:val="0"/>
                    <w:suppressLineNumbers w:val="0"/>
                    <w:bidi w:val="0"/>
                    <w:spacing w:before="0" w:beforeAutospacing="0" w:after="0" w:afterAutospacing="0"/>
                    <w:ind w:left="0" w:right="0"/>
                    <w:rPr>
                      <w:rFonts w:hint="eastAsia"/>
                      <w:color w:val="auto"/>
                    </w:rPr>
                  </w:pPr>
                  <w:r>
                    <w:rPr>
                      <w:rFonts w:hint="default" w:cs="Times New Roman"/>
                      <w:color w:val="auto"/>
                      <w:lang w:val="en-US" w:eastAsia="zh-CN"/>
                    </w:rPr>
                    <w:t>颗粒物排放执行《水泥工业大气污染物排放标准》（GB 4915-2013）</w:t>
                  </w:r>
                  <w:r>
                    <w:rPr>
                      <w:rFonts w:hint="eastAsia" w:cs="Times New Roman"/>
                      <w:color w:val="auto"/>
                      <w:lang w:val="en-US" w:eastAsia="zh-CN"/>
                    </w:rPr>
                    <w:t>；氟化物执行《大气污染物综合排放标准》（GB 16297-1996）</w:t>
                  </w:r>
                </w:p>
              </w:tc>
            </w:tr>
            <w:tr w14:paraId="6904D6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55" w:type="dxa"/>
                  <w:vMerge w:val="continue"/>
                  <w:tcBorders>
                    <w:tl2br w:val="nil"/>
                    <w:tr2bl w:val="nil"/>
                  </w:tcBorders>
                  <w:noWrap w:val="0"/>
                  <w:vAlign w:val="center"/>
                </w:tcPr>
                <w:p w14:paraId="4EBBF9B8">
                  <w:pPr>
                    <w:pStyle w:val="56"/>
                    <w:keepNext w:val="0"/>
                    <w:keepLines w:val="0"/>
                    <w:suppressLineNumbers w:val="0"/>
                    <w:bidi w:val="0"/>
                    <w:spacing w:before="0" w:beforeAutospacing="0" w:after="0" w:afterAutospacing="0"/>
                    <w:ind w:left="0" w:right="0"/>
                    <w:rPr>
                      <w:rFonts w:hint="default"/>
                      <w:color w:val="auto"/>
                    </w:rPr>
                  </w:pPr>
                </w:p>
              </w:tc>
              <w:tc>
                <w:tcPr>
                  <w:tcW w:w="662" w:type="dxa"/>
                  <w:vMerge w:val="continue"/>
                  <w:tcBorders>
                    <w:tl2br w:val="nil"/>
                    <w:tr2bl w:val="nil"/>
                  </w:tcBorders>
                  <w:noWrap w:val="0"/>
                  <w:vAlign w:val="center"/>
                </w:tcPr>
                <w:p w14:paraId="7CADA41C">
                  <w:pPr>
                    <w:pStyle w:val="56"/>
                    <w:keepNext w:val="0"/>
                    <w:keepLines w:val="0"/>
                    <w:suppressLineNumbers w:val="0"/>
                    <w:bidi w:val="0"/>
                    <w:spacing w:before="0" w:beforeAutospacing="0" w:after="0" w:afterAutospacing="0"/>
                    <w:ind w:left="0" w:right="0"/>
                    <w:rPr>
                      <w:rFonts w:hint="default"/>
                      <w:color w:val="auto"/>
                    </w:rPr>
                  </w:pPr>
                </w:p>
              </w:tc>
              <w:tc>
                <w:tcPr>
                  <w:tcW w:w="1192" w:type="dxa"/>
                  <w:tcBorders>
                    <w:tl2br w:val="nil"/>
                    <w:tr2bl w:val="nil"/>
                  </w:tcBorders>
                  <w:noWrap w:val="0"/>
                  <w:vAlign w:val="center"/>
                </w:tcPr>
                <w:p w14:paraId="2B19452B">
                  <w:pPr>
                    <w:pStyle w:val="56"/>
                    <w:keepNext w:val="0"/>
                    <w:keepLines w:val="0"/>
                    <w:suppressLineNumbers w:val="0"/>
                    <w:bidi w:val="0"/>
                    <w:spacing w:before="0" w:beforeAutospacing="0" w:after="0" w:afterAutospacing="0"/>
                    <w:ind w:left="0" w:leftChars="0" w:right="0" w:rightChars="0" w:firstLine="0" w:firstLineChars="0"/>
                    <w:rPr>
                      <w:rFonts w:hint="eastAsia"/>
                      <w:color w:val="auto"/>
                      <w:lang w:eastAsia="zh-CN"/>
                    </w:rPr>
                  </w:pPr>
                  <w:r>
                    <w:rPr>
                      <w:rFonts w:hint="eastAsia" w:cs="Times New Roman"/>
                      <w:color w:val="auto"/>
                    </w:rPr>
                    <w:t>生产车间</w:t>
                  </w:r>
                </w:p>
              </w:tc>
              <w:tc>
                <w:tcPr>
                  <w:tcW w:w="1511" w:type="dxa"/>
                  <w:tcBorders>
                    <w:tl2br w:val="nil"/>
                    <w:tr2bl w:val="nil"/>
                  </w:tcBorders>
                  <w:noWrap w:val="0"/>
                  <w:vAlign w:val="center"/>
                </w:tcPr>
                <w:p w14:paraId="39BFFEA9">
                  <w:pPr>
                    <w:pStyle w:val="56"/>
                    <w:keepNext w:val="0"/>
                    <w:keepLines w:val="0"/>
                    <w:suppressLineNumbers w:val="0"/>
                    <w:bidi w:val="0"/>
                    <w:spacing w:before="0" w:beforeAutospacing="0" w:after="0" w:afterAutospacing="0"/>
                    <w:ind w:left="0" w:leftChars="0" w:right="0" w:rightChars="0" w:firstLine="0" w:firstLineChars="0"/>
                    <w:rPr>
                      <w:rFonts w:hint="eastAsia"/>
                      <w:color w:val="auto"/>
                    </w:rPr>
                  </w:pPr>
                  <w:r>
                    <w:rPr>
                      <w:rFonts w:hint="default" w:cs="Times New Roman"/>
                      <w:color w:val="auto"/>
                    </w:rPr>
                    <w:t>颗粒物</w:t>
                  </w:r>
                  <w:r>
                    <w:rPr>
                      <w:rFonts w:hint="eastAsia" w:cs="Times New Roman"/>
                      <w:color w:val="auto"/>
                      <w:lang w:eastAsia="zh-CN"/>
                    </w:rPr>
                    <w:t>、</w:t>
                  </w:r>
                  <w:r>
                    <w:rPr>
                      <w:rFonts w:hint="eastAsia" w:cs="Times New Roman"/>
                      <w:color w:val="auto"/>
                      <w:lang w:val="en-US" w:eastAsia="zh-CN"/>
                    </w:rPr>
                    <w:t>氟化物</w:t>
                  </w:r>
                </w:p>
              </w:tc>
              <w:tc>
                <w:tcPr>
                  <w:tcW w:w="1382" w:type="dxa"/>
                  <w:tcBorders>
                    <w:tl2br w:val="nil"/>
                    <w:tr2bl w:val="nil"/>
                  </w:tcBorders>
                  <w:noWrap w:val="0"/>
                  <w:vAlign w:val="center"/>
                </w:tcPr>
                <w:p w14:paraId="1485B59F">
                  <w:pPr>
                    <w:pStyle w:val="56"/>
                    <w:keepNext w:val="0"/>
                    <w:keepLines w:val="0"/>
                    <w:suppressLineNumbers w:val="0"/>
                    <w:bidi w:val="0"/>
                    <w:spacing w:before="0" w:beforeAutospacing="0" w:after="0" w:afterAutospacing="0"/>
                    <w:ind w:left="0" w:leftChars="0" w:right="0" w:rightChars="0" w:firstLine="0" w:firstLineChars="0"/>
                    <w:rPr>
                      <w:rFonts w:hint="eastAsia"/>
                      <w:color w:val="auto"/>
                    </w:rPr>
                  </w:pPr>
                  <w:r>
                    <w:rPr>
                      <w:rFonts w:hint="default" w:cs="Times New Roman"/>
                      <w:color w:val="auto"/>
                    </w:rPr>
                    <w:t>通风</w:t>
                  </w:r>
                  <w:r>
                    <w:rPr>
                      <w:rFonts w:hint="eastAsia" w:cs="Times New Roman"/>
                      <w:color w:val="auto"/>
                      <w:lang w:eastAsia="zh-CN"/>
                    </w:rPr>
                    <w:t>、</w:t>
                  </w:r>
                  <w:r>
                    <w:rPr>
                      <w:rFonts w:hint="eastAsia" w:cs="Times New Roman"/>
                      <w:color w:val="auto"/>
                      <w:lang w:val="en-US" w:eastAsia="zh-CN"/>
                    </w:rPr>
                    <w:t>洒水、自然沉降</w:t>
                  </w:r>
                </w:p>
              </w:tc>
              <w:tc>
                <w:tcPr>
                  <w:tcW w:w="2646" w:type="dxa"/>
                  <w:tcBorders>
                    <w:tl2br w:val="nil"/>
                    <w:tr2bl w:val="nil"/>
                  </w:tcBorders>
                  <w:noWrap w:val="0"/>
                  <w:vAlign w:val="center"/>
                </w:tcPr>
                <w:p w14:paraId="0892CFD8">
                  <w:pPr>
                    <w:pStyle w:val="56"/>
                    <w:keepNext w:val="0"/>
                    <w:keepLines w:val="0"/>
                    <w:suppressLineNumbers w:val="0"/>
                    <w:bidi w:val="0"/>
                    <w:spacing w:before="0" w:beforeAutospacing="0" w:after="0" w:afterAutospacing="0"/>
                    <w:ind w:left="0" w:right="0"/>
                    <w:rPr>
                      <w:rFonts w:hint="eastAsia"/>
                      <w:color w:val="auto"/>
                    </w:rPr>
                  </w:pPr>
                </w:p>
              </w:tc>
            </w:tr>
            <w:tr w14:paraId="6F77A0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455" w:type="dxa"/>
                  <w:tcBorders>
                    <w:tl2br w:val="nil"/>
                    <w:tr2bl w:val="nil"/>
                  </w:tcBorders>
                  <w:noWrap w:val="0"/>
                  <w:vAlign w:val="center"/>
                </w:tcPr>
                <w:p w14:paraId="25FAAD6F">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3</w:t>
                  </w:r>
                </w:p>
              </w:tc>
              <w:tc>
                <w:tcPr>
                  <w:tcW w:w="662" w:type="dxa"/>
                  <w:tcBorders>
                    <w:tl2br w:val="nil"/>
                    <w:tr2bl w:val="nil"/>
                  </w:tcBorders>
                  <w:noWrap w:val="0"/>
                  <w:vAlign w:val="center"/>
                </w:tcPr>
                <w:p w14:paraId="3B28F38D">
                  <w:pPr>
                    <w:pStyle w:val="56"/>
                    <w:keepNext w:val="0"/>
                    <w:keepLines w:val="0"/>
                    <w:suppressLineNumbers w:val="0"/>
                    <w:bidi w:val="0"/>
                    <w:spacing w:before="0" w:beforeAutospacing="0" w:after="0" w:afterAutospacing="0"/>
                    <w:ind w:left="0" w:right="0"/>
                    <w:rPr>
                      <w:rFonts w:hint="eastAsia"/>
                      <w:color w:val="auto"/>
                      <w:lang w:eastAsia="zh-CN"/>
                    </w:rPr>
                  </w:pPr>
                  <w:r>
                    <w:rPr>
                      <w:rFonts w:hint="eastAsia"/>
                      <w:color w:val="auto"/>
                      <w:lang w:eastAsia="zh-CN"/>
                    </w:rPr>
                    <w:t>噪声</w:t>
                  </w:r>
                </w:p>
              </w:tc>
              <w:tc>
                <w:tcPr>
                  <w:tcW w:w="1192" w:type="dxa"/>
                  <w:tcBorders>
                    <w:tl2br w:val="nil"/>
                    <w:tr2bl w:val="nil"/>
                  </w:tcBorders>
                  <w:noWrap w:val="0"/>
                  <w:vAlign w:val="center"/>
                </w:tcPr>
                <w:p w14:paraId="72E2841A">
                  <w:pPr>
                    <w:pStyle w:val="56"/>
                    <w:keepNext w:val="0"/>
                    <w:keepLines w:val="0"/>
                    <w:suppressLineNumbers w:val="0"/>
                    <w:bidi w:val="0"/>
                    <w:spacing w:before="0" w:beforeAutospacing="0" w:after="0" w:afterAutospacing="0"/>
                    <w:ind w:left="0" w:right="0"/>
                    <w:rPr>
                      <w:rFonts w:hint="eastAsia"/>
                      <w:color w:val="auto"/>
                      <w:lang w:eastAsia="zh-CN"/>
                    </w:rPr>
                  </w:pPr>
                  <w:r>
                    <w:rPr>
                      <w:rFonts w:hint="eastAsia" w:ascii="Times New Roman" w:hAnsi="Times New Roman" w:eastAsia="宋体" w:cs="Times New Roman"/>
                      <w:color w:val="auto"/>
                      <w:lang w:val="en-US" w:eastAsia="zh-CN"/>
                    </w:rPr>
                    <w:t>泥石分离机</w:t>
                  </w:r>
                  <w:r>
                    <w:rPr>
                      <w:rFonts w:hint="eastAsia" w:ascii="Times New Roman" w:hAnsi="Times New Roman" w:cs="Times New Roman"/>
                      <w:color w:val="auto"/>
                      <w:lang w:val="en-US" w:eastAsia="zh-CN"/>
                    </w:rPr>
                    <w:t>、</w:t>
                  </w:r>
                  <w:r>
                    <w:rPr>
                      <w:rFonts w:hint="eastAsia" w:ascii="Times New Roman" w:hAnsi="Times New Roman" w:eastAsia="宋体" w:cs="Times New Roman"/>
                      <w:color w:val="auto"/>
                      <w:lang w:val="en-US" w:eastAsia="zh-CN"/>
                    </w:rPr>
                    <w:t>反击破碎机对辊机</w:t>
                  </w:r>
                  <w:r>
                    <w:rPr>
                      <w:rFonts w:hint="eastAsia"/>
                      <w:color w:val="auto"/>
                      <w:lang w:eastAsia="zh-CN"/>
                    </w:rPr>
                    <w:t>等</w:t>
                  </w:r>
                </w:p>
              </w:tc>
              <w:tc>
                <w:tcPr>
                  <w:tcW w:w="1511" w:type="dxa"/>
                  <w:tcBorders>
                    <w:tl2br w:val="nil"/>
                    <w:tr2bl w:val="nil"/>
                  </w:tcBorders>
                  <w:noWrap w:val="0"/>
                  <w:vAlign w:val="center"/>
                </w:tcPr>
                <w:p w14:paraId="661A42E1">
                  <w:pPr>
                    <w:pStyle w:val="56"/>
                    <w:keepNext w:val="0"/>
                    <w:keepLines w:val="0"/>
                    <w:suppressLineNumbers w:val="0"/>
                    <w:bidi w:val="0"/>
                    <w:spacing w:before="0" w:beforeAutospacing="0" w:after="0" w:afterAutospacing="0"/>
                    <w:ind w:left="0" w:right="0"/>
                    <w:rPr>
                      <w:rFonts w:hint="default"/>
                      <w:color w:val="auto"/>
                    </w:rPr>
                  </w:pPr>
                  <w:r>
                    <w:rPr>
                      <w:rFonts w:hint="eastAsia"/>
                      <w:color w:val="auto"/>
                      <w:lang w:eastAsia="zh-CN"/>
                    </w:rPr>
                    <w:t>机械噪声</w:t>
                  </w:r>
                </w:p>
              </w:tc>
              <w:tc>
                <w:tcPr>
                  <w:tcW w:w="1382" w:type="dxa"/>
                  <w:tcBorders>
                    <w:tl2br w:val="nil"/>
                    <w:tr2bl w:val="nil"/>
                  </w:tcBorders>
                  <w:noWrap w:val="0"/>
                  <w:vAlign w:val="center"/>
                </w:tcPr>
                <w:p w14:paraId="555C4D39">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隔声、减振设施</w:t>
                  </w:r>
                </w:p>
              </w:tc>
              <w:tc>
                <w:tcPr>
                  <w:tcW w:w="2646" w:type="dxa"/>
                  <w:tcBorders>
                    <w:tl2br w:val="nil"/>
                    <w:tr2bl w:val="nil"/>
                  </w:tcBorders>
                  <w:noWrap w:val="0"/>
                  <w:vAlign w:val="center"/>
                </w:tcPr>
                <w:p w14:paraId="7EAC5748">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达到《工业企业厂界环境噪声排放标准》（GB 12348-2008）</w:t>
                  </w:r>
                  <w:r>
                    <w:rPr>
                      <w:rFonts w:hint="eastAsia"/>
                      <w:color w:val="auto"/>
                      <w:lang w:val="en-US" w:eastAsia="zh-CN"/>
                    </w:rPr>
                    <w:t>3</w:t>
                  </w:r>
                  <w:r>
                    <w:rPr>
                      <w:rFonts w:hint="default"/>
                      <w:color w:val="auto"/>
                    </w:rPr>
                    <w:t>类标准</w:t>
                  </w:r>
                </w:p>
              </w:tc>
            </w:tr>
            <w:tr w14:paraId="6AC803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455" w:type="dxa"/>
                  <w:vMerge w:val="restart"/>
                  <w:tcBorders>
                    <w:tl2br w:val="nil"/>
                    <w:tr2bl w:val="nil"/>
                  </w:tcBorders>
                  <w:noWrap w:val="0"/>
                  <w:vAlign w:val="center"/>
                </w:tcPr>
                <w:p w14:paraId="33017F49">
                  <w:pPr>
                    <w:pStyle w:val="56"/>
                    <w:keepNext w:val="0"/>
                    <w:keepLines w:val="0"/>
                    <w:suppressLineNumbers w:val="0"/>
                    <w:bidi w:val="0"/>
                    <w:spacing w:before="0" w:beforeAutospacing="0" w:after="0" w:afterAutospacing="0"/>
                    <w:ind w:left="0" w:right="0"/>
                    <w:rPr>
                      <w:rFonts w:hint="default"/>
                      <w:color w:val="auto"/>
                    </w:rPr>
                  </w:pPr>
                  <w:r>
                    <w:rPr>
                      <w:rFonts w:hint="default"/>
                      <w:color w:val="auto"/>
                    </w:rPr>
                    <w:t>4</w:t>
                  </w:r>
                </w:p>
              </w:tc>
              <w:tc>
                <w:tcPr>
                  <w:tcW w:w="662" w:type="dxa"/>
                  <w:vMerge w:val="restart"/>
                  <w:tcBorders>
                    <w:tl2br w:val="nil"/>
                    <w:tr2bl w:val="nil"/>
                  </w:tcBorders>
                  <w:noWrap w:val="0"/>
                  <w:vAlign w:val="center"/>
                </w:tcPr>
                <w:p w14:paraId="75F29BB7">
                  <w:pPr>
                    <w:pStyle w:val="56"/>
                    <w:keepNext w:val="0"/>
                    <w:keepLines w:val="0"/>
                    <w:suppressLineNumbers w:val="0"/>
                    <w:bidi w:val="0"/>
                    <w:spacing w:before="0" w:beforeAutospacing="0" w:after="0" w:afterAutospacing="0"/>
                    <w:ind w:left="0" w:right="0"/>
                    <w:rPr>
                      <w:rFonts w:hint="eastAsia"/>
                      <w:color w:val="auto"/>
                    </w:rPr>
                  </w:pPr>
                  <w:r>
                    <w:rPr>
                      <w:rFonts w:hint="default"/>
                      <w:color w:val="auto"/>
                    </w:rPr>
                    <w:t>固废</w:t>
                  </w:r>
                </w:p>
              </w:tc>
              <w:tc>
                <w:tcPr>
                  <w:tcW w:w="1192" w:type="dxa"/>
                  <w:vMerge w:val="restart"/>
                  <w:tcBorders>
                    <w:tl2br w:val="nil"/>
                    <w:tr2bl w:val="nil"/>
                  </w:tcBorders>
                  <w:noWrap w:val="0"/>
                  <w:vAlign w:val="center"/>
                </w:tcPr>
                <w:p w14:paraId="3C28EDDF">
                  <w:pPr>
                    <w:pStyle w:val="56"/>
                    <w:keepNext w:val="0"/>
                    <w:keepLines w:val="0"/>
                    <w:suppressLineNumbers w:val="0"/>
                    <w:bidi w:val="0"/>
                    <w:spacing w:before="0" w:beforeAutospacing="0" w:after="0" w:afterAutospacing="0"/>
                    <w:ind w:left="0" w:right="0"/>
                    <w:rPr>
                      <w:rFonts w:hint="eastAsia"/>
                      <w:color w:val="auto"/>
                    </w:rPr>
                  </w:pPr>
                  <w:r>
                    <w:rPr>
                      <w:rFonts w:hint="default"/>
                      <w:color w:val="auto"/>
                    </w:rPr>
                    <w:t>生产过程</w:t>
                  </w:r>
                </w:p>
              </w:tc>
              <w:tc>
                <w:tcPr>
                  <w:tcW w:w="1511" w:type="dxa"/>
                  <w:tcBorders>
                    <w:tl2br w:val="nil"/>
                    <w:tr2bl w:val="nil"/>
                  </w:tcBorders>
                  <w:noWrap w:val="0"/>
                  <w:vAlign w:val="center"/>
                </w:tcPr>
                <w:p w14:paraId="52C35947">
                  <w:pPr>
                    <w:pStyle w:val="56"/>
                    <w:keepNext w:val="0"/>
                    <w:keepLines w:val="0"/>
                    <w:suppressLineNumbers w:val="0"/>
                    <w:bidi w:val="0"/>
                    <w:spacing w:before="0" w:beforeAutospacing="0" w:after="0" w:afterAutospacing="0"/>
                    <w:ind w:left="0" w:leftChars="0" w:right="0" w:rightChars="0" w:firstLine="0" w:firstLineChars="0"/>
                    <w:rPr>
                      <w:rFonts w:hint="default"/>
                      <w:color w:val="auto"/>
                    </w:rPr>
                  </w:pPr>
                  <w:r>
                    <w:rPr>
                      <w:rFonts w:hint="default" w:cs="Times New Roman"/>
                      <w:color w:val="auto"/>
                      <w:lang w:val="en-US" w:eastAsia="zh-CN"/>
                    </w:rPr>
                    <w:t>布袋收集尘</w:t>
                  </w:r>
                </w:p>
              </w:tc>
              <w:tc>
                <w:tcPr>
                  <w:tcW w:w="1382" w:type="dxa"/>
                  <w:tcBorders>
                    <w:tl2br w:val="nil"/>
                    <w:tr2bl w:val="nil"/>
                  </w:tcBorders>
                  <w:noWrap w:val="0"/>
                  <w:vAlign w:val="center"/>
                </w:tcPr>
                <w:p w14:paraId="517256E8">
                  <w:pPr>
                    <w:pStyle w:val="56"/>
                    <w:keepNext w:val="0"/>
                    <w:keepLines w:val="0"/>
                    <w:suppressLineNumbers w:val="0"/>
                    <w:bidi w:val="0"/>
                    <w:spacing w:before="0" w:beforeAutospacing="0" w:after="0" w:afterAutospacing="0"/>
                    <w:ind w:left="0" w:leftChars="0" w:right="0" w:rightChars="0" w:firstLine="0" w:firstLineChars="0"/>
                    <w:rPr>
                      <w:rFonts w:hint="default"/>
                      <w:color w:val="auto"/>
                    </w:rPr>
                  </w:pPr>
                  <w:r>
                    <w:rPr>
                      <w:rFonts w:hint="eastAsia" w:cs="Times New Roman"/>
                      <w:color w:val="auto"/>
                      <w:lang w:val="en-US" w:eastAsia="zh-CN"/>
                    </w:rPr>
                    <w:t>回用于生产</w:t>
                  </w:r>
                </w:p>
              </w:tc>
              <w:tc>
                <w:tcPr>
                  <w:tcW w:w="2646" w:type="dxa"/>
                  <w:vMerge w:val="restart"/>
                  <w:tcBorders>
                    <w:tl2br w:val="nil"/>
                    <w:tr2bl w:val="nil"/>
                  </w:tcBorders>
                  <w:noWrap w:val="0"/>
                  <w:vAlign w:val="center"/>
                </w:tcPr>
                <w:p w14:paraId="365DF727">
                  <w:pPr>
                    <w:pStyle w:val="56"/>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《一般工业固体废物贮存和填埋污染控制标准》（GB18599-2020）</w:t>
                  </w:r>
                </w:p>
              </w:tc>
            </w:tr>
            <w:tr w14:paraId="4E0C8B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455" w:type="dxa"/>
                  <w:vMerge w:val="continue"/>
                  <w:tcBorders>
                    <w:tl2br w:val="nil"/>
                    <w:tr2bl w:val="nil"/>
                  </w:tcBorders>
                  <w:noWrap w:val="0"/>
                  <w:vAlign w:val="center"/>
                </w:tcPr>
                <w:p w14:paraId="4FE83640">
                  <w:pPr>
                    <w:pStyle w:val="56"/>
                    <w:keepNext w:val="0"/>
                    <w:keepLines w:val="0"/>
                    <w:suppressLineNumbers w:val="0"/>
                    <w:bidi w:val="0"/>
                    <w:spacing w:before="0" w:beforeAutospacing="0" w:after="0" w:afterAutospacing="0"/>
                    <w:ind w:left="0" w:right="0"/>
                    <w:rPr>
                      <w:rFonts w:hint="default"/>
                      <w:color w:val="auto"/>
                    </w:rPr>
                  </w:pPr>
                </w:p>
              </w:tc>
              <w:tc>
                <w:tcPr>
                  <w:tcW w:w="662" w:type="dxa"/>
                  <w:vMerge w:val="continue"/>
                  <w:tcBorders>
                    <w:tl2br w:val="nil"/>
                    <w:tr2bl w:val="nil"/>
                  </w:tcBorders>
                  <w:noWrap w:val="0"/>
                  <w:vAlign w:val="center"/>
                </w:tcPr>
                <w:p w14:paraId="5411BCC3">
                  <w:pPr>
                    <w:pStyle w:val="56"/>
                    <w:keepNext w:val="0"/>
                    <w:keepLines w:val="0"/>
                    <w:suppressLineNumbers w:val="0"/>
                    <w:bidi w:val="0"/>
                    <w:spacing w:before="0" w:beforeAutospacing="0" w:after="0" w:afterAutospacing="0"/>
                    <w:ind w:left="0" w:right="0"/>
                    <w:rPr>
                      <w:rFonts w:hint="default"/>
                      <w:color w:val="auto"/>
                    </w:rPr>
                  </w:pPr>
                </w:p>
              </w:tc>
              <w:tc>
                <w:tcPr>
                  <w:tcW w:w="1192" w:type="dxa"/>
                  <w:vMerge w:val="continue"/>
                  <w:tcBorders>
                    <w:tl2br w:val="nil"/>
                    <w:tr2bl w:val="nil"/>
                  </w:tcBorders>
                  <w:noWrap w:val="0"/>
                  <w:vAlign w:val="center"/>
                </w:tcPr>
                <w:p w14:paraId="126B7CE0">
                  <w:pPr>
                    <w:pStyle w:val="56"/>
                    <w:keepNext w:val="0"/>
                    <w:keepLines w:val="0"/>
                    <w:suppressLineNumbers w:val="0"/>
                    <w:bidi w:val="0"/>
                    <w:spacing w:before="0" w:beforeAutospacing="0" w:after="0" w:afterAutospacing="0"/>
                    <w:ind w:left="0" w:right="0"/>
                    <w:rPr>
                      <w:rFonts w:hint="default"/>
                      <w:color w:val="auto"/>
                    </w:rPr>
                  </w:pPr>
                </w:p>
              </w:tc>
              <w:tc>
                <w:tcPr>
                  <w:tcW w:w="1511" w:type="dxa"/>
                  <w:tcBorders>
                    <w:tl2br w:val="nil"/>
                    <w:tr2bl w:val="nil"/>
                  </w:tcBorders>
                  <w:noWrap w:val="0"/>
                  <w:vAlign w:val="center"/>
                </w:tcPr>
                <w:p w14:paraId="42A537A0">
                  <w:pPr>
                    <w:pStyle w:val="56"/>
                    <w:keepNext w:val="0"/>
                    <w:keepLines w:val="0"/>
                    <w:suppressLineNumbers w:val="0"/>
                    <w:bidi w:val="0"/>
                    <w:spacing w:before="0" w:beforeAutospacing="0" w:after="0" w:afterAutospacing="0"/>
                    <w:ind w:left="0" w:leftChars="0" w:right="0" w:rightChars="0" w:firstLine="0" w:firstLineChars="0"/>
                    <w:rPr>
                      <w:rFonts w:hint="default"/>
                      <w:color w:val="auto"/>
                    </w:rPr>
                  </w:pPr>
                  <w:r>
                    <w:rPr>
                      <w:rFonts w:hint="default" w:cs="Times New Roman"/>
                      <w:color w:val="auto"/>
                    </w:rPr>
                    <w:t>废布袋</w:t>
                  </w:r>
                </w:p>
              </w:tc>
              <w:tc>
                <w:tcPr>
                  <w:tcW w:w="1382" w:type="dxa"/>
                  <w:tcBorders>
                    <w:tl2br w:val="nil"/>
                    <w:tr2bl w:val="nil"/>
                  </w:tcBorders>
                  <w:noWrap w:val="0"/>
                  <w:vAlign w:val="center"/>
                </w:tcPr>
                <w:p w14:paraId="3B51F00B">
                  <w:pPr>
                    <w:pStyle w:val="56"/>
                    <w:keepNext w:val="0"/>
                    <w:keepLines w:val="0"/>
                    <w:suppressLineNumbers w:val="0"/>
                    <w:bidi w:val="0"/>
                    <w:spacing w:before="0" w:beforeAutospacing="0" w:after="0" w:afterAutospacing="0"/>
                    <w:ind w:left="0" w:leftChars="0" w:right="0" w:rightChars="0" w:firstLine="0" w:firstLineChars="0"/>
                    <w:rPr>
                      <w:rFonts w:hint="default"/>
                      <w:color w:val="auto"/>
                    </w:rPr>
                  </w:pPr>
                  <w:r>
                    <w:rPr>
                      <w:rFonts w:hint="eastAsia" w:cs="Times New Roman"/>
                      <w:color w:val="auto"/>
                      <w:lang w:val="en-US" w:eastAsia="zh-CN"/>
                    </w:rPr>
                    <w:t>厂家回收</w:t>
                  </w:r>
                </w:p>
              </w:tc>
              <w:tc>
                <w:tcPr>
                  <w:tcW w:w="2646" w:type="dxa"/>
                  <w:vMerge w:val="continue"/>
                  <w:tcBorders>
                    <w:tl2br w:val="nil"/>
                    <w:tr2bl w:val="nil"/>
                  </w:tcBorders>
                  <w:noWrap w:val="0"/>
                  <w:vAlign w:val="center"/>
                </w:tcPr>
                <w:p w14:paraId="0879BA78">
                  <w:pPr>
                    <w:pStyle w:val="56"/>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p>
              </w:tc>
            </w:tr>
            <w:tr w14:paraId="5EF7F8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455" w:type="dxa"/>
                  <w:vMerge w:val="continue"/>
                  <w:tcBorders>
                    <w:tl2br w:val="nil"/>
                    <w:tr2bl w:val="nil"/>
                  </w:tcBorders>
                  <w:noWrap w:val="0"/>
                  <w:vAlign w:val="center"/>
                </w:tcPr>
                <w:p w14:paraId="28E51845">
                  <w:pPr>
                    <w:pStyle w:val="56"/>
                    <w:keepNext w:val="0"/>
                    <w:keepLines w:val="0"/>
                    <w:suppressLineNumbers w:val="0"/>
                    <w:bidi w:val="0"/>
                    <w:spacing w:before="0" w:beforeAutospacing="0" w:after="0" w:afterAutospacing="0"/>
                    <w:ind w:left="0" w:right="0"/>
                    <w:rPr>
                      <w:rFonts w:hint="default"/>
                      <w:color w:val="auto"/>
                    </w:rPr>
                  </w:pPr>
                </w:p>
              </w:tc>
              <w:tc>
                <w:tcPr>
                  <w:tcW w:w="662" w:type="dxa"/>
                  <w:vMerge w:val="continue"/>
                  <w:tcBorders>
                    <w:tl2br w:val="nil"/>
                    <w:tr2bl w:val="nil"/>
                  </w:tcBorders>
                  <w:noWrap w:val="0"/>
                  <w:vAlign w:val="center"/>
                </w:tcPr>
                <w:p w14:paraId="498337C4">
                  <w:pPr>
                    <w:pStyle w:val="56"/>
                    <w:keepNext w:val="0"/>
                    <w:keepLines w:val="0"/>
                    <w:suppressLineNumbers w:val="0"/>
                    <w:bidi w:val="0"/>
                    <w:spacing w:before="0" w:beforeAutospacing="0" w:after="0" w:afterAutospacing="0"/>
                    <w:ind w:left="0" w:right="0"/>
                    <w:rPr>
                      <w:rFonts w:hint="default"/>
                      <w:color w:val="auto"/>
                    </w:rPr>
                  </w:pPr>
                </w:p>
              </w:tc>
              <w:tc>
                <w:tcPr>
                  <w:tcW w:w="1192" w:type="dxa"/>
                  <w:vMerge w:val="continue"/>
                  <w:tcBorders>
                    <w:tl2br w:val="nil"/>
                    <w:tr2bl w:val="nil"/>
                  </w:tcBorders>
                  <w:noWrap w:val="0"/>
                  <w:vAlign w:val="center"/>
                </w:tcPr>
                <w:p w14:paraId="5B172111">
                  <w:pPr>
                    <w:pStyle w:val="56"/>
                    <w:keepNext w:val="0"/>
                    <w:keepLines w:val="0"/>
                    <w:suppressLineNumbers w:val="0"/>
                    <w:bidi w:val="0"/>
                    <w:spacing w:before="0" w:beforeAutospacing="0" w:after="0" w:afterAutospacing="0"/>
                    <w:ind w:left="0" w:right="0"/>
                    <w:rPr>
                      <w:rFonts w:hint="default"/>
                      <w:color w:val="auto"/>
                    </w:rPr>
                  </w:pPr>
                </w:p>
              </w:tc>
              <w:tc>
                <w:tcPr>
                  <w:tcW w:w="1511" w:type="dxa"/>
                  <w:tcBorders>
                    <w:tl2br w:val="nil"/>
                    <w:tr2bl w:val="nil"/>
                  </w:tcBorders>
                  <w:noWrap w:val="0"/>
                  <w:vAlign w:val="center"/>
                </w:tcPr>
                <w:p w14:paraId="76EA8291">
                  <w:pPr>
                    <w:pStyle w:val="56"/>
                    <w:keepNext w:val="0"/>
                    <w:keepLines w:val="0"/>
                    <w:suppressLineNumbers w:val="0"/>
                    <w:bidi w:val="0"/>
                    <w:spacing w:before="0" w:beforeAutospacing="0" w:after="0" w:afterAutospacing="0"/>
                    <w:ind w:left="0" w:leftChars="0" w:right="0" w:rightChars="0" w:firstLine="0" w:firstLineChars="0"/>
                    <w:rPr>
                      <w:rFonts w:hint="default"/>
                      <w:color w:val="auto"/>
                    </w:rPr>
                  </w:pPr>
                  <w:r>
                    <w:rPr>
                      <w:rFonts w:hint="eastAsia" w:cs="Times New Roman"/>
                      <w:color w:val="auto"/>
                      <w:lang w:val="en-US" w:eastAsia="zh-CN"/>
                    </w:rPr>
                    <w:t>废金属</w:t>
                  </w:r>
                </w:p>
              </w:tc>
              <w:tc>
                <w:tcPr>
                  <w:tcW w:w="1382" w:type="dxa"/>
                  <w:tcBorders>
                    <w:tl2br w:val="nil"/>
                    <w:tr2bl w:val="nil"/>
                  </w:tcBorders>
                  <w:noWrap w:val="0"/>
                  <w:vAlign w:val="center"/>
                </w:tcPr>
                <w:p w14:paraId="0D1E6654">
                  <w:pPr>
                    <w:pStyle w:val="56"/>
                    <w:keepNext w:val="0"/>
                    <w:keepLines w:val="0"/>
                    <w:suppressLineNumbers w:val="0"/>
                    <w:bidi w:val="0"/>
                    <w:spacing w:before="0" w:beforeAutospacing="0" w:after="0" w:afterAutospacing="0"/>
                    <w:ind w:left="0" w:leftChars="0" w:right="0" w:rightChars="0" w:firstLine="0" w:firstLineChars="0"/>
                    <w:rPr>
                      <w:rFonts w:hint="default"/>
                      <w:color w:val="auto"/>
                    </w:rPr>
                  </w:pPr>
                  <w:r>
                    <w:rPr>
                      <w:rFonts w:hint="eastAsia" w:cs="Times New Roman"/>
                      <w:color w:val="auto"/>
                      <w:lang w:val="en-US" w:eastAsia="zh-CN"/>
                    </w:rPr>
                    <w:t>外售</w:t>
                  </w:r>
                </w:p>
              </w:tc>
              <w:tc>
                <w:tcPr>
                  <w:tcW w:w="2646" w:type="dxa"/>
                  <w:vMerge w:val="continue"/>
                  <w:tcBorders>
                    <w:tl2br w:val="nil"/>
                    <w:tr2bl w:val="nil"/>
                  </w:tcBorders>
                  <w:noWrap w:val="0"/>
                  <w:vAlign w:val="center"/>
                </w:tcPr>
                <w:p w14:paraId="2080E737">
                  <w:pPr>
                    <w:pStyle w:val="56"/>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p>
              </w:tc>
            </w:tr>
            <w:tr w14:paraId="3586BC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455" w:type="dxa"/>
                  <w:vMerge w:val="continue"/>
                  <w:tcBorders>
                    <w:tl2br w:val="nil"/>
                    <w:tr2bl w:val="nil"/>
                  </w:tcBorders>
                  <w:noWrap w:val="0"/>
                  <w:vAlign w:val="center"/>
                </w:tcPr>
                <w:p w14:paraId="79E620F5">
                  <w:pPr>
                    <w:pStyle w:val="56"/>
                    <w:keepNext w:val="0"/>
                    <w:keepLines w:val="0"/>
                    <w:suppressLineNumbers w:val="0"/>
                    <w:bidi w:val="0"/>
                    <w:spacing w:before="0" w:beforeAutospacing="0" w:after="0" w:afterAutospacing="0"/>
                    <w:ind w:left="0" w:right="0"/>
                    <w:rPr>
                      <w:rFonts w:hint="default"/>
                      <w:color w:val="auto"/>
                    </w:rPr>
                  </w:pPr>
                </w:p>
              </w:tc>
              <w:tc>
                <w:tcPr>
                  <w:tcW w:w="662" w:type="dxa"/>
                  <w:vMerge w:val="continue"/>
                  <w:tcBorders>
                    <w:tl2br w:val="nil"/>
                    <w:tr2bl w:val="nil"/>
                  </w:tcBorders>
                  <w:noWrap w:val="0"/>
                  <w:vAlign w:val="center"/>
                </w:tcPr>
                <w:p w14:paraId="503DD1B1">
                  <w:pPr>
                    <w:pStyle w:val="56"/>
                    <w:keepNext w:val="0"/>
                    <w:keepLines w:val="0"/>
                    <w:suppressLineNumbers w:val="0"/>
                    <w:bidi w:val="0"/>
                    <w:spacing w:before="0" w:beforeAutospacing="0" w:after="0" w:afterAutospacing="0"/>
                    <w:ind w:left="0" w:right="0"/>
                    <w:rPr>
                      <w:rFonts w:hint="default"/>
                      <w:color w:val="auto"/>
                    </w:rPr>
                  </w:pPr>
                </w:p>
              </w:tc>
              <w:tc>
                <w:tcPr>
                  <w:tcW w:w="1192" w:type="dxa"/>
                  <w:vMerge w:val="continue"/>
                  <w:tcBorders>
                    <w:tl2br w:val="nil"/>
                    <w:tr2bl w:val="nil"/>
                  </w:tcBorders>
                  <w:noWrap w:val="0"/>
                  <w:vAlign w:val="center"/>
                </w:tcPr>
                <w:p w14:paraId="7C214A39">
                  <w:pPr>
                    <w:pStyle w:val="56"/>
                    <w:keepNext w:val="0"/>
                    <w:keepLines w:val="0"/>
                    <w:suppressLineNumbers w:val="0"/>
                    <w:bidi w:val="0"/>
                    <w:spacing w:before="0" w:beforeAutospacing="0" w:after="0" w:afterAutospacing="0"/>
                    <w:ind w:left="0" w:right="0"/>
                    <w:rPr>
                      <w:rFonts w:hint="default"/>
                      <w:color w:val="auto"/>
                    </w:rPr>
                  </w:pPr>
                </w:p>
              </w:tc>
              <w:tc>
                <w:tcPr>
                  <w:tcW w:w="1511" w:type="dxa"/>
                  <w:tcBorders>
                    <w:tl2br w:val="nil"/>
                    <w:tr2bl w:val="nil"/>
                  </w:tcBorders>
                  <w:noWrap w:val="0"/>
                  <w:vAlign w:val="center"/>
                </w:tcPr>
                <w:p w14:paraId="43CDF60D">
                  <w:pPr>
                    <w:pStyle w:val="56"/>
                    <w:keepNext w:val="0"/>
                    <w:keepLines w:val="0"/>
                    <w:suppressLineNumbers w:val="0"/>
                    <w:bidi w:val="0"/>
                    <w:spacing w:before="0" w:beforeAutospacing="0" w:after="0" w:afterAutospacing="0"/>
                    <w:ind w:left="0" w:leftChars="0" w:right="0" w:rightChars="0" w:firstLine="0" w:firstLineChars="0"/>
                    <w:rPr>
                      <w:rFonts w:hint="default"/>
                      <w:color w:val="auto"/>
                    </w:rPr>
                  </w:pPr>
                  <w:r>
                    <w:rPr>
                      <w:rFonts w:hint="default" w:cs="Times New Roman"/>
                      <w:color w:val="auto"/>
                      <w:lang w:val="en-US" w:eastAsia="zh-CN"/>
                    </w:rPr>
                    <w:t>不可利用物</w:t>
                  </w:r>
                </w:p>
              </w:tc>
              <w:tc>
                <w:tcPr>
                  <w:tcW w:w="1382" w:type="dxa"/>
                  <w:tcBorders>
                    <w:tl2br w:val="nil"/>
                    <w:tr2bl w:val="nil"/>
                  </w:tcBorders>
                  <w:noWrap w:val="0"/>
                  <w:vAlign w:val="center"/>
                </w:tcPr>
                <w:p w14:paraId="22D35E06">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环卫</w:t>
                  </w:r>
                </w:p>
                <w:p w14:paraId="6595B523">
                  <w:pPr>
                    <w:pStyle w:val="56"/>
                    <w:keepNext w:val="0"/>
                    <w:keepLines w:val="0"/>
                    <w:suppressLineNumbers w:val="0"/>
                    <w:bidi w:val="0"/>
                    <w:spacing w:before="0" w:beforeAutospacing="0" w:after="0" w:afterAutospacing="0"/>
                    <w:ind w:left="0" w:leftChars="0" w:right="0" w:rightChars="0" w:firstLine="0" w:firstLineChars="0"/>
                    <w:rPr>
                      <w:rFonts w:hint="default"/>
                      <w:color w:val="auto"/>
                    </w:rPr>
                  </w:pPr>
                  <w:r>
                    <w:rPr>
                      <w:rFonts w:hint="eastAsia" w:cs="Times New Roman"/>
                      <w:color w:val="auto"/>
                      <w:lang w:val="en-US" w:eastAsia="zh-CN"/>
                    </w:rPr>
                    <w:t>清运</w:t>
                  </w:r>
                </w:p>
              </w:tc>
              <w:tc>
                <w:tcPr>
                  <w:tcW w:w="2646" w:type="dxa"/>
                  <w:vMerge w:val="continue"/>
                  <w:tcBorders>
                    <w:tl2br w:val="nil"/>
                    <w:tr2bl w:val="nil"/>
                  </w:tcBorders>
                  <w:noWrap w:val="0"/>
                  <w:vAlign w:val="center"/>
                </w:tcPr>
                <w:p w14:paraId="1E75D86A">
                  <w:pPr>
                    <w:pStyle w:val="56"/>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p>
              </w:tc>
            </w:tr>
            <w:tr w14:paraId="2C3022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455" w:type="dxa"/>
                  <w:vMerge w:val="continue"/>
                  <w:tcBorders>
                    <w:tl2br w:val="nil"/>
                    <w:tr2bl w:val="nil"/>
                  </w:tcBorders>
                  <w:noWrap w:val="0"/>
                  <w:vAlign w:val="center"/>
                </w:tcPr>
                <w:p w14:paraId="79E13FFA">
                  <w:pPr>
                    <w:pStyle w:val="56"/>
                    <w:keepNext w:val="0"/>
                    <w:keepLines w:val="0"/>
                    <w:suppressLineNumbers w:val="0"/>
                    <w:bidi w:val="0"/>
                    <w:spacing w:before="0" w:beforeAutospacing="0" w:after="0" w:afterAutospacing="0"/>
                    <w:ind w:left="0" w:right="0"/>
                    <w:rPr>
                      <w:rFonts w:hint="default"/>
                      <w:color w:val="auto"/>
                    </w:rPr>
                  </w:pPr>
                </w:p>
              </w:tc>
              <w:tc>
                <w:tcPr>
                  <w:tcW w:w="662" w:type="dxa"/>
                  <w:vMerge w:val="continue"/>
                  <w:tcBorders>
                    <w:tl2br w:val="nil"/>
                    <w:tr2bl w:val="nil"/>
                  </w:tcBorders>
                  <w:noWrap w:val="0"/>
                  <w:vAlign w:val="center"/>
                </w:tcPr>
                <w:p w14:paraId="0319E52D">
                  <w:pPr>
                    <w:pStyle w:val="56"/>
                    <w:keepNext w:val="0"/>
                    <w:keepLines w:val="0"/>
                    <w:suppressLineNumbers w:val="0"/>
                    <w:bidi w:val="0"/>
                    <w:spacing w:before="0" w:beforeAutospacing="0" w:after="0" w:afterAutospacing="0"/>
                    <w:ind w:left="0" w:right="0"/>
                    <w:rPr>
                      <w:rFonts w:hint="default"/>
                      <w:color w:val="auto"/>
                    </w:rPr>
                  </w:pPr>
                </w:p>
              </w:tc>
              <w:tc>
                <w:tcPr>
                  <w:tcW w:w="1192" w:type="dxa"/>
                  <w:vMerge w:val="continue"/>
                  <w:tcBorders>
                    <w:tl2br w:val="nil"/>
                    <w:tr2bl w:val="nil"/>
                  </w:tcBorders>
                  <w:noWrap w:val="0"/>
                  <w:vAlign w:val="center"/>
                </w:tcPr>
                <w:p w14:paraId="621B1908">
                  <w:pPr>
                    <w:pStyle w:val="56"/>
                    <w:keepNext w:val="0"/>
                    <w:keepLines w:val="0"/>
                    <w:suppressLineNumbers w:val="0"/>
                    <w:bidi w:val="0"/>
                    <w:spacing w:before="0" w:beforeAutospacing="0" w:after="0" w:afterAutospacing="0"/>
                    <w:ind w:left="0" w:right="0"/>
                    <w:rPr>
                      <w:rFonts w:hint="default"/>
                      <w:color w:val="auto"/>
                    </w:rPr>
                  </w:pPr>
                </w:p>
              </w:tc>
              <w:tc>
                <w:tcPr>
                  <w:tcW w:w="1511" w:type="dxa"/>
                  <w:tcBorders>
                    <w:tl2br w:val="nil"/>
                    <w:tr2bl w:val="nil"/>
                  </w:tcBorders>
                  <w:noWrap w:val="0"/>
                  <w:vAlign w:val="center"/>
                </w:tcPr>
                <w:p w14:paraId="7D07A873">
                  <w:pPr>
                    <w:pStyle w:val="56"/>
                    <w:keepNext w:val="0"/>
                    <w:keepLines w:val="0"/>
                    <w:suppressLineNumbers w:val="0"/>
                    <w:bidi w:val="0"/>
                    <w:spacing w:before="0" w:beforeAutospacing="0" w:after="0" w:afterAutospacing="0"/>
                    <w:ind w:left="0" w:leftChars="0" w:right="0" w:rightChars="0" w:firstLine="0" w:firstLineChars="0"/>
                    <w:rPr>
                      <w:rFonts w:hint="default"/>
                      <w:color w:val="auto"/>
                    </w:rPr>
                  </w:pPr>
                  <w:r>
                    <w:rPr>
                      <w:rFonts w:hint="eastAsia" w:cs="Times New Roman"/>
                      <w:color w:val="auto"/>
                      <w:lang w:val="en-US" w:eastAsia="zh-CN"/>
                    </w:rPr>
                    <w:t>残次品</w:t>
                  </w:r>
                </w:p>
              </w:tc>
              <w:tc>
                <w:tcPr>
                  <w:tcW w:w="1382" w:type="dxa"/>
                  <w:tcBorders>
                    <w:tl2br w:val="nil"/>
                    <w:tr2bl w:val="nil"/>
                  </w:tcBorders>
                  <w:noWrap w:val="0"/>
                  <w:vAlign w:val="center"/>
                </w:tcPr>
                <w:p w14:paraId="67E04B43">
                  <w:pPr>
                    <w:pStyle w:val="56"/>
                    <w:keepNext w:val="0"/>
                    <w:keepLines w:val="0"/>
                    <w:suppressLineNumbers w:val="0"/>
                    <w:bidi w:val="0"/>
                    <w:spacing w:before="0" w:beforeAutospacing="0" w:after="0" w:afterAutospacing="0"/>
                    <w:ind w:left="0" w:leftChars="0" w:right="0" w:rightChars="0" w:firstLine="0" w:firstLineChars="0"/>
                    <w:rPr>
                      <w:rFonts w:hint="default"/>
                      <w:color w:val="auto"/>
                    </w:rPr>
                  </w:pPr>
                  <w:r>
                    <w:rPr>
                      <w:rFonts w:hint="eastAsia" w:cs="Times New Roman"/>
                      <w:color w:val="auto"/>
                      <w:lang w:val="en-US" w:eastAsia="zh-CN"/>
                    </w:rPr>
                    <w:t>回用于生产</w:t>
                  </w:r>
                </w:p>
              </w:tc>
              <w:tc>
                <w:tcPr>
                  <w:tcW w:w="2646" w:type="dxa"/>
                  <w:vMerge w:val="continue"/>
                  <w:tcBorders>
                    <w:tl2br w:val="nil"/>
                    <w:tr2bl w:val="nil"/>
                  </w:tcBorders>
                  <w:noWrap w:val="0"/>
                  <w:vAlign w:val="center"/>
                </w:tcPr>
                <w:p w14:paraId="0822B8CD">
                  <w:pPr>
                    <w:pStyle w:val="56"/>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p>
              </w:tc>
            </w:tr>
            <w:tr w14:paraId="1E714F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455" w:type="dxa"/>
                  <w:vMerge w:val="continue"/>
                  <w:tcBorders>
                    <w:tl2br w:val="nil"/>
                    <w:tr2bl w:val="nil"/>
                  </w:tcBorders>
                  <w:noWrap w:val="0"/>
                  <w:vAlign w:val="center"/>
                </w:tcPr>
                <w:p w14:paraId="411720AF">
                  <w:pPr>
                    <w:pStyle w:val="56"/>
                    <w:keepNext w:val="0"/>
                    <w:keepLines w:val="0"/>
                    <w:suppressLineNumbers w:val="0"/>
                    <w:bidi w:val="0"/>
                    <w:spacing w:before="0" w:beforeAutospacing="0" w:after="0" w:afterAutospacing="0"/>
                    <w:ind w:left="0" w:right="0"/>
                    <w:rPr>
                      <w:rFonts w:hint="default"/>
                      <w:color w:val="auto"/>
                    </w:rPr>
                  </w:pPr>
                </w:p>
              </w:tc>
              <w:tc>
                <w:tcPr>
                  <w:tcW w:w="662" w:type="dxa"/>
                  <w:vMerge w:val="continue"/>
                  <w:tcBorders>
                    <w:tl2br w:val="nil"/>
                    <w:tr2bl w:val="nil"/>
                  </w:tcBorders>
                  <w:noWrap w:val="0"/>
                  <w:vAlign w:val="center"/>
                </w:tcPr>
                <w:p w14:paraId="02DC8534">
                  <w:pPr>
                    <w:pStyle w:val="56"/>
                    <w:keepNext w:val="0"/>
                    <w:keepLines w:val="0"/>
                    <w:suppressLineNumbers w:val="0"/>
                    <w:bidi w:val="0"/>
                    <w:spacing w:before="0" w:beforeAutospacing="0" w:after="0" w:afterAutospacing="0"/>
                    <w:ind w:left="0" w:right="0"/>
                    <w:rPr>
                      <w:rFonts w:hint="default"/>
                      <w:color w:val="auto"/>
                    </w:rPr>
                  </w:pPr>
                </w:p>
              </w:tc>
              <w:tc>
                <w:tcPr>
                  <w:tcW w:w="1192" w:type="dxa"/>
                  <w:vMerge w:val="continue"/>
                  <w:tcBorders>
                    <w:tl2br w:val="nil"/>
                    <w:tr2bl w:val="nil"/>
                  </w:tcBorders>
                  <w:noWrap w:val="0"/>
                  <w:vAlign w:val="center"/>
                </w:tcPr>
                <w:p w14:paraId="4ABF4C7C">
                  <w:pPr>
                    <w:pStyle w:val="56"/>
                    <w:keepNext w:val="0"/>
                    <w:keepLines w:val="0"/>
                    <w:suppressLineNumbers w:val="0"/>
                    <w:bidi w:val="0"/>
                    <w:spacing w:before="0" w:beforeAutospacing="0" w:after="0" w:afterAutospacing="0"/>
                    <w:ind w:left="0" w:right="0"/>
                    <w:rPr>
                      <w:rFonts w:hint="default"/>
                      <w:color w:val="auto"/>
                    </w:rPr>
                  </w:pPr>
                </w:p>
              </w:tc>
              <w:tc>
                <w:tcPr>
                  <w:tcW w:w="1511" w:type="dxa"/>
                  <w:tcBorders>
                    <w:tl2br w:val="nil"/>
                    <w:tr2bl w:val="nil"/>
                  </w:tcBorders>
                  <w:noWrap w:val="0"/>
                  <w:vAlign w:val="center"/>
                </w:tcPr>
                <w:p w14:paraId="5847205B">
                  <w:pPr>
                    <w:pStyle w:val="56"/>
                    <w:keepNext w:val="0"/>
                    <w:keepLines w:val="0"/>
                    <w:suppressLineNumbers w:val="0"/>
                    <w:bidi w:val="0"/>
                    <w:spacing w:before="0" w:beforeAutospacing="0" w:after="0" w:afterAutospacing="0"/>
                    <w:ind w:left="0" w:leftChars="0" w:right="0" w:rightChars="0" w:firstLine="0" w:firstLineChars="0"/>
                    <w:rPr>
                      <w:rFonts w:hint="default"/>
                      <w:color w:val="auto"/>
                    </w:rPr>
                  </w:pPr>
                  <w:r>
                    <w:rPr>
                      <w:rFonts w:hint="default" w:cs="Times New Roman"/>
                      <w:color w:val="auto"/>
                    </w:rPr>
                    <w:t>生活垃圾</w:t>
                  </w:r>
                </w:p>
              </w:tc>
              <w:tc>
                <w:tcPr>
                  <w:tcW w:w="1382" w:type="dxa"/>
                  <w:tcBorders>
                    <w:tl2br w:val="nil"/>
                    <w:tr2bl w:val="nil"/>
                  </w:tcBorders>
                  <w:noWrap w:val="0"/>
                  <w:vAlign w:val="center"/>
                </w:tcPr>
                <w:p w14:paraId="2EC5C71B">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环卫</w:t>
                  </w:r>
                </w:p>
                <w:p w14:paraId="61FC97E1">
                  <w:pPr>
                    <w:pStyle w:val="56"/>
                    <w:keepNext w:val="0"/>
                    <w:keepLines w:val="0"/>
                    <w:suppressLineNumbers w:val="0"/>
                    <w:bidi w:val="0"/>
                    <w:spacing w:before="0" w:beforeAutospacing="0" w:after="0" w:afterAutospacing="0"/>
                    <w:ind w:left="0" w:leftChars="0" w:right="0" w:rightChars="0" w:firstLine="0" w:firstLineChars="0"/>
                    <w:rPr>
                      <w:rFonts w:hint="default"/>
                      <w:color w:val="auto"/>
                    </w:rPr>
                  </w:pPr>
                  <w:r>
                    <w:rPr>
                      <w:rFonts w:hint="default" w:cs="Times New Roman"/>
                      <w:color w:val="auto"/>
                    </w:rPr>
                    <w:t>清运</w:t>
                  </w:r>
                </w:p>
              </w:tc>
              <w:tc>
                <w:tcPr>
                  <w:tcW w:w="2646" w:type="dxa"/>
                  <w:tcBorders>
                    <w:tl2br w:val="nil"/>
                    <w:tr2bl w:val="nil"/>
                  </w:tcBorders>
                  <w:noWrap w:val="0"/>
                  <w:vAlign w:val="center"/>
                </w:tcPr>
                <w:p w14:paraId="1374BE5B">
                  <w:pPr>
                    <w:pStyle w:val="56"/>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p>
              </w:tc>
            </w:tr>
            <w:tr w14:paraId="2C3732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455" w:type="dxa"/>
                  <w:vMerge w:val="continue"/>
                  <w:tcBorders>
                    <w:tl2br w:val="nil"/>
                    <w:tr2bl w:val="nil"/>
                  </w:tcBorders>
                  <w:noWrap w:val="0"/>
                  <w:vAlign w:val="center"/>
                </w:tcPr>
                <w:p w14:paraId="31E4C9E0">
                  <w:pPr>
                    <w:pStyle w:val="56"/>
                    <w:keepNext w:val="0"/>
                    <w:keepLines w:val="0"/>
                    <w:suppressLineNumbers w:val="0"/>
                    <w:bidi w:val="0"/>
                    <w:spacing w:before="0" w:beforeAutospacing="0" w:after="0" w:afterAutospacing="0"/>
                    <w:ind w:left="0" w:right="0"/>
                    <w:rPr>
                      <w:rFonts w:hint="default"/>
                      <w:color w:val="auto"/>
                    </w:rPr>
                  </w:pPr>
                </w:p>
              </w:tc>
              <w:tc>
                <w:tcPr>
                  <w:tcW w:w="662" w:type="dxa"/>
                  <w:vMerge w:val="continue"/>
                  <w:tcBorders>
                    <w:tl2br w:val="nil"/>
                    <w:tr2bl w:val="nil"/>
                  </w:tcBorders>
                  <w:noWrap w:val="0"/>
                  <w:vAlign w:val="center"/>
                </w:tcPr>
                <w:p w14:paraId="2C96D11D">
                  <w:pPr>
                    <w:pStyle w:val="56"/>
                    <w:keepNext w:val="0"/>
                    <w:keepLines w:val="0"/>
                    <w:suppressLineNumbers w:val="0"/>
                    <w:bidi w:val="0"/>
                    <w:spacing w:before="0" w:beforeAutospacing="0" w:after="0" w:afterAutospacing="0"/>
                    <w:ind w:left="0" w:right="0"/>
                    <w:rPr>
                      <w:rFonts w:hint="default"/>
                      <w:color w:val="auto"/>
                    </w:rPr>
                  </w:pPr>
                </w:p>
              </w:tc>
              <w:tc>
                <w:tcPr>
                  <w:tcW w:w="1192" w:type="dxa"/>
                  <w:vMerge w:val="continue"/>
                  <w:tcBorders>
                    <w:tl2br w:val="nil"/>
                    <w:tr2bl w:val="nil"/>
                  </w:tcBorders>
                  <w:noWrap w:val="0"/>
                  <w:vAlign w:val="center"/>
                </w:tcPr>
                <w:p w14:paraId="506A2EB4">
                  <w:pPr>
                    <w:pStyle w:val="56"/>
                    <w:keepNext w:val="0"/>
                    <w:keepLines w:val="0"/>
                    <w:suppressLineNumbers w:val="0"/>
                    <w:bidi w:val="0"/>
                    <w:spacing w:before="0" w:beforeAutospacing="0" w:after="0" w:afterAutospacing="0"/>
                    <w:ind w:left="0" w:right="0"/>
                    <w:rPr>
                      <w:rFonts w:hint="default"/>
                      <w:color w:val="auto"/>
                    </w:rPr>
                  </w:pPr>
                </w:p>
              </w:tc>
              <w:tc>
                <w:tcPr>
                  <w:tcW w:w="1511" w:type="dxa"/>
                  <w:tcBorders>
                    <w:tl2br w:val="nil"/>
                    <w:tr2bl w:val="nil"/>
                  </w:tcBorders>
                  <w:noWrap w:val="0"/>
                  <w:vAlign w:val="center"/>
                </w:tcPr>
                <w:p w14:paraId="241BDE3A">
                  <w:pPr>
                    <w:pStyle w:val="56"/>
                    <w:keepNext w:val="0"/>
                    <w:keepLines w:val="0"/>
                    <w:suppressLineNumbers w:val="0"/>
                    <w:bidi w:val="0"/>
                    <w:spacing w:before="0" w:beforeAutospacing="0" w:after="0" w:afterAutospacing="0"/>
                    <w:ind w:left="0" w:leftChars="0" w:right="0" w:rightChars="0" w:firstLine="0" w:firstLineChars="0"/>
                    <w:rPr>
                      <w:rFonts w:hint="default"/>
                      <w:color w:val="auto"/>
                    </w:rPr>
                  </w:pPr>
                  <w:r>
                    <w:rPr>
                      <w:rFonts w:hint="eastAsia" w:cs="Times New Roman"/>
                      <w:color w:val="auto"/>
                      <w:lang w:eastAsia="zh-CN"/>
                    </w:rPr>
                    <w:t>废润滑油</w:t>
                  </w:r>
                </w:p>
              </w:tc>
              <w:tc>
                <w:tcPr>
                  <w:tcW w:w="1382" w:type="dxa"/>
                  <w:vMerge w:val="restart"/>
                  <w:tcBorders>
                    <w:tl2br w:val="nil"/>
                    <w:tr2bl w:val="nil"/>
                  </w:tcBorders>
                  <w:noWrap w:val="0"/>
                  <w:vAlign w:val="center"/>
                </w:tcPr>
                <w:p w14:paraId="3E123283">
                  <w:pPr>
                    <w:pStyle w:val="56"/>
                    <w:keepNext w:val="0"/>
                    <w:keepLines w:val="0"/>
                    <w:suppressLineNumbers w:val="0"/>
                    <w:bidi w:val="0"/>
                    <w:spacing w:before="0" w:beforeAutospacing="0" w:after="0" w:afterAutospacing="0"/>
                    <w:ind w:left="0" w:right="0"/>
                    <w:rPr>
                      <w:rFonts w:hint="default"/>
                      <w:color w:val="auto"/>
                    </w:rPr>
                  </w:pPr>
                  <w:r>
                    <w:rPr>
                      <w:rFonts w:hint="eastAsia"/>
                      <w:color w:val="auto"/>
                      <w:lang w:eastAsia="zh-CN"/>
                    </w:rPr>
                    <w:t>交由有资质的单位处理</w:t>
                  </w:r>
                </w:p>
              </w:tc>
              <w:tc>
                <w:tcPr>
                  <w:tcW w:w="2646" w:type="dxa"/>
                  <w:vMerge w:val="restart"/>
                  <w:tcBorders>
                    <w:tl2br w:val="nil"/>
                    <w:tr2bl w:val="nil"/>
                  </w:tcBorders>
                  <w:noWrap w:val="0"/>
                  <w:vAlign w:val="center"/>
                </w:tcPr>
                <w:p w14:paraId="5B18DC3C">
                  <w:pPr>
                    <w:pStyle w:val="56"/>
                    <w:keepNext w:val="0"/>
                    <w:keepLines w:val="0"/>
                    <w:suppressLineNumbers w:val="0"/>
                    <w:bidi w:val="0"/>
                    <w:spacing w:before="0" w:beforeAutospacing="0" w:after="0" w:afterAutospacing="0"/>
                    <w:ind w:left="0" w:right="0"/>
                    <w:rPr>
                      <w:rFonts w:hint="default"/>
                      <w:color w:val="auto"/>
                    </w:rPr>
                  </w:pPr>
                  <w:r>
                    <w:rPr>
                      <w:rFonts w:hint="default" w:cs="Times New Roman"/>
                      <w:color w:val="auto"/>
                      <w:lang w:val="zh-CN"/>
                    </w:rPr>
                    <w:t>《危险废物贮存污染控制标准》（GB18597-20</w:t>
                  </w:r>
                  <w:r>
                    <w:rPr>
                      <w:rFonts w:hint="eastAsia" w:cs="Times New Roman"/>
                      <w:color w:val="auto"/>
                      <w:lang w:val="en-US" w:eastAsia="zh-CN"/>
                    </w:rPr>
                    <w:t>23</w:t>
                  </w:r>
                  <w:r>
                    <w:rPr>
                      <w:rFonts w:hint="default" w:cs="Times New Roman"/>
                      <w:color w:val="auto"/>
                      <w:lang w:val="zh-CN"/>
                    </w:rPr>
                    <w:t>）</w:t>
                  </w:r>
                </w:p>
              </w:tc>
            </w:tr>
            <w:tr w14:paraId="69AD34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455" w:type="dxa"/>
                  <w:vMerge w:val="continue"/>
                  <w:tcBorders>
                    <w:tl2br w:val="nil"/>
                    <w:tr2bl w:val="nil"/>
                  </w:tcBorders>
                  <w:noWrap w:val="0"/>
                  <w:vAlign w:val="center"/>
                </w:tcPr>
                <w:p w14:paraId="7AF62AC1">
                  <w:pPr>
                    <w:pStyle w:val="56"/>
                    <w:keepNext w:val="0"/>
                    <w:keepLines w:val="0"/>
                    <w:suppressLineNumbers w:val="0"/>
                    <w:bidi w:val="0"/>
                    <w:spacing w:before="0" w:beforeAutospacing="0" w:after="0" w:afterAutospacing="0"/>
                    <w:ind w:left="0" w:right="0"/>
                    <w:rPr>
                      <w:rFonts w:hint="default"/>
                      <w:color w:val="auto"/>
                    </w:rPr>
                  </w:pPr>
                </w:p>
              </w:tc>
              <w:tc>
                <w:tcPr>
                  <w:tcW w:w="662" w:type="dxa"/>
                  <w:vMerge w:val="continue"/>
                  <w:tcBorders>
                    <w:tl2br w:val="nil"/>
                    <w:tr2bl w:val="nil"/>
                  </w:tcBorders>
                  <w:noWrap w:val="0"/>
                  <w:vAlign w:val="center"/>
                </w:tcPr>
                <w:p w14:paraId="2DE0B3DB">
                  <w:pPr>
                    <w:pStyle w:val="56"/>
                    <w:keepNext w:val="0"/>
                    <w:keepLines w:val="0"/>
                    <w:suppressLineNumbers w:val="0"/>
                    <w:bidi w:val="0"/>
                    <w:spacing w:before="0" w:beforeAutospacing="0" w:after="0" w:afterAutospacing="0"/>
                    <w:ind w:left="0" w:right="0"/>
                    <w:rPr>
                      <w:rFonts w:hint="default"/>
                      <w:color w:val="auto"/>
                    </w:rPr>
                  </w:pPr>
                </w:p>
              </w:tc>
              <w:tc>
                <w:tcPr>
                  <w:tcW w:w="1192" w:type="dxa"/>
                  <w:vMerge w:val="continue"/>
                  <w:tcBorders>
                    <w:tl2br w:val="nil"/>
                    <w:tr2bl w:val="nil"/>
                  </w:tcBorders>
                  <w:noWrap w:val="0"/>
                  <w:vAlign w:val="center"/>
                </w:tcPr>
                <w:p w14:paraId="6714D33C">
                  <w:pPr>
                    <w:pStyle w:val="56"/>
                    <w:keepNext w:val="0"/>
                    <w:keepLines w:val="0"/>
                    <w:suppressLineNumbers w:val="0"/>
                    <w:bidi w:val="0"/>
                    <w:spacing w:before="0" w:beforeAutospacing="0" w:after="0" w:afterAutospacing="0"/>
                    <w:ind w:left="0" w:right="0"/>
                    <w:rPr>
                      <w:rFonts w:hint="default"/>
                      <w:color w:val="auto"/>
                    </w:rPr>
                  </w:pPr>
                </w:p>
              </w:tc>
              <w:tc>
                <w:tcPr>
                  <w:tcW w:w="1511" w:type="dxa"/>
                  <w:tcBorders>
                    <w:tl2br w:val="nil"/>
                    <w:tr2bl w:val="nil"/>
                  </w:tcBorders>
                  <w:noWrap w:val="0"/>
                  <w:vAlign w:val="center"/>
                </w:tcPr>
                <w:p w14:paraId="4C5DC09F">
                  <w:pPr>
                    <w:pStyle w:val="56"/>
                    <w:keepNext w:val="0"/>
                    <w:keepLines w:val="0"/>
                    <w:suppressLineNumbers w:val="0"/>
                    <w:bidi w:val="0"/>
                    <w:spacing w:before="0" w:beforeAutospacing="0" w:after="0" w:afterAutospacing="0"/>
                    <w:ind w:left="0" w:right="0"/>
                    <w:rPr>
                      <w:rFonts w:hint="default"/>
                      <w:color w:val="auto"/>
                    </w:rPr>
                  </w:pPr>
                  <w:r>
                    <w:rPr>
                      <w:rFonts w:hint="default" w:cs="Times New Roman"/>
                      <w:color w:val="auto"/>
                    </w:rPr>
                    <w:t>废含油抹布</w:t>
                  </w:r>
                </w:p>
              </w:tc>
              <w:tc>
                <w:tcPr>
                  <w:tcW w:w="1382" w:type="dxa"/>
                  <w:vMerge w:val="continue"/>
                  <w:tcBorders>
                    <w:tl2br w:val="nil"/>
                    <w:tr2bl w:val="nil"/>
                  </w:tcBorders>
                  <w:noWrap w:val="0"/>
                  <w:vAlign w:val="center"/>
                </w:tcPr>
                <w:p w14:paraId="1D32F661">
                  <w:pPr>
                    <w:pStyle w:val="56"/>
                    <w:keepNext w:val="0"/>
                    <w:keepLines w:val="0"/>
                    <w:suppressLineNumbers w:val="0"/>
                    <w:bidi w:val="0"/>
                    <w:spacing w:before="0" w:beforeAutospacing="0" w:after="0" w:afterAutospacing="0"/>
                    <w:ind w:left="0" w:right="0"/>
                    <w:rPr>
                      <w:rFonts w:hint="default"/>
                      <w:color w:val="auto"/>
                    </w:rPr>
                  </w:pPr>
                </w:p>
              </w:tc>
              <w:tc>
                <w:tcPr>
                  <w:tcW w:w="2646" w:type="dxa"/>
                  <w:vMerge w:val="continue"/>
                  <w:tcBorders>
                    <w:tl2br w:val="nil"/>
                    <w:tr2bl w:val="nil"/>
                  </w:tcBorders>
                  <w:noWrap w:val="0"/>
                  <w:vAlign w:val="center"/>
                </w:tcPr>
                <w:p w14:paraId="38ACCA98">
                  <w:pPr>
                    <w:pStyle w:val="56"/>
                    <w:keepNext w:val="0"/>
                    <w:keepLines w:val="0"/>
                    <w:suppressLineNumbers w:val="0"/>
                    <w:bidi w:val="0"/>
                    <w:spacing w:before="0" w:beforeAutospacing="0" w:after="0" w:afterAutospacing="0"/>
                    <w:ind w:left="0" w:right="0"/>
                    <w:rPr>
                      <w:rFonts w:hint="default"/>
                      <w:color w:val="auto"/>
                    </w:rPr>
                  </w:pPr>
                </w:p>
              </w:tc>
            </w:tr>
          </w:tbl>
          <w:p w14:paraId="2A76778B">
            <w:pPr>
              <w:pStyle w:val="74"/>
              <w:keepNext w:val="0"/>
              <w:keepLines w:val="0"/>
              <w:suppressLineNumbers w:val="0"/>
              <w:spacing w:before="0" w:beforeAutospacing="0" w:after="0" w:afterAutospacing="0"/>
              <w:ind w:left="0" w:leftChars="0" w:right="0" w:firstLine="0" w:firstLineChars="0"/>
              <w:rPr>
                <w:rFonts w:hint="eastAsia" w:cs="Times New Roman"/>
                <w:color w:val="auto"/>
              </w:rPr>
            </w:pPr>
          </w:p>
        </w:tc>
      </w:tr>
    </w:tbl>
    <w:p w14:paraId="4232E672">
      <w:pPr>
        <w:adjustRightInd w:val="0"/>
        <w:snapToGrid w:val="0"/>
        <w:spacing w:line="360" w:lineRule="auto"/>
        <w:rPr>
          <w:rFonts w:hint="eastAsia" w:ascii="宋体" w:cs="宋体"/>
          <w:b/>
          <w:color w:val="auto"/>
          <w:kern w:val="0"/>
          <w:sz w:val="28"/>
          <w:szCs w:val="28"/>
        </w:rPr>
        <w:sectPr>
          <w:pgSz w:w="11907" w:h="16840"/>
          <w:pgMar w:top="1440" w:right="1800" w:bottom="1440" w:left="1800" w:header="851" w:footer="851" w:gutter="0"/>
          <w:pgBorders w:offsetFrom="page">
            <w:top w:val="none" w:sz="0" w:space="0"/>
            <w:left w:val="none" w:sz="0" w:space="0"/>
            <w:bottom w:val="none" w:sz="0" w:space="0"/>
            <w:right w:val="none" w:sz="0" w:space="0"/>
          </w:pgBorders>
          <w:cols w:space="720" w:num="1"/>
          <w:docGrid w:linePitch="312" w:charSpace="0"/>
        </w:sectPr>
      </w:pPr>
    </w:p>
    <w:p w14:paraId="2A925476">
      <w:pPr>
        <w:pStyle w:val="24"/>
        <w:jc w:val="center"/>
        <w:outlineLvl w:val="0"/>
        <w:rPr>
          <w:rFonts w:ascii="黑体" w:hAnsi="黑体" w:eastAsia="黑体"/>
          <w:snapToGrid w:val="0"/>
          <w:color w:val="auto"/>
          <w:sz w:val="30"/>
          <w:szCs w:val="30"/>
        </w:rPr>
      </w:pPr>
      <w:bookmarkStart w:id="12" w:name="_Toc19846"/>
      <w:r>
        <w:rPr>
          <w:rFonts w:hint="eastAsia" w:ascii="黑体" w:hAnsi="黑体" w:eastAsia="黑体"/>
          <w:snapToGrid w:val="0"/>
          <w:color w:val="auto"/>
          <w:sz w:val="30"/>
          <w:szCs w:val="30"/>
        </w:rPr>
        <w:t>五、</w:t>
      </w:r>
      <w:bookmarkStart w:id="13" w:name="_Hlk54167917"/>
      <w:r>
        <w:rPr>
          <w:rFonts w:hint="eastAsia" w:ascii="黑体" w:hAnsi="黑体" w:eastAsia="黑体"/>
          <w:snapToGrid w:val="0"/>
          <w:color w:val="auto"/>
          <w:sz w:val="30"/>
          <w:szCs w:val="30"/>
        </w:rPr>
        <w:t>环境保护措施监督检查清单</w:t>
      </w:r>
      <w:bookmarkEnd w:id="12"/>
      <w:bookmarkEnd w:id="13"/>
    </w:p>
    <w:tbl>
      <w:tblPr>
        <w:tblStyle w:val="28"/>
        <w:tblW w:w="4974"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319"/>
        <w:gridCol w:w="1535"/>
        <w:gridCol w:w="1089"/>
        <w:gridCol w:w="2446"/>
        <w:gridCol w:w="2089"/>
      </w:tblGrid>
      <w:tr w14:paraId="229848A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04" w:hRule="atLeast"/>
          <w:jc w:val="center"/>
        </w:trPr>
        <w:tc>
          <w:tcPr>
            <w:tcW w:w="777" w:type="pct"/>
            <w:noWrap w:val="0"/>
            <w:vAlign w:val="top"/>
            <mc:AlternateContent>
              <mc:Choice Requires="wpsCustomData">
                <wpsCustomData:diagonals>
                  <wpsCustomData:diagonal from="10000" to="30000">
                    <wpsCustomData:border w:val="single" w:color="auto" w:sz="2" w:space="0"/>
                  </wpsCustomData:diagonal>
                </wpsCustomData:diagonals>
              </mc:Choice>
            </mc:AlternateContent>
          </w:tcPr>
          <w:p w14:paraId="7A003EF6">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p>
          <w:p w14:paraId="2EBAA117">
            <w:pPr>
              <w:pStyle w:val="56"/>
              <w:keepNext w:val="0"/>
              <w:keepLines w:val="0"/>
              <w:suppressLineNumbers w:val="0"/>
              <w:bidi w:val="0"/>
              <w:spacing w:before="0" w:beforeAutospacing="0" w:after="0" w:afterAutospacing="0"/>
              <w:ind w:left="0" w:right="0"/>
              <mc:AlternateContent>
                <mc:Choice Requires="wpsCustomData">
                  <wpsCustomData:diagonalParaType/>
                </mc:Choice>
              </mc:AlternateContent>
              <w:rPr>
                <w:rFonts w:hint="eastAsia" w:cs="Times New Roman"/>
                <w:color w:val="auto"/>
                <w:lang w:val="en-US" w:eastAsia="zh-CN"/>
              </w:rPr>
            </w:pPr>
            <w:r>
              <w:rPr>
                <w:rFonts w:hint="eastAsia" w:cs="Times New Roman"/>
                <w:color w:val="auto"/>
                <w:lang w:val="en-US" w:eastAsia="zh-CN"/>
              </w:rPr>
              <w:t>要素</w:t>
            </w:r>
          </w:p>
          <w:p w14:paraId="102E2548">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内容</w:t>
            </w:r>
          </w:p>
          <w:p w14:paraId="49D536A1">
            <w:pPr>
              <w:pStyle w:val="56"/>
              <w:keepNext w:val="0"/>
              <w:keepLines w:val="0"/>
              <w:suppressLineNumbers w:val="0"/>
              <w:bidi w:val="0"/>
              <w:spacing w:before="0" w:beforeAutospacing="0" w:after="0" w:afterAutospacing="0"/>
              <w:ind w:left="0" w:right="0"/>
              <w:rPr>
                <w:rFonts w:hint="default" w:cs="Times New Roman"/>
                <w:color w:val="auto"/>
              </w:rPr>
            </w:pPr>
          </w:p>
        </w:tc>
        <w:tc>
          <w:tcPr>
            <w:tcW w:w="905" w:type="pct"/>
            <w:noWrap w:val="0"/>
            <w:vAlign w:val="center"/>
          </w:tcPr>
          <w:p w14:paraId="5547F9B1">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排放口</w:t>
            </w:r>
            <w:r>
              <w:rPr>
                <w:rFonts w:hint="eastAsia" w:cs="Times New Roman"/>
                <w:color w:val="auto"/>
                <w:lang w:eastAsia="zh-CN"/>
              </w:rPr>
              <w:t>（</w:t>
            </w:r>
            <w:r>
              <w:rPr>
                <w:rFonts w:hint="default" w:cs="Times New Roman"/>
                <w:color w:val="auto"/>
              </w:rPr>
              <w:t>编号、</w:t>
            </w:r>
          </w:p>
          <w:p w14:paraId="0836010D">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名称</w:t>
            </w:r>
            <w:r>
              <w:rPr>
                <w:rFonts w:hint="eastAsia" w:cs="Times New Roman"/>
                <w:color w:val="auto"/>
                <w:lang w:eastAsia="zh-CN"/>
              </w:rPr>
              <w:t>）</w:t>
            </w:r>
            <w:r>
              <w:rPr>
                <w:rFonts w:hint="default" w:cs="Times New Roman"/>
                <w:color w:val="auto"/>
              </w:rPr>
              <w:t>/污染源</w:t>
            </w:r>
          </w:p>
        </w:tc>
        <w:tc>
          <w:tcPr>
            <w:tcW w:w="642" w:type="pct"/>
            <w:noWrap w:val="0"/>
            <w:vAlign w:val="center"/>
          </w:tcPr>
          <w:p w14:paraId="0BA5CC03">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污染物</w:t>
            </w:r>
          </w:p>
          <w:p w14:paraId="655C84C6">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项目</w:t>
            </w:r>
          </w:p>
        </w:tc>
        <w:tc>
          <w:tcPr>
            <w:tcW w:w="1442" w:type="pct"/>
            <w:noWrap w:val="0"/>
            <w:vAlign w:val="center"/>
          </w:tcPr>
          <w:p w14:paraId="1CBBE327">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环境保护措施</w:t>
            </w:r>
          </w:p>
        </w:tc>
        <w:tc>
          <w:tcPr>
            <w:tcW w:w="1232" w:type="pct"/>
            <w:noWrap w:val="0"/>
            <w:vAlign w:val="center"/>
          </w:tcPr>
          <w:p w14:paraId="28ED0A5D">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执行标准</w:t>
            </w:r>
          </w:p>
        </w:tc>
      </w:tr>
      <w:tr w14:paraId="2689337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52" w:hRule="atLeast"/>
          <w:jc w:val="center"/>
        </w:trPr>
        <w:tc>
          <w:tcPr>
            <w:tcW w:w="777" w:type="pct"/>
            <w:vMerge w:val="restart"/>
            <w:noWrap w:val="0"/>
            <w:vAlign w:val="center"/>
          </w:tcPr>
          <w:p w14:paraId="48390E58">
            <w:pPr>
              <w:pStyle w:val="56"/>
              <w:keepNext w:val="0"/>
              <w:keepLines w:val="0"/>
              <w:suppressLineNumbers w:val="0"/>
              <w:bidi w:val="0"/>
              <w:spacing w:before="0" w:beforeAutospacing="0" w:after="0" w:afterAutospacing="0"/>
              <w:ind w:left="0" w:right="0"/>
              <w:outlineLvl w:val="9"/>
              <w:rPr>
                <w:rFonts w:hint="default" w:cs="Times New Roman"/>
                <w:color w:val="auto"/>
              </w:rPr>
            </w:pPr>
            <w:r>
              <w:rPr>
                <w:rFonts w:hint="default" w:cs="Times New Roman"/>
                <w:color w:val="auto"/>
              </w:rPr>
              <w:t>大气环境</w:t>
            </w:r>
          </w:p>
        </w:tc>
        <w:tc>
          <w:tcPr>
            <w:tcW w:w="905" w:type="pct"/>
            <w:noWrap w:val="0"/>
            <w:vAlign w:val="center"/>
          </w:tcPr>
          <w:p w14:paraId="62F3A1AF">
            <w:pPr>
              <w:pStyle w:val="56"/>
              <w:keepNext w:val="0"/>
              <w:keepLines w:val="0"/>
              <w:suppressLineNumbers w:val="0"/>
              <w:bidi w:val="0"/>
              <w:spacing w:before="0" w:beforeAutospacing="0" w:after="0" w:afterAutospacing="0"/>
              <w:ind w:left="0" w:leftChars="0" w:right="0" w:rightChars="0" w:firstLine="0" w:firstLineChars="0"/>
              <w:jc w:val="center"/>
              <w:rPr>
                <w:rFonts w:hint="default" w:eastAsia="宋体" w:cs="Times New Roman"/>
                <w:color w:val="auto"/>
                <w:lang w:val="en-US" w:eastAsia="zh-CN"/>
              </w:rPr>
            </w:pPr>
            <w:r>
              <w:rPr>
                <w:rFonts w:hint="eastAsia" w:cs="Times New Roman"/>
                <w:color w:val="auto"/>
                <w:lang w:val="en-US" w:eastAsia="zh-CN"/>
              </w:rPr>
              <w:t>筛选破碎废气</w:t>
            </w:r>
          </w:p>
        </w:tc>
        <w:tc>
          <w:tcPr>
            <w:tcW w:w="642" w:type="pct"/>
            <w:vMerge w:val="restart"/>
            <w:noWrap w:val="0"/>
            <w:vAlign w:val="center"/>
          </w:tcPr>
          <w:p w14:paraId="59D8E1E8">
            <w:pPr>
              <w:pStyle w:val="56"/>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rPr>
            </w:pPr>
            <w:r>
              <w:rPr>
                <w:rFonts w:hint="eastAsia" w:ascii="Times New Roman" w:hAnsi="Times New Roman" w:eastAsia="宋体" w:cs="Times New Roman"/>
                <w:color w:val="auto"/>
                <w:lang w:val="en-US" w:eastAsia="zh-CN"/>
              </w:rPr>
              <w:t>氟化物、</w:t>
            </w:r>
            <w:r>
              <w:rPr>
                <w:rFonts w:hint="default" w:ascii="Times New Roman" w:hAnsi="Times New Roman" w:eastAsia="宋体" w:cs="Times New Roman"/>
                <w:color w:val="auto"/>
              </w:rPr>
              <w:t>颗粒物</w:t>
            </w:r>
          </w:p>
        </w:tc>
        <w:tc>
          <w:tcPr>
            <w:tcW w:w="1442" w:type="pct"/>
            <w:vMerge w:val="restart"/>
            <w:noWrap w:val="0"/>
            <w:vAlign w:val="center"/>
          </w:tcPr>
          <w:p w14:paraId="6B0192E3">
            <w:pPr>
              <w:keepNext w:val="0"/>
              <w:keepLines w:val="0"/>
              <w:pageBreakBefore/>
              <w:widowControl/>
              <w:suppressLineNumbers w:val="0"/>
              <w:spacing w:before="0" w:beforeLines="0" w:beforeAutospacing="0" w:after="0" w:afterLines="0" w:afterAutospacing="0" w:line="360" w:lineRule="exact"/>
              <w:ind w:left="0" w:leftChars="0" w:right="0" w:rightChars="0" w:firstLine="0" w:firstLineChars="0"/>
              <w:jc w:val="center"/>
              <w:rPr>
                <w:rFonts w:hint="default" w:cs="Times New Roman"/>
                <w:color w:val="auto"/>
                <w:lang w:val="en-US" w:eastAsia="zh-CN"/>
              </w:rPr>
            </w:pPr>
            <w:r>
              <w:rPr>
                <w:rFonts w:hint="eastAsia"/>
                <w:color w:val="auto"/>
                <w:kern w:val="0"/>
                <w:sz w:val="21"/>
                <w:szCs w:val="21"/>
                <w:lang w:val="en-US" w:eastAsia="zh-CN"/>
              </w:rPr>
              <w:t>筛选破碎废气、投料废气、搅拌经3个集气罩收集+1个布袋除尘处理后通过15m的排气筒排放（DA001）</w:t>
            </w:r>
          </w:p>
        </w:tc>
        <w:tc>
          <w:tcPr>
            <w:tcW w:w="1232" w:type="pct"/>
            <w:vMerge w:val="restart"/>
            <w:noWrap w:val="0"/>
            <w:vAlign w:val="center"/>
          </w:tcPr>
          <w:p w14:paraId="65D67CF2">
            <w:pPr>
              <w:pStyle w:val="56"/>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lang w:val="en-US" w:eastAsia="zh-CN"/>
              </w:rPr>
              <w:t>颗粒物执行《水泥工业大气污染物排放标准》（GB 4915-2013）表1；氟化物执行《大气污染物综合排放标准》（GB 16297-1996）</w:t>
            </w:r>
          </w:p>
        </w:tc>
      </w:tr>
      <w:tr w14:paraId="27D8336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4" w:hRule="atLeast"/>
          <w:jc w:val="center"/>
        </w:trPr>
        <w:tc>
          <w:tcPr>
            <w:tcW w:w="777" w:type="pct"/>
            <w:vMerge w:val="continue"/>
            <w:noWrap w:val="0"/>
            <w:vAlign w:val="center"/>
          </w:tcPr>
          <w:p w14:paraId="3A3E34E7">
            <w:pPr>
              <w:pStyle w:val="56"/>
              <w:keepNext w:val="0"/>
              <w:keepLines w:val="0"/>
              <w:suppressLineNumbers w:val="0"/>
              <w:bidi w:val="0"/>
              <w:spacing w:before="0" w:beforeAutospacing="0" w:after="0" w:afterAutospacing="0"/>
              <w:ind w:left="0" w:right="0"/>
              <w:outlineLvl w:val="9"/>
              <w:rPr>
                <w:rFonts w:hint="default"/>
                <w:color w:val="auto"/>
              </w:rPr>
            </w:pPr>
          </w:p>
        </w:tc>
        <w:tc>
          <w:tcPr>
            <w:tcW w:w="905" w:type="pct"/>
            <w:noWrap w:val="0"/>
            <w:vAlign w:val="center"/>
          </w:tcPr>
          <w:p w14:paraId="7FC6B76C">
            <w:pPr>
              <w:pStyle w:val="56"/>
              <w:keepNext w:val="0"/>
              <w:keepLines w:val="0"/>
              <w:suppressLineNumbers w:val="0"/>
              <w:bidi w:val="0"/>
              <w:spacing w:before="0" w:beforeAutospacing="0" w:after="0" w:afterAutospacing="0"/>
              <w:ind w:left="0" w:leftChars="0" w:right="0" w:rightChars="0" w:firstLine="0" w:firstLineChars="0"/>
              <w:jc w:val="center"/>
              <w:rPr>
                <w:rFonts w:hint="default" w:cs="Times New Roman"/>
                <w:color w:val="auto"/>
              </w:rPr>
            </w:pPr>
            <w:r>
              <w:rPr>
                <w:rFonts w:hint="eastAsia" w:cs="Times New Roman"/>
                <w:color w:val="auto"/>
                <w:lang w:val="en-US" w:eastAsia="zh-CN"/>
              </w:rPr>
              <w:t>投料废气</w:t>
            </w:r>
          </w:p>
        </w:tc>
        <w:tc>
          <w:tcPr>
            <w:tcW w:w="642" w:type="pct"/>
            <w:vMerge w:val="continue"/>
            <w:noWrap w:val="0"/>
            <w:vAlign w:val="center"/>
          </w:tcPr>
          <w:p w14:paraId="1EEB6A09">
            <w:pPr>
              <w:pStyle w:val="56"/>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rPr>
            </w:pPr>
          </w:p>
        </w:tc>
        <w:tc>
          <w:tcPr>
            <w:tcW w:w="1442" w:type="pct"/>
            <w:vMerge w:val="continue"/>
            <w:noWrap w:val="0"/>
            <w:vAlign w:val="center"/>
          </w:tcPr>
          <w:p w14:paraId="0210C6E2">
            <w:pPr>
              <w:pStyle w:val="56"/>
              <w:keepNext w:val="0"/>
              <w:keepLines w:val="0"/>
              <w:suppressLineNumbers w:val="0"/>
              <w:bidi w:val="0"/>
              <w:spacing w:before="0" w:beforeAutospacing="0" w:after="0" w:afterAutospacing="0"/>
              <w:ind w:left="0" w:right="0"/>
              <w:rPr>
                <w:rFonts w:hint="default" w:cs="Times New Roman"/>
                <w:color w:val="auto"/>
              </w:rPr>
            </w:pPr>
          </w:p>
        </w:tc>
        <w:tc>
          <w:tcPr>
            <w:tcW w:w="1232" w:type="pct"/>
            <w:vMerge w:val="continue"/>
            <w:noWrap w:val="0"/>
            <w:vAlign w:val="center"/>
          </w:tcPr>
          <w:p w14:paraId="7E746A2D">
            <w:pPr>
              <w:pStyle w:val="56"/>
              <w:keepNext w:val="0"/>
              <w:keepLines w:val="0"/>
              <w:suppressLineNumbers w:val="0"/>
              <w:bidi w:val="0"/>
              <w:spacing w:before="0" w:beforeAutospacing="0" w:after="0" w:afterAutospacing="0"/>
              <w:ind w:left="0" w:right="0"/>
              <w:rPr>
                <w:rFonts w:hint="default" w:cs="Times New Roman"/>
                <w:color w:val="auto"/>
              </w:rPr>
            </w:pPr>
          </w:p>
        </w:tc>
      </w:tr>
      <w:tr w14:paraId="56F8D0A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77" w:type="pct"/>
            <w:vMerge w:val="continue"/>
            <w:noWrap w:val="0"/>
            <w:vAlign w:val="center"/>
          </w:tcPr>
          <w:p w14:paraId="33BCB590">
            <w:pPr>
              <w:pStyle w:val="56"/>
              <w:keepNext w:val="0"/>
              <w:keepLines w:val="0"/>
              <w:suppressLineNumbers w:val="0"/>
              <w:bidi w:val="0"/>
              <w:spacing w:before="0" w:beforeAutospacing="0" w:after="0" w:afterAutospacing="0"/>
              <w:ind w:left="0" w:right="0"/>
              <w:outlineLvl w:val="9"/>
              <w:rPr>
                <w:rFonts w:hint="default" w:cs="Times New Roman"/>
                <w:color w:val="auto"/>
              </w:rPr>
            </w:pPr>
          </w:p>
        </w:tc>
        <w:tc>
          <w:tcPr>
            <w:tcW w:w="905" w:type="pct"/>
            <w:noWrap w:val="0"/>
            <w:vAlign w:val="center"/>
          </w:tcPr>
          <w:p w14:paraId="47F9A070">
            <w:pPr>
              <w:pStyle w:val="56"/>
              <w:keepNext w:val="0"/>
              <w:keepLines w:val="0"/>
              <w:suppressLineNumbers w:val="0"/>
              <w:bidi w:val="0"/>
              <w:spacing w:before="0" w:beforeAutospacing="0" w:after="0" w:afterAutospacing="0"/>
              <w:ind w:left="0" w:leftChars="0" w:right="0" w:rightChars="0" w:firstLine="0" w:firstLineChars="0"/>
              <w:jc w:val="center"/>
              <w:rPr>
                <w:rFonts w:hint="default" w:cs="Times New Roman"/>
                <w:color w:val="auto"/>
              </w:rPr>
            </w:pPr>
            <w:r>
              <w:rPr>
                <w:rFonts w:hint="eastAsia" w:cs="Times New Roman"/>
                <w:color w:val="auto"/>
                <w:lang w:val="en-US" w:eastAsia="zh-CN"/>
              </w:rPr>
              <w:t>搅拌废气</w:t>
            </w:r>
          </w:p>
        </w:tc>
        <w:tc>
          <w:tcPr>
            <w:tcW w:w="642" w:type="pct"/>
            <w:vMerge w:val="continue"/>
            <w:noWrap w:val="0"/>
            <w:vAlign w:val="center"/>
          </w:tcPr>
          <w:p w14:paraId="27547BF7">
            <w:pPr>
              <w:pStyle w:val="56"/>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rPr>
            </w:pPr>
          </w:p>
        </w:tc>
        <w:tc>
          <w:tcPr>
            <w:tcW w:w="1442" w:type="pct"/>
            <w:vMerge w:val="continue"/>
            <w:noWrap w:val="0"/>
            <w:vAlign w:val="center"/>
          </w:tcPr>
          <w:p w14:paraId="55A4D44B">
            <w:pPr>
              <w:pStyle w:val="56"/>
              <w:keepNext w:val="0"/>
              <w:keepLines w:val="0"/>
              <w:suppressLineNumbers w:val="0"/>
              <w:bidi w:val="0"/>
              <w:spacing w:before="0" w:beforeAutospacing="0" w:after="0" w:afterAutospacing="0"/>
              <w:ind w:left="0" w:right="0"/>
              <w:rPr>
                <w:rFonts w:hint="default" w:cs="Times New Roman"/>
                <w:color w:val="auto"/>
              </w:rPr>
            </w:pPr>
          </w:p>
        </w:tc>
        <w:tc>
          <w:tcPr>
            <w:tcW w:w="1232" w:type="pct"/>
            <w:vMerge w:val="continue"/>
            <w:noWrap w:val="0"/>
            <w:vAlign w:val="center"/>
          </w:tcPr>
          <w:p w14:paraId="549D7C38">
            <w:pPr>
              <w:pStyle w:val="56"/>
              <w:keepNext w:val="0"/>
              <w:keepLines w:val="0"/>
              <w:suppressLineNumbers w:val="0"/>
              <w:bidi w:val="0"/>
              <w:spacing w:before="0" w:beforeAutospacing="0" w:after="0" w:afterAutospacing="0"/>
              <w:ind w:left="0" w:right="0"/>
              <w:rPr>
                <w:rFonts w:hint="default" w:cs="Times New Roman"/>
                <w:color w:val="auto"/>
              </w:rPr>
            </w:pPr>
          </w:p>
        </w:tc>
      </w:tr>
      <w:tr w14:paraId="5BB34D0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77" w:type="pct"/>
            <w:vMerge w:val="continue"/>
            <w:noWrap w:val="0"/>
            <w:vAlign w:val="center"/>
          </w:tcPr>
          <w:p w14:paraId="4FFBA1DC">
            <w:pPr>
              <w:pStyle w:val="56"/>
              <w:keepNext w:val="0"/>
              <w:keepLines w:val="0"/>
              <w:suppressLineNumbers w:val="0"/>
              <w:bidi w:val="0"/>
              <w:spacing w:before="0" w:beforeAutospacing="0" w:after="0" w:afterAutospacing="0"/>
              <w:ind w:left="0" w:right="0"/>
              <w:outlineLvl w:val="9"/>
              <w:rPr>
                <w:rFonts w:hint="default" w:cs="Times New Roman"/>
                <w:color w:val="auto"/>
              </w:rPr>
            </w:pPr>
          </w:p>
        </w:tc>
        <w:tc>
          <w:tcPr>
            <w:tcW w:w="905" w:type="pct"/>
            <w:noWrap w:val="0"/>
            <w:vAlign w:val="center"/>
          </w:tcPr>
          <w:p w14:paraId="21C01627">
            <w:pPr>
              <w:pStyle w:val="56"/>
              <w:keepNext w:val="0"/>
              <w:keepLines w:val="0"/>
              <w:suppressLineNumbers w:val="0"/>
              <w:bidi w:val="0"/>
              <w:spacing w:before="0" w:beforeAutospacing="0" w:after="0" w:afterAutospacing="0"/>
              <w:ind w:left="0" w:leftChars="0" w:right="0" w:rightChars="0" w:firstLine="0" w:firstLineChars="0"/>
              <w:jc w:val="center"/>
              <w:rPr>
                <w:rFonts w:hint="default" w:cs="Times New Roman"/>
                <w:color w:val="auto"/>
                <w:lang w:val="en-US" w:eastAsia="zh-CN"/>
              </w:rPr>
            </w:pPr>
            <w:r>
              <w:rPr>
                <w:rFonts w:hint="default" w:cs="Times New Roman"/>
                <w:color w:val="auto"/>
                <w:lang w:val="en-US" w:eastAsia="zh-CN"/>
              </w:rPr>
              <w:t>水泥筒库顶呼吸孔粉尘</w:t>
            </w:r>
          </w:p>
        </w:tc>
        <w:tc>
          <w:tcPr>
            <w:tcW w:w="642" w:type="pct"/>
            <w:noWrap w:val="0"/>
            <w:vAlign w:val="center"/>
          </w:tcPr>
          <w:p w14:paraId="68E69CD2">
            <w:pPr>
              <w:pStyle w:val="56"/>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颗粒物</w:t>
            </w:r>
          </w:p>
        </w:tc>
        <w:tc>
          <w:tcPr>
            <w:tcW w:w="1442" w:type="pct"/>
            <w:noWrap w:val="0"/>
            <w:vAlign w:val="center"/>
          </w:tcPr>
          <w:p w14:paraId="72F0BBE7">
            <w:pPr>
              <w:pStyle w:val="56"/>
              <w:keepNext w:val="0"/>
              <w:keepLines w:val="0"/>
              <w:suppressLineNumbers w:val="0"/>
              <w:bidi w:val="0"/>
              <w:spacing w:before="0" w:beforeAutospacing="0" w:after="0" w:afterAutospacing="0"/>
              <w:ind w:left="0" w:leftChars="0" w:right="0" w:rightChars="0" w:firstLine="0" w:firstLineChars="0"/>
              <w:jc w:val="center"/>
              <w:rPr>
                <w:rFonts w:hint="default" w:cs="Times New Roman"/>
                <w:color w:val="auto"/>
              </w:rPr>
            </w:pPr>
            <w:r>
              <w:rPr>
                <w:rFonts w:hint="eastAsia"/>
                <w:color w:val="auto"/>
                <w:kern w:val="0"/>
                <w:sz w:val="21"/>
                <w:szCs w:val="21"/>
                <w:lang w:val="en-US" w:eastAsia="zh-CN"/>
              </w:rPr>
              <w:t>自带高效袋式除尘设备处理后无组织排放（排口高度5米）</w:t>
            </w:r>
          </w:p>
        </w:tc>
        <w:tc>
          <w:tcPr>
            <w:tcW w:w="1232" w:type="pct"/>
            <w:vMerge w:val="restart"/>
            <w:noWrap w:val="0"/>
            <w:vAlign w:val="center"/>
          </w:tcPr>
          <w:p w14:paraId="7521933C">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lang w:val="en-US" w:eastAsia="zh-CN"/>
              </w:rPr>
              <w:t>颗粒物排放执行《水泥工业大气污染物排放标准》（GB 4915-2013）</w:t>
            </w:r>
            <w:r>
              <w:rPr>
                <w:rFonts w:hint="eastAsia" w:cs="Times New Roman"/>
                <w:color w:val="auto"/>
                <w:lang w:val="en-US" w:eastAsia="zh-CN"/>
              </w:rPr>
              <w:t>；氟化物执行《大气污染物综合排放标准》（GB 16297-1996）</w:t>
            </w:r>
          </w:p>
        </w:tc>
      </w:tr>
      <w:tr w14:paraId="218B7B6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5" w:hRule="atLeast"/>
          <w:jc w:val="center"/>
        </w:trPr>
        <w:tc>
          <w:tcPr>
            <w:tcW w:w="777" w:type="pct"/>
            <w:vMerge w:val="continue"/>
            <w:noWrap w:val="0"/>
            <w:vAlign w:val="center"/>
          </w:tcPr>
          <w:p w14:paraId="04126449">
            <w:pPr>
              <w:pStyle w:val="56"/>
              <w:keepNext w:val="0"/>
              <w:keepLines w:val="0"/>
              <w:suppressLineNumbers w:val="0"/>
              <w:bidi w:val="0"/>
              <w:spacing w:before="0" w:beforeAutospacing="0" w:after="0" w:afterAutospacing="0"/>
              <w:ind w:left="0" w:right="0"/>
              <w:outlineLvl w:val="9"/>
              <w:rPr>
                <w:rFonts w:hint="default" w:cs="Times New Roman"/>
                <w:color w:val="auto"/>
              </w:rPr>
            </w:pPr>
          </w:p>
        </w:tc>
        <w:tc>
          <w:tcPr>
            <w:tcW w:w="905" w:type="pct"/>
            <w:noWrap w:val="0"/>
            <w:vAlign w:val="center"/>
          </w:tcPr>
          <w:p w14:paraId="5DC46D94">
            <w:pPr>
              <w:pStyle w:val="56"/>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rPr>
              <w:t>生产车间</w:t>
            </w:r>
          </w:p>
        </w:tc>
        <w:tc>
          <w:tcPr>
            <w:tcW w:w="642" w:type="pct"/>
            <w:noWrap w:val="0"/>
            <w:vAlign w:val="center"/>
          </w:tcPr>
          <w:p w14:paraId="2D75CF95">
            <w:pPr>
              <w:pStyle w:val="56"/>
              <w:keepNext w:val="0"/>
              <w:keepLines w:val="0"/>
              <w:suppressLineNumbers w:val="0"/>
              <w:bidi w:val="0"/>
              <w:spacing w:before="0" w:beforeAutospacing="0" w:after="0" w:afterAutospacing="0"/>
              <w:ind w:left="0" w:right="0"/>
              <w:rPr>
                <w:rFonts w:hint="eastAsia" w:eastAsia="宋体" w:cs="Times New Roman"/>
                <w:color w:val="auto"/>
                <w:lang w:eastAsia="zh-CN"/>
              </w:rPr>
            </w:pPr>
            <w:r>
              <w:rPr>
                <w:rFonts w:hint="default" w:cs="Times New Roman"/>
                <w:color w:val="auto"/>
              </w:rPr>
              <w:t>颗粒物</w:t>
            </w:r>
            <w:r>
              <w:rPr>
                <w:rFonts w:hint="eastAsia" w:cs="Times New Roman"/>
                <w:color w:val="auto"/>
                <w:lang w:eastAsia="zh-CN"/>
              </w:rPr>
              <w:t>、</w:t>
            </w:r>
            <w:r>
              <w:rPr>
                <w:rFonts w:hint="eastAsia" w:cs="Times New Roman"/>
                <w:color w:val="auto"/>
                <w:lang w:val="en-US" w:eastAsia="zh-CN"/>
              </w:rPr>
              <w:t>氟化物</w:t>
            </w:r>
          </w:p>
        </w:tc>
        <w:tc>
          <w:tcPr>
            <w:tcW w:w="1442" w:type="pct"/>
            <w:noWrap w:val="0"/>
            <w:vAlign w:val="center"/>
          </w:tcPr>
          <w:p w14:paraId="24FBDCB7">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default" w:cs="Times New Roman"/>
                <w:color w:val="auto"/>
              </w:rPr>
              <w:t>通风</w:t>
            </w:r>
            <w:r>
              <w:rPr>
                <w:rFonts w:hint="eastAsia" w:cs="Times New Roman"/>
                <w:color w:val="auto"/>
                <w:lang w:eastAsia="zh-CN"/>
              </w:rPr>
              <w:t>、</w:t>
            </w:r>
            <w:r>
              <w:rPr>
                <w:rFonts w:hint="eastAsia" w:cs="Times New Roman"/>
                <w:color w:val="auto"/>
                <w:lang w:val="en-US" w:eastAsia="zh-CN"/>
              </w:rPr>
              <w:t>洒水、自然沉降</w:t>
            </w:r>
          </w:p>
        </w:tc>
        <w:tc>
          <w:tcPr>
            <w:tcW w:w="1232" w:type="pct"/>
            <w:vMerge w:val="continue"/>
            <w:noWrap w:val="0"/>
            <w:vAlign w:val="center"/>
          </w:tcPr>
          <w:p w14:paraId="6B42202F">
            <w:pPr>
              <w:pStyle w:val="56"/>
              <w:keepNext w:val="0"/>
              <w:keepLines w:val="0"/>
              <w:suppressLineNumbers w:val="0"/>
              <w:bidi w:val="0"/>
              <w:spacing w:before="0" w:beforeAutospacing="0" w:after="0" w:afterAutospacing="0"/>
              <w:ind w:left="0" w:right="0"/>
              <w:rPr>
                <w:rFonts w:hint="default" w:cs="Times New Roman"/>
                <w:color w:val="auto"/>
              </w:rPr>
            </w:pPr>
          </w:p>
        </w:tc>
      </w:tr>
      <w:tr w14:paraId="3FA19FF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71" w:hRule="atLeast"/>
          <w:jc w:val="center"/>
        </w:trPr>
        <w:tc>
          <w:tcPr>
            <w:tcW w:w="777" w:type="pct"/>
            <w:vMerge w:val="restart"/>
            <w:noWrap w:val="0"/>
            <w:vAlign w:val="center"/>
          </w:tcPr>
          <w:p w14:paraId="6A633B52">
            <w:pPr>
              <w:pStyle w:val="56"/>
              <w:keepNext w:val="0"/>
              <w:keepLines w:val="0"/>
              <w:suppressLineNumbers w:val="0"/>
              <w:bidi w:val="0"/>
              <w:spacing w:before="0" w:beforeAutospacing="0" w:after="0" w:afterAutospacing="0"/>
              <w:ind w:left="0" w:right="0"/>
              <w:outlineLvl w:val="9"/>
              <w:rPr>
                <w:rFonts w:hint="default" w:cs="Times New Roman"/>
                <w:color w:val="auto"/>
              </w:rPr>
            </w:pPr>
            <w:r>
              <w:rPr>
                <w:rFonts w:hint="default" w:cs="Times New Roman"/>
                <w:color w:val="auto"/>
              </w:rPr>
              <w:t>地表水环境</w:t>
            </w:r>
          </w:p>
        </w:tc>
        <w:tc>
          <w:tcPr>
            <w:tcW w:w="905" w:type="pct"/>
            <w:noWrap w:val="0"/>
            <w:vAlign w:val="center"/>
          </w:tcPr>
          <w:p w14:paraId="6C5DD23A">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生活污水</w:t>
            </w:r>
          </w:p>
        </w:tc>
        <w:tc>
          <w:tcPr>
            <w:tcW w:w="642" w:type="pct"/>
            <w:noWrap w:val="0"/>
            <w:vAlign w:val="center"/>
          </w:tcPr>
          <w:p w14:paraId="12F95C20">
            <w:pPr>
              <w:pStyle w:val="56"/>
              <w:keepNext w:val="0"/>
              <w:keepLines w:val="0"/>
              <w:suppressLineNumbers w:val="0"/>
              <w:bidi w:val="0"/>
              <w:spacing w:before="0" w:beforeAutospacing="0" w:after="0" w:afterAutospacing="0"/>
              <w:ind w:left="0" w:right="0" w:firstLine="0" w:firstLineChars="0"/>
              <w:rPr>
                <w:rFonts w:hint="eastAsia" w:cs="Times New Roman"/>
                <w:color w:val="auto"/>
              </w:rPr>
            </w:pPr>
            <w:r>
              <w:rPr>
                <w:rFonts w:hint="default" w:cs="Times New Roman"/>
                <w:color w:val="auto"/>
              </w:rPr>
              <w:t>COD</w:t>
            </w:r>
            <w:r>
              <w:rPr>
                <w:rFonts w:hint="eastAsia" w:cs="Times New Roman"/>
                <w:color w:val="auto"/>
                <w:lang w:eastAsia="zh-CN"/>
              </w:rPr>
              <w:t>、</w:t>
            </w:r>
            <w:r>
              <w:rPr>
                <w:rFonts w:hint="default" w:cs="Times New Roman"/>
                <w:color w:val="auto"/>
              </w:rPr>
              <w:t>NH</w:t>
            </w:r>
            <w:r>
              <w:rPr>
                <w:rFonts w:hint="default" w:cs="Times New Roman"/>
                <w:color w:val="auto"/>
                <w:vertAlign w:val="subscript"/>
              </w:rPr>
              <w:t>3</w:t>
            </w:r>
            <w:r>
              <w:rPr>
                <w:rFonts w:hint="default" w:cs="Times New Roman"/>
                <w:color w:val="auto"/>
              </w:rPr>
              <w:t>-N</w:t>
            </w:r>
            <w:r>
              <w:rPr>
                <w:rFonts w:hint="eastAsia" w:cs="Times New Roman"/>
                <w:color w:val="auto"/>
                <w:lang w:eastAsia="zh-CN"/>
              </w:rPr>
              <w:t>、</w:t>
            </w:r>
            <w:r>
              <w:rPr>
                <w:rFonts w:hint="default" w:cs="Times New Roman"/>
                <w:color w:val="auto"/>
              </w:rPr>
              <w:t>TP</w:t>
            </w:r>
            <w:r>
              <w:rPr>
                <w:rFonts w:hint="eastAsia" w:cs="Times New Roman"/>
                <w:color w:val="auto"/>
                <w:lang w:eastAsia="zh-CN"/>
              </w:rPr>
              <w:t>、</w:t>
            </w:r>
            <w:r>
              <w:rPr>
                <w:rFonts w:hint="default" w:cs="Times New Roman"/>
                <w:color w:val="auto"/>
              </w:rPr>
              <w:t>TN</w:t>
            </w:r>
            <w:r>
              <w:rPr>
                <w:rFonts w:hint="eastAsia" w:cs="Times New Roman"/>
                <w:color w:val="auto"/>
                <w:lang w:eastAsia="zh-CN"/>
              </w:rPr>
              <w:t>、</w:t>
            </w:r>
            <w:r>
              <w:rPr>
                <w:rFonts w:hint="default" w:cs="Times New Roman"/>
                <w:color w:val="auto"/>
              </w:rPr>
              <w:t>SS</w:t>
            </w:r>
            <w:r>
              <w:rPr>
                <w:rFonts w:hint="eastAsia" w:cs="Times New Roman"/>
                <w:color w:val="auto"/>
                <w:lang w:eastAsia="zh-CN"/>
              </w:rPr>
              <w:t>、</w:t>
            </w:r>
            <w:r>
              <w:rPr>
                <w:rFonts w:hint="default" w:cs="Times New Roman"/>
                <w:color w:val="auto"/>
              </w:rPr>
              <w:t>BOD</w:t>
            </w:r>
            <w:r>
              <w:rPr>
                <w:rFonts w:hint="default" w:cs="Times New Roman"/>
                <w:color w:val="auto"/>
                <w:vertAlign w:val="subscript"/>
              </w:rPr>
              <w:t>5</w:t>
            </w:r>
          </w:p>
        </w:tc>
        <w:tc>
          <w:tcPr>
            <w:tcW w:w="1442" w:type="pct"/>
            <w:noWrap w:val="0"/>
            <w:vAlign w:val="center"/>
          </w:tcPr>
          <w:p w14:paraId="07D80B2D">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经化粪池经预处理后排入管网由建筑陶瓷产业园污水处理厂进一步处理</w:t>
            </w:r>
          </w:p>
        </w:tc>
        <w:tc>
          <w:tcPr>
            <w:tcW w:w="1232" w:type="pct"/>
            <w:noWrap w:val="0"/>
            <w:vAlign w:val="center"/>
          </w:tcPr>
          <w:p w14:paraId="5BA65349">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建筑陶瓷产业园污水处理厂接管标准</w:t>
            </w:r>
          </w:p>
        </w:tc>
      </w:tr>
      <w:tr w14:paraId="5C08253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85" w:hRule="atLeast"/>
          <w:jc w:val="center"/>
        </w:trPr>
        <w:tc>
          <w:tcPr>
            <w:tcW w:w="777" w:type="pct"/>
            <w:vMerge w:val="continue"/>
            <w:noWrap w:val="0"/>
            <w:vAlign w:val="center"/>
          </w:tcPr>
          <w:p w14:paraId="27051C99">
            <w:pPr>
              <w:pStyle w:val="56"/>
              <w:keepNext w:val="0"/>
              <w:keepLines w:val="0"/>
              <w:suppressLineNumbers w:val="0"/>
              <w:bidi w:val="0"/>
              <w:spacing w:before="0" w:beforeAutospacing="0" w:after="0" w:afterAutospacing="0"/>
              <w:ind w:left="0" w:right="0"/>
              <w:outlineLvl w:val="9"/>
              <w:rPr>
                <w:rFonts w:hint="default" w:cs="Times New Roman"/>
                <w:color w:val="auto"/>
              </w:rPr>
            </w:pPr>
          </w:p>
        </w:tc>
        <w:tc>
          <w:tcPr>
            <w:tcW w:w="905" w:type="pct"/>
            <w:noWrap w:val="0"/>
            <w:vAlign w:val="center"/>
          </w:tcPr>
          <w:p w14:paraId="115575CF">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运输车辆冲洗废水、</w:t>
            </w:r>
            <w:r>
              <w:rPr>
                <w:rFonts w:hint="eastAsia"/>
                <w:color w:val="auto"/>
                <w:kern w:val="0"/>
                <w:sz w:val="21"/>
                <w:szCs w:val="21"/>
                <w:lang w:val="en-US" w:eastAsia="zh-CN"/>
              </w:rPr>
              <w:t>设备清洗与地面清洗用水</w:t>
            </w:r>
          </w:p>
        </w:tc>
        <w:tc>
          <w:tcPr>
            <w:tcW w:w="642" w:type="pct"/>
            <w:noWrap w:val="0"/>
            <w:vAlign w:val="center"/>
          </w:tcPr>
          <w:p w14:paraId="47A0BABE">
            <w:pPr>
              <w:pStyle w:val="56"/>
              <w:keepNext w:val="0"/>
              <w:keepLines w:val="0"/>
              <w:suppressLineNumbers w:val="0"/>
              <w:bidi w:val="0"/>
              <w:spacing w:before="0" w:beforeAutospacing="0" w:after="0" w:afterAutospacing="0"/>
              <w:ind w:left="0" w:right="0" w:firstLine="0" w:firstLineChars="0"/>
              <w:rPr>
                <w:rFonts w:hint="eastAsia" w:eastAsia="宋体" w:cs="Times New Roman"/>
                <w:color w:val="auto"/>
                <w:lang w:val="en-US" w:eastAsia="zh-CN"/>
              </w:rPr>
            </w:pPr>
            <w:r>
              <w:rPr>
                <w:rFonts w:hint="eastAsia" w:cs="Times New Roman"/>
                <w:color w:val="auto"/>
                <w:lang w:val="en-US" w:eastAsia="zh-CN"/>
              </w:rPr>
              <w:t>SS</w:t>
            </w:r>
          </w:p>
        </w:tc>
        <w:tc>
          <w:tcPr>
            <w:tcW w:w="1442" w:type="pct"/>
            <w:noWrap w:val="0"/>
            <w:vAlign w:val="center"/>
          </w:tcPr>
          <w:p w14:paraId="1CFE0EA4">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lang w:val="en-US" w:eastAsia="zh-CN"/>
              </w:rPr>
              <w:t>运输车辆冲洗废水收集后经沉淀池处理后回用于运输车辆冲洗。</w:t>
            </w:r>
          </w:p>
        </w:tc>
        <w:tc>
          <w:tcPr>
            <w:tcW w:w="1232" w:type="pct"/>
            <w:noWrap w:val="0"/>
            <w:vAlign w:val="center"/>
          </w:tcPr>
          <w:p w14:paraId="4EE84F9A">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《城市污水再生利用工业用水水质》（GB/T19923-2024)</w:t>
            </w:r>
          </w:p>
        </w:tc>
      </w:tr>
      <w:tr w14:paraId="635DA5E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85" w:hRule="atLeast"/>
          <w:jc w:val="center"/>
        </w:trPr>
        <w:tc>
          <w:tcPr>
            <w:tcW w:w="777" w:type="pct"/>
            <w:vMerge w:val="continue"/>
            <w:noWrap w:val="0"/>
            <w:vAlign w:val="center"/>
          </w:tcPr>
          <w:p w14:paraId="51F3EEF8">
            <w:pPr>
              <w:pStyle w:val="56"/>
              <w:keepNext w:val="0"/>
              <w:keepLines w:val="0"/>
              <w:suppressLineNumbers w:val="0"/>
              <w:bidi w:val="0"/>
              <w:spacing w:before="0" w:beforeAutospacing="0" w:after="0" w:afterAutospacing="0"/>
              <w:ind w:left="0" w:right="0"/>
              <w:outlineLvl w:val="9"/>
              <w:rPr>
                <w:rFonts w:hint="default" w:cs="Times New Roman"/>
                <w:color w:val="auto"/>
              </w:rPr>
            </w:pPr>
          </w:p>
        </w:tc>
        <w:tc>
          <w:tcPr>
            <w:tcW w:w="905" w:type="pct"/>
            <w:noWrap w:val="0"/>
            <w:vAlign w:val="center"/>
          </w:tcPr>
          <w:p w14:paraId="3FAE0757">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初期雨水</w:t>
            </w:r>
          </w:p>
        </w:tc>
        <w:tc>
          <w:tcPr>
            <w:tcW w:w="642" w:type="pct"/>
            <w:noWrap w:val="0"/>
            <w:vAlign w:val="center"/>
          </w:tcPr>
          <w:p w14:paraId="57D2DD94">
            <w:pPr>
              <w:pStyle w:val="56"/>
              <w:keepNext w:val="0"/>
              <w:keepLines w:val="0"/>
              <w:suppressLineNumbers w:val="0"/>
              <w:bidi w:val="0"/>
              <w:spacing w:before="0" w:beforeAutospacing="0" w:after="0" w:afterAutospacing="0"/>
              <w:ind w:left="0" w:right="0" w:firstLine="0" w:firstLineChars="0"/>
              <w:rPr>
                <w:rFonts w:hint="default" w:cs="Times New Roman"/>
                <w:color w:val="auto"/>
                <w:lang w:val="en-US" w:eastAsia="zh-CN"/>
              </w:rPr>
            </w:pPr>
            <w:r>
              <w:rPr>
                <w:rFonts w:hint="eastAsia" w:cs="Times New Roman"/>
                <w:color w:val="auto"/>
                <w:lang w:val="en-US" w:eastAsia="zh-CN"/>
              </w:rPr>
              <w:t>SS</w:t>
            </w:r>
          </w:p>
        </w:tc>
        <w:tc>
          <w:tcPr>
            <w:tcW w:w="1442" w:type="pct"/>
            <w:noWrap w:val="0"/>
            <w:vAlign w:val="center"/>
          </w:tcPr>
          <w:p w14:paraId="0D412AC0">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沉淀处理</w:t>
            </w:r>
          </w:p>
        </w:tc>
        <w:tc>
          <w:tcPr>
            <w:tcW w:w="1232" w:type="pct"/>
            <w:noWrap w:val="0"/>
            <w:vAlign w:val="center"/>
          </w:tcPr>
          <w:p w14:paraId="60B76DE5">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w:t>
            </w:r>
          </w:p>
        </w:tc>
      </w:tr>
      <w:tr w14:paraId="0E29047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99" w:hRule="atLeast"/>
          <w:jc w:val="center"/>
        </w:trPr>
        <w:tc>
          <w:tcPr>
            <w:tcW w:w="777" w:type="pct"/>
            <w:noWrap w:val="0"/>
            <w:vAlign w:val="center"/>
          </w:tcPr>
          <w:p w14:paraId="44467FB2">
            <w:pPr>
              <w:pStyle w:val="56"/>
              <w:keepNext w:val="0"/>
              <w:keepLines w:val="0"/>
              <w:suppressLineNumbers w:val="0"/>
              <w:bidi w:val="0"/>
              <w:spacing w:before="0" w:beforeAutospacing="0" w:after="0" w:afterAutospacing="0"/>
              <w:ind w:left="0" w:right="0"/>
              <w:outlineLvl w:val="9"/>
              <w:rPr>
                <w:rFonts w:hint="default" w:cs="Times New Roman"/>
                <w:color w:val="auto"/>
              </w:rPr>
            </w:pPr>
            <w:r>
              <w:rPr>
                <w:rFonts w:hint="default" w:cs="Times New Roman"/>
                <w:color w:val="auto"/>
              </w:rPr>
              <w:t>声环境</w:t>
            </w:r>
          </w:p>
        </w:tc>
        <w:tc>
          <w:tcPr>
            <w:tcW w:w="905" w:type="pct"/>
            <w:noWrap w:val="0"/>
            <w:vAlign w:val="center"/>
          </w:tcPr>
          <w:p w14:paraId="507EE388">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rPr>
              <w:t>生产</w:t>
            </w:r>
            <w:r>
              <w:rPr>
                <w:rFonts w:hint="default" w:cs="Times New Roman"/>
                <w:color w:val="auto"/>
              </w:rPr>
              <w:t>车间</w:t>
            </w:r>
          </w:p>
        </w:tc>
        <w:tc>
          <w:tcPr>
            <w:tcW w:w="642" w:type="pct"/>
            <w:noWrap w:val="0"/>
            <w:vAlign w:val="center"/>
          </w:tcPr>
          <w:p w14:paraId="56198B32">
            <w:pPr>
              <w:pStyle w:val="56"/>
              <w:keepNext w:val="0"/>
              <w:keepLines w:val="0"/>
              <w:suppressLineNumbers w:val="0"/>
              <w:bidi w:val="0"/>
              <w:spacing w:before="0" w:beforeAutospacing="0" w:after="0" w:afterAutospacing="0"/>
              <w:ind w:left="0" w:right="0"/>
              <w:rPr>
                <w:rFonts w:hint="eastAsia" w:cs="Times New Roman"/>
                <w:color w:val="auto"/>
                <w:lang w:val="en-US" w:eastAsia="zh-CN"/>
              </w:rPr>
            </w:pPr>
            <w:r>
              <w:rPr>
                <w:rFonts w:hint="eastAsia" w:cs="Times New Roman"/>
                <w:color w:val="auto"/>
              </w:rPr>
              <w:t>噪声</w:t>
            </w:r>
          </w:p>
        </w:tc>
        <w:tc>
          <w:tcPr>
            <w:tcW w:w="1442" w:type="pct"/>
            <w:noWrap w:val="0"/>
            <w:vAlign w:val="center"/>
          </w:tcPr>
          <w:p w14:paraId="301CC190">
            <w:pPr>
              <w:pStyle w:val="56"/>
              <w:keepNext w:val="0"/>
              <w:keepLines w:val="0"/>
              <w:suppressLineNumbers w:val="0"/>
              <w:bidi w:val="0"/>
              <w:spacing w:before="0" w:beforeAutospacing="0" w:after="0" w:afterAutospacing="0"/>
              <w:ind w:left="0" w:right="0"/>
              <w:rPr>
                <w:rFonts w:hint="eastAsia" w:cs="Times New Roman"/>
                <w:color w:val="auto"/>
              </w:rPr>
            </w:pPr>
            <w:r>
              <w:rPr>
                <w:rFonts w:hint="eastAsia" w:cs="Times New Roman"/>
                <w:color w:val="auto"/>
              </w:rPr>
              <w:t>音罩+吸声棉+底座减振弹性垫+</w:t>
            </w:r>
            <w:r>
              <w:rPr>
                <w:rFonts w:hint="default" w:cs="Times New Roman"/>
                <w:color w:val="auto"/>
              </w:rPr>
              <w:t>车间墙体门窗阻隔</w:t>
            </w:r>
          </w:p>
        </w:tc>
        <w:tc>
          <w:tcPr>
            <w:tcW w:w="1232" w:type="pct"/>
            <w:noWrap w:val="0"/>
            <w:vAlign w:val="center"/>
          </w:tcPr>
          <w:p w14:paraId="1B2C7728">
            <w:pPr>
              <w:pStyle w:val="56"/>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rPr>
              <w:t>《工业企业厂界环境噪声排放标准》（GB12348-2008）</w:t>
            </w:r>
            <w:r>
              <w:rPr>
                <w:rFonts w:hint="eastAsia" w:cs="Times New Roman"/>
                <w:color w:val="auto"/>
                <w:lang w:val="en-US" w:eastAsia="zh-CN"/>
              </w:rPr>
              <w:t>3</w:t>
            </w:r>
            <w:r>
              <w:rPr>
                <w:rFonts w:hint="eastAsia" w:cs="Times New Roman"/>
                <w:color w:val="auto"/>
              </w:rPr>
              <w:t>类功能区标准</w:t>
            </w:r>
          </w:p>
        </w:tc>
      </w:tr>
      <w:tr w14:paraId="6817D31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95" w:hRule="atLeast"/>
          <w:jc w:val="center"/>
        </w:trPr>
        <w:tc>
          <w:tcPr>
            <w:tcW w:w="777" w:type="pct"/>
            <w:noWrap w:val="0"/>
            <w:vAlign w:val="center"/>
          </w:tcPr>
          <w:p w14:paraId="0C8137A4">
            <w:pPr>
              <w:pStyle w:val="56"/>
              <w:keepNext w:val="0"/>
              <w:keepLines w:val="0"/>
              <w:suppressLineNumbers w:val="0"/>
              <w:bidi w:val="0"/>
              <w:spacing w:before="0" w:beforeAutospacing="0" w:after="0" w:afterAutospacing="0"/>
              <w:ind w:left="0" w:right="0"/>
              <w:outlineLvl w:val="9"/>
              <w:rPr>
                <w:rFonts w:hint="default" w:cs="Times New Roman"/>
                <w:color w:val="auto"/>
              </w:rPr>
            </w:pPr>
            <w:r>
              <w:rPr>
                <w:rFonts w:hint="default" w:cs="Times New Roman"/>
                <w:color w:val="auto"/>
              </w:rPr>
              <w:t>电磁辐射</w:t>
            </w:r>
          </w:p>
        </w:tc>
        <w:tc>
          <w:tcPr>
            <w:tcW w:w="905" w:type="pct"/>
            <w:noWrap w:val="0"/>
            <w:vAlign w:val="center"/>
          </w:tcPr>
          <w:p w14:paraId="1BBD9541">
            <w:pPr>
              <w:pStyle w:val="56"/>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rPr>
              <w:t>/</w:t>
            </w:r>
          </w:p>
        </w:tc>
        <w:tc>
          <w:tcPr>
            <w:tcW w:w="642" w:type="pct"/>
            <w:noWrap w:val="0"/>
            <w:vAlign w:val="center"/>
          </w:tcPr>
          <w:p w14:paraId="7AA74BBA">
            <w:pPr>
              <w:pStyle w:val="56"/>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rPr>
              <w:t>/</w:t>
            </w:r>
          </w:p>
        </w:tc>
        <w:tc>
          <w:tcPr>
            <w:tcW w:w="1442" w:type="pct"/>
            <w:noWrap w:val="0"/>
            <w:vAlign w:val="center"/>
          </w:tcPr>
          <w:p w14:paraId="601150F0">
            <w:pPr>
              <w:pStyle w:val="56"/>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rPr>
              <w:t>/</w:t>
            </w:r>
          </w:p>
        </w:tc>
        <w:tc>
          <w:tcPr>
            <w:tcW w:w="1232" w:type="pct"/>
            <w:noWrap w:val="0"/>
            <w:vAlign w:val="center"/>
          </w:tcPr>
          <w:p w14:paraId="762C9560">
            <w:pPr>
              <w:pStyle w:val="56"/>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rPr>
              <w:t>/</w:t>
            </w:r>
          </w:p>
        </w:tc>
      </w:tr>
      <w:tr w14:paraId="7F338A2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777" w:type="pct"/>
            <w:noWrap w:val="0"/>
            <w:vAlign w:val="center"/>
          </w:tcPr>
          <w:p w14:paraId="7C10F0F0">
            <w:pPr>
              <w:pStyle w:val="56"/>
              <w:keepNext w:val="0"/>
              <w:keepLines w:val="0"/>
              <w:suppressLineNumbers w:val="0"/>
              <w:bidi w:val="0"/>
              <w:spacing w:before="0" w:beforeAutospacing="0" w:after="0" w:afterAutospacing="0"/>
              <w:ind w:left="0" w:right="0"/>
              <w:outlineLvl w:val="9"/>
              <w:rPr>
                <w:rFonts w:hint="default" w:cs="Times New Roman"/>
                <w:color w:val="auto"/>
              </w:rPr>
            </w:pPr>
            <w:r>
              <w:rPr>
                <w:rFonts w:hint="default" w:cs="Times New Roman"/>
                <w:color w:val="auto"/>
              </w:rPr>
              <w:t>固体废物</w:t>
            </w:r>
          </w:p>
        </w:tc>
        <w:tc>
          <w:tcPr>
            <w:tcW w:w="4222" w:type="pct"/>
            <w:gridSpan w:val="4"/>
            <w:noWrap w:val="0"/>
            <w:vAlign w:val="center"/>
          </w:tcPr>
          <w:p w14:paraId="0D9CEA3D">
            <w:pPr>
              <w:pStyle w:val="56"/>
              <w:keepNext w:val="0"/>
              <w:keepLines w:val="0"/>
              <w:suppressLineNumbers w:val="0"/>
              <w:bidi w:val="0"/>
              <w:spacing w:before="0" w:beforeAutospacing="0" w:after="0" w:afterAutospacing="0"/>
              <w:ind w:left="0" w:right="0"/>
              <w:rPr>
                <w:rFonts w:hint="eastAsia" w:cs="Times New Roman"/>
                <w:color w:val="auto"/>
                <w:sz w:val="21"/>
                <w:szCs w:val="21"/>
              </w:rPr>
            </w:pPr>
            <w:r>
              <w:rPr>
                <w:rFonts w:hint="default" w:cs="Times New Roman"/>
                <w:color w:val="auto"/>
                <w:sz w:val="21"/>
                <w:szCs w:val="21"/>
                <w:lang w:val="en-US" w:eastAsia="zh-CN"/>
              </w:rPr>
              <w:t>设置一般固废暂存区，面积为</w:t>
            </w:r>
            <w:r>
              <w:rPr>
                <w:rFonts w:hint="default" w:ascii="Times New Roman" w:hAnsi="Times New Roman" w:cs="Times New Roman"/>
                <w:color w:val="auto"/>
                <w:sz w:val="21"/>
                <w:szCs w:val="21"/>
                <w:lang w:val="en-US" w:eastAsia="zh-CN"/>
              </w:rPr>
              <w:t>50㎡；危险废物暂存区，面积为10㎡。</w:t>
            </w:r>
          </w:p>
        </w:tc>
      </w:tr>
      <w:tr w14:paraId="4FBC163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03" w:hRule="atLeast"/>
          <w:jc w:val="center"/>
        </w:trPr>
        <w:tc>
          <w:tcPr>
            <w:tcW w:w="777" w:type="pct"/>
            <w:noWrap w:val="0"/>
            <w:vAlign w:val="center"/>
          </w:tcPr>
          <w:p w14:paraId="2F24F549">
            <w:pPr>
              <w:pStyle w:val="56"/>
              <w:keepNext w:val="0"/>
              <w:keepLines w:val="0"/>
              <w:suppressLineNumbers w:val="0"/>
              <w:bidi w:val="0"/>
              <w:spacing w:before="0" w:beforeAutospacing="0" w:after="0" w:afterAutospacing="0"/>
              <w:ind w:left="0" w:right="0"/>
              <w:outlineLvl w:val="9"/>
              <w:rPr>
                <w:rFonts w:hint="default" w:cs="Times New Roman"/>
                <w:color w:val="auto"/>
              </w:rPr>
            </w:pPr>
            <w:r>
              <w:rPr>
                <w:rFonts w:hint="default" w:cs="Times New Roman"/>
                <w:color w:val="auto"/>
              </w:rPr>
              <w:t>土壤及地下水污染防治措施</w:t>
            </w:r>
          </w:p>
        </w:tc>
        <w:tc>
          <w:tcPr>
            <w:tcW w:w="4222" w:type="pct"/>
            <w:gridSpan w:val="4"/>
            <w:noWrap w:val="0"/>
            <w:vAlign w:val="center"/>
          </w:tcPr>
          <w:p w14:paraId="555851F5">
            <w:pPr>
              <w:pStyle w:val="56"/>
              <w:keepNext w:val="0"/>
              <w:keepLines w:val="0"/>
              <w:suppressLineNumbers w:val="0"/>
              <w:bidi w:val="0"/>
              <w:spacing w:before="0" w:beforeAutospacing="0" w:after="0" w:afterAutospacing="0"/>
              <w:ind w:left="0" w:right="0"/>
              <w:jc w:val="left"/>
              <w:rPr>
                <w:rFonts w:hint="eastAsia" w:cs="Times New Roman"/>
                <w:color w:val="auto"/>
                <w:sz w:val="21"/>
                <w:szCs w:val="21"/>
              </w:rPr>
            </w:pPr>
            <w:r>
              <w:rPr>
                <w:rFonts w:hint="eastAsia" w:cs="Times New Roman"/>
                <w:color w:val="auto"/>
                <w:sz w:val="21"/>
                <w:szCs w:val="21"/>
              </w:rPr>
              <w:t>加强管理，防止污染物的跑、冒、滴、漏。</w:t>
            </w:r>
            <w:r>
              <w:rPr>
                <w:rFonts w:hint="eastAsia" w:cs="Times New Roman"/>
                <w:color w:val="auto"/>
                <w:sz w:val="21"/>
                <w:szCs w:val="21"/>
                <w:lang w:val="en-US" w:eastAsia="zh-CN"/>
              </w:rPr>
              <w:t>按报告要求落实分区防渗</w:t>
            </w:r>
            <w:r>
              <w:rPr>
                <w:rFonts w:hint="default" w:cs="Times New Roman"/>
                <w:color w:val="auto"/>
                <w:sz w:val="21"/>
                <w:szCs w:val="21"/>
              </w:rPr>
              <w:t>。</w:t>
            </w:r>
          </w:p>
        </w:tc>
      </w:tr>
      <w:tr w14:paraId="1A93629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04" w:hRule="atLeast"/>
          <w:jc w:val="center"/>
        </w:trPr>
        <w:tc>
          <w:tcPr>
            <w:tcW w:w="777" w:type="pct"/>
            <w:noWrap w:val="0"/>
            <w:vAlign w:val="center"/>
          </w:tcPr>
          <w:p w14:paraId="6E1CA11D">
            <w:pPr>
              <w:pStyle w:val="56"/>
              <w:keepNext w:val="0"/>
              <w:keepLines w:val="0"/>
              <w:suppressLineNumbers w:val="0"/>
              <w:bidi w:val="0"/>
              <w:spacing w:before="0" w:beforeAutospacing="0" w:after="0" w:afterAutospacing="0"/>
              <w:ind w:left="0" w:right="0"/>
              <w:outlineLvl w:val="9"/>
              <w:rPr>
                <w:rFonts w:hint="default" w:cs="Times New Roman"/>
                <w:color w:val="auto"/>
              </w:rPr>
            </w:pPr>
            <w:r>
              <w:rPr>
                <w:rFonts w:hint="default" w:cs="Times New Roman"/>
                <w:color w:val="auto"/>
              </w:rPr>
              <w:t>生态保护措施</w:t>
            </w:r>
          </w:p>
        </w:tc>
        <w:tc>
          <w:tcPr>
            <w:tcW w:w="4222" w:type="pct"/>
            <w:gridSpan w:val="4"/>
            <w:noWrap w:val="0"/>
            <w:vAlign w:val="center"/>
          </w:tcPr>
          <w:p w14:paraId="7026DC98">
            <w:pPr>
              <w:pStyle w:val="56"/>
              <w:keepNext w:val="0"/>
              <w:keepLines w:val="0"/>
              <w:suppressLineNumbers w:val="0"/>
              <w:bidi w:val="0"/>
              <w:spacing w:before="0" w:beforeAutospacing="0" w:after="0" w:afterAutospacing="0"/>
              <w:ind w:left="0" w:right="0"/>
              <w:rPr>
                <w:rFonts w:hint="eastAsia" w:cs="Times New Roman"/>
                <w:color w:val="auto"/>
                <w:sz w:val="21"/>
                <w:szCs w:val="21"/>
              </w:rPr>
            </w:pPr>
            <w:r>
              <w:rPr>
                <w:rFonts w:hint="eastAsia" w:ascii="Times New Roman" w:hAnsi="Times New Roman" w:eastAsia="宋体" w:cs="Times New Roman"/>
                <w:color w:val="auto"/>
                <w:sz w:val="21"/>
                <w:szCs w:val="21"/>
              </w:rPr>
              <w:t>厂区进行绿化，推荐使用乡土树种，禁止种植外来物种。</w:t>
            </w:r>
          </w:p>
        </w:tc>
      </w:tr>
      <w:tr w14:paraId="176F0DB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500" w:hRule="atLeast"/>
          <w:jc w:val="center"/>
        </w:trPr>
        <w:tc>
          <w:tcPr>
            <w:tcW w:w="777" w:type="pct"/>
            <w:noWrap w:val="0"/>
            <w:vAlign w:val="center"/>
          </w:tcPr>
          <w:p w14:paraId="28FB8749">
            <w:pPr>
              <w:pStyle w:val="56"/>
              <w:keepNext w:val="0"/>
              <w:keepLines w:val="0"/>
              <w:suppressLineNumbers w:val="0"/>
              <w:bidi w:val="0"/>
              <w:spacing w:before="0" w:beforeAutospacing="0" w:after="0" w:afterAutospacing="0"/>
              <w:ind w:left="0" w:right="0"/>
              <w:outlineLvl w:val="9"/>
              <w:rPr>
                <w:rFonts w:hint="default" w:cs="Times New Roman"/>
                <w:color w:val="auto"/>
              </w:rPr>
            </w:pPr>
            <w:r>
              <w:rPr>
                <w:rFonts w:hint="default" w:cs="Times New Roman"/>
                <w:color w:val="auto"/>
              </w:rPr>
              <w:t>环境风险</w:t>
            </w:r>
          </w:p>
          <w:p w14:paraId="2066AAB5">
            <w:pPr>
              <w:pStyle w:val="56"/>
              <w:keepNext w:val="0"/>
              <w:keepLines w:val="0"/>
              <w:suppressLineNumbers w:val="0"/>
              <w:bidi w:val="0"/>
              <w:spacing w:before="0" w:beforeAutospacing="0" w:after="0" w:afterAutospacing="0"/>
              <w:ind w:left="0" w:right="0"/>
              <w:outlineLvl w:val="9"/>
              <w:rPr>
                <w:rFonts w:hint="default" w:cs="Times New Roman"/>
                <w:color w:val="auto"/>
              </w:rPr>
            </w:pPr>
            <w:r>
              <w:rPr>
                <w:rFonts w:hint="default" w:cs="Times New Roman"/>
                <w:color w:val="auto"/>
              </w:rPr>
              <w:t>防范措施</w:t>
            </w:r>
          </w:p>
        </w:tc>
        <w:tc>
          <w:tcPr>
            <w:tcW w:w="4222" w:type="pct"/>
            <w:gridSpan w:val="4"/>
            <w:noWrap w:val="0"/>
            <w:vAlign w:val="center"/>
          </w:tcPr>
          <w:p w14:paraId="2623DF2F">
            <w:pPr>
              <w:pStyle w:val="56"/>
              <w:keepNext w:val="0"/>
              <w:keepLines w:val="0"/>
              <w:suppressLineNumbers w:val="0"/>
              <w:bidi w:val="0"/>
              <w:spacing w:before="0" w:beforeAutospacing="0" w:after="0" w:afterAutospacing="0"/>
              <w:ind w:left="0" w:right="0"/>
              <w:rPr>
                <w:rFonts w:hint="eastAsia" w:eastAsia="宋体" w:cs="Times New Roman"/>
                <w:color w:val="auto"/>
                <w:sz w:val="21"/>
                <w:szCs w:val="21"/>
                <w:lang w:val="en-US" w:eastAsia="zh-CN"/>
              </w:rPr>
            </w:pPr>
            <w:r>
              <w:rPr>
                <w:rFonts w:hint="eastAsia" w:ascii="Times New Roman" w:hAnsi="Times New Roman" w:eastAsia="宋体" w:cs="Times New Roman"/>
                <w:color w:val="auto"/>
                <w:sz w:val="21"/>
                <w:szCs w:val="21"/>
              </w:rPr>
              <w:t>制定管理措施，有效防范风险事故的发生，配备的事故应急设施、材料能保证有效的事故应急，降低事故环境风险</w:t>
            </w:r>
          </w:p>
        </w:tc>
      </w:tr>
      <w:tr w14:paraId="509BD3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22" w:hRule="atLeast"/>
          <w:jc w:val="center"/>
        </w:trPr>
        <w:tc>
          <w:tcPr>
            <w:tcW w:w="777" w:type="pct"/>
            <w:noWrap w:val="0"/>
            <w:vAlign w:val="center"/>
          </w:tcPr>
          <w:p w14:paraId="6603F16D">
            <w:pPr>
              <w:pStyle w:val="56"/>
              <w:keepNext w:val="0"/>
              <w:keepLines w:val="0"/>
              <w:suppressLineNumbers w:val="0"/>
              <w:bidi w:val="0"/>
              <w:spacing w:before="0" w:beforeAutospacing="0" w:after="0" w:afterAutospacing="0"/>
              <w:ind w:left="0" w:right="0"/>
              <w:outlineLvl w:val="9"/>
              <w:rPr>
                <w:rFonts w:hint="default" w:cs="Times New Roman"/>
                <w:color w:val="auto"/>
              </w:rPr>
            </w:pPr>
            <w:r>
              <w:rPr>
                <w:rFonts w:hint="default" w:cs="Times New Roman"/>
                <w:color w:val="auto"/>
              </w:rPr>
              <w:t>其他环境</w:t>
            </w:r>
          </w:p>
          <w:p w14:paraId="10F39251">
            <w:pPr>
              <w:pStyle w:val="56"/>
              <w:keepNext w:val="0"/>
              <w:keepLines w:val="0"/>
              <w:suppressLineNumbers w:val="0"/>
              <w:bidi w:val="0"/>
              <w:spacing w:before="0" w:beforeAutospacing="0" w:after="0" w:afterAutospacing="0"/>
              <w:ind w:left="0" w:right="0"/>
              <w:outlineLvl w:val="9"/>
              <w:rPr>
                <w:rFonts w:hint="default" w:cs="Times New Roman"/>
                <w:color w:val="auto"/>
              </w:rPr>
            </w:pPr>
            <w:r>
              <w:rPr>
                <w:rFonts w:hint="default" w:cs="Times New Roman"/>
                <w:color w:val="auto"/>
              </w:rPr>
              <w:t>管理要求</w:t>
            </w:r>
          </w:p>
        </w:tc>
        <w:tc>
          <w:tcPr>
            <w:tcW w:w="4222" w:type="pct"/>
            <w:gridSpan w:val="4"/>
            <w:noWrap w:val="0"/>
            <w:vAlign w:val="center"/>
          </w:tcPr>
          <w:p w14:paraId="7DA56611">
            <w:pPr>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21"/>
                <w:szCs w:val="21"/>
                <w:shd w:val="clear" w:color="auto" w:fill="auto"/>
                <w:lang w:eastAsia="zh-CN"/>
              </w:rPr>
            </w:pPr>
            <w:r>
              <w:rPr>
                <w:rFonts w:hint="eastAsia" w:ascii="Times New Roman" w:hAnsi="Times New Roman" w:eastAsia="宋体" w:cs="Times New Roman"/>
                <w:color w:val="auto"/>
                <w:sz w:val="21"/>
                <w:szCs w:val="21"/>
                <w:shd w:val="clear" w:color="auto" w:fill="auto"/>
              </w:rPr>
              <w:t>根据《</w:t>
            </w:r>
            <w:r>
              <w:rPr>
                <w:rFonts w:hint="eastAsia" w:ascii="Times New Roman" w:hAnsi="Times New Roman" w:eastAsia="宋体" w:cs="Times New Roman"/>
                <w:color w:val="auto"/>
                <w:sz w:val="21"/>
                <w:szCs w:val="21"/>
                <w:shd w:val="clear" w:color="auto" w:fill="auto"/>
                <w:lang w:eastAsia="zh-CN"/>
              </w:rPr>
              <w:t>排污单位自行监测技术指南 工业固体废物和危险废物治理</w:t>
            </w:r>
            <w:r>
              <w:rPr>
                <w:rFonts w:hint="eastAsia" w:ascii="Times New Roman" w:hAnsi="Times New Roman" w:eastAsia="宋体" w:cs="Times New Roman"/>
                <w:color w:val="auto"/>
                <w:sz w:val="21"/>
                <w:szCs w:val="21"/>
                <w:shd w:val="clear" w:color="auto" w:fill="auto"/>
              </w:rPr>
              <w:t>》（</w:t>
            </w:r>
            <w:r>
              <w:rPr>
                <w:rFonts w:hint="eastAsia" w:ascii="Times New Roman" w:hAnsi="Times New Roman" w:eastAsia="宋体" w:cs="Times New Roman"/>
                <w:color w:val="auto"/>
                <w:sz w:val="21"/>
                <w:szCs w:val="21"/>
                <w:shd w:val="clear" w:color="auto" w:fill="auto"/>
                <w:lang w:eastAsia="zh-CN"/>
              </w:rPr>
              <w:t>HJ 1250—2022</w:t>
            </w:r>
            <w:r>
              <w:rPr>
                <w:rFonts w:hint="eastAsia" w:ascii="Times New Roman" w:hAnsi="Times New Roman" w:eastAsia="宋体" w:cs="Times New Roman"/>
                <w:color w:val="auto"/>
                <w:sz w:val="21"/>
                <w:szCs w:val="21"/>
                <w:shd w:val="clear" w:color="auto" w:fill="auto"/>
              </w:rPr>
              <w:t>）</w:t>
            </w:r>
            <w:r>
              <w:rPr>
                <w:rFonts w:hint="default" w:ascii="Times New Roman" w:hAnsi="Times New Roman" w:eastAsia="宋体" w:cs="Times New Roman"/>
                <w:color w:val="auto"/>
                <w:sz w:val="21"/>
                <w:szCs w:val="21"/>
                <w:shd w:val="clear" w:color="auto" w:fill="auto"/>
                <w:lang w:val="en-US" w:eastAsia="zh-CN"/>
              </w:rPr>
              <w:t>及《排污单位自行监测技术指南 砖瓦工业》HJ 1254-2022）</w:t>
            </w:r>
            <w:r>
              <w:rPr>
                <w:rFonts w:hint="eastAsia" w:ascii="Times New Roman" w:hAnsi="Times New Roman" w:eastAsia="宋体" w:cs="Times New Roman"/>
                <w:color w:val="auto"/>
                <w:sz w:val="21"/>
                <w:szCs w:val="21"/>
                <w:shd w:val="clear" w:color="auto" w:fill="auto"/>
                <w:lang w:eastAsia="zh-CN"/>
              </w:rPr>
              <w:t>、</w:t>
            </w:r>
            <w:r>
              <w:rPr>
                <w:rFonts w:hint="eastAsia" w:ascii="Times New Roman" w:hAnsi="Times New Roman" w:eastAsia="宋体" w:cs="Times New Roman"/>
                <w:color w:val="auto"/>
                <w:sz w:val="21"/>
                <w:szCs w:val="21"/>
                <w:shd w:val="clear" w:color="auto" w:fill="auto"/>
              </w:rPr>
              <w:t>《宜春市涉锂电主要行业生态环境监管标准（试行）》（宜环委办字〔</w:t>
            </w:r>
            <w:r>
              <w:rPr>
                <w:rFonts w:hint="default" w:ascii="Times New Roman" w:hAnsi="Times New Roman" w:eastAsia="宋体" w:cs="Times New Roman"/>
                <w:color w:val="auto"/>
                <w:sz w:val="21"/>
                <w:szCs w:val="21"/>
                <w:shd w:val="clear" w:color="auto" w:fill="auto"/>
              </w:rPr>
              <w:t>2023</w:t>
            </w:r>
            <w:r>
              <w:rPr>
                <w:rFonts w:hint="eastAsia" w:ascii="Times New Roman" w:hAnsi="Times New Roman" w:eastAsia="宋体" w:cs="Times New Roman"/>
                <w:color w:val="auto"/>
                <w:sz w:val="21"/>
                <w:szCs w:val="21"/>
                <w:shd w:val="clear" w:color="auto" w:fill="auto"/>
              </w:rPr>
              <w:t>〕</w:t>
            </w:r>
            <w:r>
              <w:rPr>
                <w:rFonts w:hint="default" w:ascii="Times New Roman" w:hAnsi="Times New Roman" w:eastAsia="宋体" w:cs="Times New Roman"/>
                <w:color w:val="auto"/>
                <w:sz w:val="21"/>
                <w:szCs w:val="21"/>
                <w:shd w:val="clear" w:color="auto" w:fill="auto"/>
              </w:rPr>
              <w:t>2号）</w:t>
            </w:r>
            <w:r>
              <w:rPr>
                <w:rFonts w:hint="eastAsia" w:ascii="Times New Roman" w:hAnsi="Times New Roman" w:eastAsia="宋体" w:cs="Times New Roman"/>
                <w:color w:val="auto"/>
                <w:sz w:val="21"/>
                <w:szCs w:val="21"/>
                <w:shd w:val="clear" w:color="auto" w:fill="auto"/>
                <w:lang w:val="en-US" w:eastAsia="zh-CN"/>
              </w:rPr>
              <w:t>，</w:t>
            </w:r>
            <w:r>
              <w:rPr>
                <w:rFonts w:hint="eastAsia" w:ascii="Times New Roman" w:hAnsi="Times New Roman" w:eastAsia="宋体" w:cs="Times New Roman"/>
                <w:color w:val="auto"/>
                <w:sz w:val="21"/>
                <w:szCs w:val="21"/>
                <w:shd w:val="clear" w:color="auto" w:fill="auto"/>
                <w:lang w:eastAsia="zh-CN"/>
              </w:rPr>
              <w:t>项目废气、废水噪声监测方案见下表。</w:t>
            </w:r>
          </w:p>
          <w:p w14:paraId="6810451A">
            <w:pPr>
              <w:pStyle w:val="111"/>
              <w:keepNext w:val="0"/>
              <w:keepLines w:val="0"/>
              <w:numPr>
                <w:ilvl w:val="0"/>
                <w:numId w:val="17"/>
              </w:numPr>
              <w:suppressLineNumbers w:val="0"/>
              <w:bidi w:val="0"/>
              <w:spacing w:before="0" w:beforeAutospacing="0" w:after="0" w:afterAutospacing="0"/>
              <w:ind w:left="0" w:leftChars="0" w:right="0" w:firstLine="0" w:firstLineChars="0"/>
              <w:rPr>
                <w:rFonts w:hint="default" w:cs="Times New Roman"/>
                <w:color w:val="auto"/>
              </w:rPr>
            </w:pPr>
            <w:r>
              <w:rPr>
                <w:rFonts w:hint="eastAsia" w:cs="Times New Roman"/>
                <w:color w:val="auto"/>
              </w:rPr>
              <w:t>本项目</w:t>
            </w:r>
            <w:r>
              <w:rPr>
                <w:rFonts w:hint="default" w:cs="Times New Roman"/>
                <w:color w:val="auto"/>
              </w:rPr>
              <w:t>自行监测计划表</w:t>
            </w:r>
          </w:p>
          <w:tbl>
            <w:tblPr>
              <w:tblStyle w:val="28"/>
              <w:tblW w:w="4997"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15" w:type="dxa"/>
                <w:left w:w="15" w:type="dxa"/>
                <w:bottom w:w="15" w:type="dxa"/>
                <w:right w:w="15" w:type="dxa"/>
              </w:tblCellMar>
            </w:tblPr>
            <w:tblGrid>
              <w:gridCol w:w="1161"/>
              <w:gridCol w:w="1293"/>
              <w:gridCol w:w="2414"/>
              <w:gridCol w:w="2061"/>
            </w:tblGrid>
            <w:tr w14:paraId="722FB030">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218" w:hRule="atLeast"/>
                <w:jc w:val="center"/>
              </w:trPr>
              <w:tc>
                <w:tcPr>
                  <w:tcW w:w="837" w:type="pct"/>
                  <w:tcBorders>
                    <w:tl2br w:val="nil"/>
                    <w:tr2bl w:val="nil"/>
                  </w:tcBorders>
                  <w:noWrap w:val="0"/>
                  <w:vAlign w:val="center"/>
                </w:tcPr>
                <w:p w14:paraId="78E04886">
                  <w:pPr>
                    <w:pStyle w:val="56"/>
                    <w:keepNext w:val="0"/>
                    <w:keepLines w:val="0"/>
                    <w:suppressLineNumbers w:val="0"/>
                    <w:bidi w:val="0"/>
                    <w:spacing w:before="0" w:beforeAutospacing="0" w:after="0" w:afterAutospacing="0"/>
                    <w:ind w:left="0" w:right="0"/>
                    <w:rPr>
                      <w:rFonts w:hint="default" w:cs="Times New Roman"/>
                      <w:color w:val="auto"/>
                      <w:sz w:val="21"/>
                      <w:szCs w:val="21"/>
                    </w:rPr>
                  </w:pPr>
                  <w:r>
                    <w:rPr>
                      <w:rFonts w:hint="default" w:cs="Times New Roman"/>
                      <w:color w:val="auto"/>
                      <w:sz w:val="21"/>
                      <w:szCs w:val="21"/>
                    </w:rPr>
                    <w:t>污染源</w:t>
                  </w:r>
                </w:p>
              </w:tc>
              <w:tc>
                <w:tcPr>
                  <w:tcW w:w="933" w:type="pct"/>
                  <w:tcBorders>
                    <w:tl2br w:val="nil"/>
                    <w:tr2bl w:val="nil"/>
                  </w:tcBorders>
                  <w:noWrap w:val="0"/>
                  <w:vAlign w:val="center"/>
                </w:tcPr>
                <w:p w14:paraId="3ACAA850">
                  <w:pPr>
                    <w:pStyle w:val="56"/>
                    <w:keepNext w:val="0"/>
                    <w:keepLines w:val="0"/>
                    <w:suppressLineNumbers w:val="0"/>
                    <w:bidi w:val="0"/>
                    <w:spacing w:before="0" w:beforeAutospacing="0" w:after="0" w:afterAutospacing="0"/>
                    <w:ind w:left="0" w:right="0"/>
                    <w:rPr>
                      <w:rFonts w:hint="default" w:cs="Times New Roman"/>
                      <w:color w:val="auto"/>
                      <w:sz w:val="21"/>
                      <w:szCs w:val="21"/>
                    </w:rPr>
                  </w:pPr>
                  <w:r>
                    <w:rPr>
                      <w:rFonts w:hint="default" w:cs="Times New Roman"/>
                      <w:color w:val="auto"/>
                      <w:sz w:val="21"/>
                      <w:szCs w:val="21"/>
                    </w:rPr>
                    <w:t>监测点位</w:t>
                  </w:r>
                </w:p>
              </w:tc>
              <w:tc>
                <w:tcPr>
                  <w:tcW w:w="1741" w:type="pct"/>
                  <w:tcBorders>
                    <w:tl2br w:val="nil"/>
                    <w:tr2bl w:val="nil"/>
                  </w:tcBorders>
                  <w:noWrap w:val="0"/>
                  <w:vAlign w:val="center"/>
                </w:tcPr>
                <w:p w14:paraId="5C90FEA9">
                  <w:pPr>
                    <w:pStyle w:val="56"/>
                    <w:keepNext w:val="0"/>
                    <w:keepLines w:val="0"/>
                    <w:suppressLineNumbers w:val="0"/>
                    <w:bidi w:val="0"/>
                    <w:spacing w:before="0" w:beforeAutospacing="0" w:after="0" w:afterAutospacing="0"/>
                    <w:ind w:left="0" w:right="0"/>
                    <w:rPr>
                      <w:rFonts w:hint="default" w:cs="Times New Roman"/>
                      <w:color w:val="auto"/>
                      <w:sz w:val="21"/>
                      <w:szCs w:val="21"/>
                    </w:rPr>
                  </w:pPr>
                  <w:r>
                    <w:rPr>
                      <w:rFonts w:hint="default" w:cs="Times New Roman"/>
                      <w:color w:val="auto"/>
                      <w:sz w:val="21"/>
                      <w:szCs w:val="21"/>
                    </w:rPr>
                    <w:t>监测指标</w:t>
                  </w:r>
                </w:p>
              </w:tc>
              <w:tc>
                <w:tcPr>
                  <w:tcW w:w="1487" w:type="pct"/>
                  <w:tcBorders>
                    <w:tl2br w:val="nil"/>
                    <w:tr2bl w:val="nil"/>
                  </w:tcBorders>
                  <w:noWrap w:val="0"/>
                  <w:vAlign w:val="center"/>
                </w:tcPr>
                <w:p w14:paraId="206A35BD">
                  <w:pPr>
                    <w:pStyle w:val="56"/>
                    <w:keepNext w:val="0"/>
                    <w:keepLines w:val="0"/>
                    <w:suppressLineNumbers w:val="0"/>
                    <w:bidi w:val="0"/>
                    <w:spacing w:before="0" w:beforeAutospacing="0" w:after="0" w:afterAutospacing="0"/>
                    <w:ind w:left="0" w:right="0"/>
                    <w:rPr>
                      <w:rFonts w:hint="default" w:cs="Times New Roman"/>
                      <w:color w:val="auto"/>
                      <w:sz w:val="21"/>
                      <w:szCs w:val="21"/>
                    </w:rPr>
                  </w:pPr>
                  <w:r>
                    <w:rPr>
                      <w:rFonts w:hint="default" w:cs="Times New Roman"/>
                      <w:color w:val="auto"/>
                      <w:sz w:val="21"/>
                      <w:szCs w:val="21"/>
                    </w:rPr>
                    <w:t>监测频次</w:t>
                  </w:r>
                </w:p>
              </w:tc>
            </w:tr>
            <w:tr w14:paraId="5D361B3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373" w:hRule="atLeast"/>
                <w:jc w:val="center"/>
              </w:trPr>
              <w:tc>
                <w:tcPr>
                  <w:tcW w:w="837" w:type="pct"/>
                  <w:vMerge w:val="restart"/>
                  <w:tcBorders>
                    <w:tl2br w:val="nil"/>
                    <w:tr2bl w:val="nil"/>
                  </w:tcBorders>
                  <w:noWrap w:val="0"/>
                  <w:vAlign w:val="center"/>
                </w:tcPr>
                <w:p w14:paraId="772E59C6">
                  <w:pPr>
                    <w:pStyle w:val="56"/>
                    <w:keepNext w:val="0"/>
                    <w:keepLines w:val="0"/>
                    <w:suppressLineNumbers w:val="0"/>
                    <w:bidi w:val="0"/>
                    <w:spacing w:before="0" w:beforeAutospacing="0" w:after="0" w:afterAutospacing="0"/>
                    <w:ind w:left="0" w:right="0"/>
                    <w:rPr>
                      <w:rFonts w:hint="default" w:cs="Times New Roman"/>
                      <w:color w:val="auto"/>
                      <w:sz w:val="21"/>
                      <w:szCs w:val="21"/>
                    </w:rPr>
                  </w:pPr>
                  <w:r>
                    <w:rPr>
                      <w:rFonts w:hint="eastAsia" w:cs="Times New Roman"/>
                      <w:color w:val="auto"/>
                      <w:sz w:val="21"/>
                      <w:szCs w:val="21"/>
                      <w:lang w:eastAsia="zh-CN"/>
                    </w:rPr>
                    <w:t>废气</w:t>
                  </w:r>
                </w:p>
              </w:tc>
              <w:tc>
                <w:tcPr>
                  <w:tcW w:w="933" w:type="pct"/>
                  <w:tcBorders>
                    <w:tl2br w:val="nil"/>
                    <w:tr2bl w:val="nil"/>
                  </w:tcBorders>
                  <w:noWrap w:val="0"/>
                  <w:vAlign w:val="center"/>
                </w:tcPr>
                <w:p w14:paraId="392EC004">
                  <w:pPr>
                    <w:pStyle w:val="56"/>
                    <w:keepNext w:val="0"/>
                    <w:keepLines w:val="0"/>
                    <w:suppressLineNumbers w:val="0"/>
                    <w:bidi w:val="0"/>
                    <w:spacing w:before="0" w:beforeAutospacing="0" w:after="0" w:afterAutospacing="0"/>
                    <w:ind w:left="0" w:right="0"/>
                    <w:rPr>
                      <w:rFonts w:hint="eastAsia" w:cs="Times New Roman"/>
                      <w:color w:val="auto"/>
                      <w:sz w:val="21"/>
                      <w:szCs w:val="21"/>
                      <w:lang w:val="en-US" w:eastAsia="zh-CN"/>
                    </w:rPr>
                  </w:pPr>
                  <w:r>
                    <w:rPr>
                      <w:rFonts w:hint="eastAsia" w:cs="Times New Roman"/>
                      <w:color w:val="auto"/>
                      <w:sz w:val="21"/>
                      <w:szCs w:val="21"/>
                      <w:lang w:val="en-US" w:eastAsia="zh-CN"/>
                    </w:rPr>
                    <w:t>DA001</w:t>
                  </w:r>
                </w:p>
              </w:tc>
              <w:tc>
                <w:tcPr>
                  <w:tcW w:w="1741" w:type="pct"/>
                  <w:tcBorders>
                    <w:tl2br w:val="nil"/>
                    <w:tr2bl w:val="nil"/>
                  </w:tcBorders>
                  <w:noWrap w:val="0"/>
                  <w:vAlign w:val="center"/>
                </w:tcPr>
                <w:p w14:paraId="7C1C16C3">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21"/>
                      <w:szCs w:val="21"/>
                    </w:rPr>
                  </w:pPr>
                  <w:r>
                    <w:rPr>
                      <w:rFonts w:hint="default" w:ascii="Times New Roman" w:hAnsi="Times New Roman" w:eastAsia="宋体" w:cs="Times New Roman"/>
                      <w:color w:val="auto"/>
                      <w:lang w:val="en-US" w:eastAsia="zh-CN"/>
                    </w:rPr>
                    <w:t>颗粒物</w:t>
                  </w:r>
                  <w:r>
                    <w:rPr>
                      <w:rFonts w:hint="eastAsia" w:ascii="Times New Roman" w:hAnsi="Times New Roman" w:eastAsia="宋体" w:cs="Times New Roman"/>
                      <w:color w:val="auto"/>
                      <w:lang w:val="en-US" w:eastAsia="zh-CN"/>
                    </w:rPr>
                    <w:t>、氟化物</w:t>
                  </w:r>
                </w:p>
              </w:tc>
              <w:tc>
                <w:tcPr>
                  <w:tcW w:w="1487" w:type="pct"/>
                  <w:tcBorders>
                    <w:tl2br w:val="nil"/>
                    <w:tr2bl w:val="nil"/>
                  </w:tcBorders>
                  <w:noWrap w:val="0"/>
                  <w:vAlign w:val="center"/>
                </w:tcPr>
                <w:p w14:paraId="141C529C">
                  <w:pPr>
                    <w:pStyle w:val="56"/>
                    <w:keepNext w:val="0"/>
                    <w:keepLines w:val="0"/>
                    <w:suppressLineNumbers w:val="0"/>
                    <w:bidi w:val="0"/>
                    <w:spacing w:before="0" w:beforeAutospacing="0" w:after="0" w:afterAutospacing="0"/>
                    <w:ind w:left="0" w:right="0"/>
                    <w:rPr>
                      <w:rFonts w:hint="eastAsia" w:cs="Times New Roman"/>
                      <w:color w:val="auto"/>
                      <w:sz w:val="21"/>
                      <w:szCs w:val="21"/>
                      <w:lang w:val="en-US" w:eastAsia="zh-CN"/>
                    </w:rPr>
                  </w:pPr>
                  <w:r>
                    <w:rPr>
                      <w:rFonts w:hint="eastAsia" w:cs="Times New Roman"/>
                      <w:color w:val="auto"/>
                      <w:sz w:val="21"/>
                      <w:szCs w:val="21"/>
                      <w:lang w:val="en-US" w:eastAsia="zh-CN"/>
                    </w:rPr>
                    <w:t>1次/年</w:t>
                  </w:r>
                </w:p>
              </w:tc>
            </w:tr>
            <w:tr w14:paraId="0ADCD5F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539" w:hRule="atLeast"/>
                <w:jc w:val="center"/>
              </w:trPr>
              <w:tc>
                <w:tcPr>
                  <w:tcW w:w="837" w:type="pct"/>
                  <w:vMerge w:val="continue"/>
                  <w:tcBorders>
                    <w:tl2br w:val="nil"/>
                    <w:tr2bl w:val="nil"/>
                  </w:tcBorders>
                  <w:noWrap w:val="0"/>
                  <w:vAlign w:val="center"/>
                </w:tcPr>
                <w:p w14:paraId="2F102F28">
                  <w:pPr>
                    <w:pStyle w:val="56"/>
                    <w:keepNext w:val="0"/>
                    <w:keepLines w:val="0"/>
                    <w:suppressLineNumbers w:val="0"/>
                    <w:bidi w:val="0"/>
                    <w:spacing w:before="0" w:beforeAutospacing="0" w:after="0" w:afterAutospacing="0"/>
                    <w:ind w:left="0" w:right="0"/>
                    <w:rPr>
                      <w:rFonts w:hint="default" w:cs="Times New Roman"/>
                      <w:color w:val="auto"/>
                      <w:sz w:val="21"/>
                      <w:szCs w:val="21"/>
                    </w:rPr>
                  </w:pPr>
                </w:p>
              </w:tc>
              <w:tc>
                <w:tcPr>
                  <w:tcW w:w="933" w:type="pct"/>
                  <w:tcBorders>
                    <w:tl2br w:val="nil"/>
                    <w:tr2bl w:val="nil"/>
                  </w:tcBorders>
                  <w:noWrap w:val="0"/>
                  <w:vAlign w:val="center"/>
                </w:tcPr>
                <w:p w14:paraId="012E81B2">
                  <w:pPr>
                    <w:pStyle w:val="56"/>
                    <w:keepNext w:val="0"/>
                    <w:keepLines w:val="0"/>
                    <w:suppressLineNumbers w:val="0"/>
                    <w:bidi w:val="0"/>
                    <w:spacing w:before="0" w:beforeAutospacing="0" w:after="0" w:afterAutospacing="0"/>
                    <w:ind w:left="0" w:right="0"/>
                    <w:rPr>
                      <w:rFonts w:hint="eastAsia" w:cs="Times New Roman"/>
                      <w:color w:val="auto"/>
                      <w:sz w:val="21"/>
                      <w:szCs w:val="21"/>
                    </w:rPr>
                  </w:pPr>
                  <w:r>
                    <w:rPr>
                      <w:rFonts w:hint="default" w:cs="Times New Roman"/>
                      <w:color w:val="auto"/>
                      <w:sz w:val="21"/>
                      <w:szCs w:val="21"/>
                    </w:rPr>
                    <w:t>厂界</w:t>
                  </w:r>
                </w:p>
              </w:tc>
              <w:tc>
                <w:tcPr>
                  <w:tcW w:w="1741" w:type="pct"/>
                  <w:tcBorders>
                    <w:tl2br w:val="nil"/>
                    <w:tr2bl w:val="nil"/>
                  </w:tcBorders>
                  <w:noWrap w:val="0"/>
                  <w:vAlign w:val="center"/>
                </w:tcPr>
                <w:p w14:paraId="14855C12">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sz w:val="21"/>
                      <w:szCs w:val="21"/>
                      <w:lang w:val="en-US" w:eastAsia="zh-CN"/>
                    </w:rPr>
                  </w:pPr>
                  <w:r>
                    <w:rPr>
                      <w:rFonts w:hint="default" w:ascii="Times New Roman" w:hAnsi="Times New Roman" w:eastAsia="宋体" w:cs="Times New Roman"/>
                      <w:color w:val="auto"/>
                      <w:lang w:val="en-US" w:eastAsia="zh-CN"/>
                    </w:rPr>
                    <w:t>颗粒物</w:t>
                  </w:r>
                  <w:r>
                    <w:rPr>
                      <w:rFonts w:hint="eastAsia" w:ascii="Times New Roman" w:hAnsi="Times New Roman" w:eastAsia="宋体" w:cs="Times New Roman"/>
                      <w:color w:val="auto"/>
                      <w:lang w:val="en-US" w:eastAsia="zh-CN"/>
                    </w:rPr>
                    <w:t>、氟化物</w:t>
                  </w:r>
                </w:p>
              </w:tc>
              <w:tc>
                <w:tcPr>
                  <w:tcW w:w="1487" w:type="pct"/>
                  <w:tcBorders>
                    <w:tl2br w:val="nil"/>
                    <w:tr2bl w:val="nil"/>
                  </w:tcBorders>
                  <w:noWrap w:val="0"/>
                  <w:vAlign w:val="center"/>
                </w:tcPr>
                <w:p w14:paraId="1799208C">
                  <w:pPr>
                    <w:pStyle w:val="56"/>
                    <w:keepNext w:val="0"/>
                    <w:keepLines w:val="0"/>
                    <w:suppressLineNumbers w:val="0"/>
                    <w:bidi w:val="0"/>
                    <w:spacing w:before="0" w:beforeAutospacing="0" w:after="0" w:afterAutospacing="0"/>
                    <w:ind w:left="0" w:right="0"/>
                    <w:rPr>
                      <w:rFonts w:hint="default" w:cs="Times New Roman"/>
                      <w:color w:val="auto"/>
                      <w:sz w:val="21"/>
                      <w:szCs w:val="21"/>
                      <w:lang w:val="en-US" w:eastAsia="zh-CN"/>
                    </w:rPr>
                  </w:pPr>
                  <w:r>
                    <w:rPr>
                      <w:rFonts w:hint="eastAsia" w:cs="Times New Roman"/>
                      <w:color w:val="auto"/>
                      <w:sz w:val="21"/>
                      <w:szCs w:val="21"/>
                      <w:lang w:val="en-US" w:eastAsia="zh-CN"/>
                    </w:rPr>
                    <w:t>1次/季</w:t>
                  </w:r>
                </w:p>
              </w:tc>
            </w:tr>
            <w:tr w14:paraId="486BA51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539" w:hRule="atLeast"/>
                <w:jc w:val="center"/>
              </w:trPr>
              <w:tc>
                <w:tcPr>
                  <w:tcW w:w="837" w:type="pct"/>
                  <w:vMerge w:val="restart"/>
                  <w:tcBorders>
                    <w:tl2br w:val="nil"/>
                    <w:tr2bl w:val="nil"/>
                  </w:tcBorders>
                  <w:noWrap w:val="0"/>
                  <w:vAlign w:val="center"/>
                </w:tcPr>
                <w:p w14:paraId="180D8FB1">
                  <w:pPr>
                    <w:pStyle w:val="56"/>
                    <w:keepNext w:val="0"/>
                    <w:keepLines w:val="0"/>
                    <w:suppressLineNumbers w:val="0"/>
                    <w:bidi w:val="0"/>
                    <w:spacing w:before="0" w:beforeAutospacing="0" w:after="0" w:afterAutospacing="0"/>
                    <w:ind w:left="0" w:right="0"/>
                    <w:rPr>
                      <w:rFonts w:hint="default" w:cs="Times New Roman"/>
                      <w:color w:val="auto"/>
                      <w:sz w:val="21"/>
                      <w:szCs w:val="21"/>
                      <w:lang w:val="en-US" w:eastAsia="zh-CN"/>
                    </w:rPr>
                  </w:pPr>
                  <w:r>
                    <w:rPr>
                      <w:rFonts w:hint="eastAsia" w:cs="Times New Roman"/>
                      <w:color w:val="auto"/>
                      <w:sz w:val="21"/>
                      <w:szCs w:val="21"/>
                      <w:lang w:val="en-US" w:eastAsia="zh-CN"/>
                    </w:rPr>
                    <w:t>废水</w:t>
                  </w:r>
                </w:p>
              </w:tc>
              <w:tc>
                <w:tcPr>
                  <w:tcW w:w="933" w:type="pct"/>
                  <w:tcBorders>
                    <w:tl2br w:val="nil"/>
                    <w:tr2bl w:val="nil"/>
                  </w:tcBorders>
                  <w:noWrap w:val="0"/>
                  <w:vAlign w:val="center"/>
                </w:tcPr>
                <w:p w14:paraId="6B59FA68">
                  <w:pPr>
                    <w:pStyle w:val="56"/>
                    <w:keepNext w:val="0"/>
                    <w:keepLines w:val="0"/>
                    <w:suppressLineNumbers w:val="0"/>
                    <w:bidi w:val="0"/>
                    <w:spacing w:before="0" w:beforeAutospacing="0" w:after="0" w:afterAutospacing="0"/>
                    <w:ind w:left="0" w:right="0"/>
                    <w:rPr>
                      <w:rFonts w:hint="eastAsia" w:cs="Times New Roman"/>
                      <w:color w:val="auto"/>
                      <w:sz w:val="21"/>
                      <w:szCs w:val="21"/>
                      <w:lang w:val="en-US" w:eastAsia="zh-CN"/>
                    </w:rPr>
                  </w:pPr>
                  <w:r>
                    <w:rPr>
                      <w:rFonts w:hint="eastAsia" w:cs="Times New Roman"/>
                      <w:color w:val="auto"/>
                      <w:lang w:val="en-US" w:eastAsia="zh-CN"/>
                    </w:rPr>
                    <w:t>废水总排放口</w:t>
                  </w:r>
                </w:p>
              </w:tc>
              <w:tc>
                <w:tcPr>
                  <w:tcW w:w="1741" w:type="pct"/>
                  <w:tcBorders>
                    <w:tl2br w:val="nil"/>
                    <w:tr2bl w:val="nil"/>
                  </w:tcBorders>
                  <w:noWrap w:val="0"/>
                  <w:vAlign w:val="center"/>
                </w:tcPr>
                <w:p w14:paraId="790CC37A">
                  <w:pPr>
                    <w:pStyle w:val="56"/>
                    <w:keepNext w:val="0"/>
                    <w:keepLines w:val="0"/>
                    <w:suppressLineNumbers w:val="0"/>
                    <w:spacing w:before="0" w:beforeLines="0" w:beforeAutospacing="0" w:after="0" w:afterLines="0" w:afterAutospacing="0"/>
                    <w:ind w:left="0" w:right="0"/>
                    <w:rPr>
                      <w:rFonts w:hint="default" w:cs="Times New Roman"/>
                      <w:color w:val="auto"/>
                      <w:sz w:val="21"/>
                      <w:szCs w:val="21"/>
                      <w:lang w:val="en-US" w:eastAsia="zh-CN"/>
                    </w:rPr>
                  </w:pPr>
                  <w:r>
                    <w:rPr>
                      <w:rFonts w:hint="default" w:ascii="宋体" w:eastAsia="宋体"/>
                      <w:color w:val="auto"/>
                      <w:sz w:val="21"/>
                      <w:szCs w:val="21"/>
                    </w:rPr>
                    <w:t>流量</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rPr>
                    <w:t>pH</w:t>
                  </w:r>
                  <w:r>
                    <w:rPr>
                      <w:rFonts w:hint="default" w:ascii="Times New Roman" w:hAnsi="Times New Roman" w:eastAsia="宋体" w:cs="Times New Roman"/>
                      <w:color w:val="auto"/>
                      <w:sz w:val="21"/>
                      <w:szCs w:val="21"/>
                    </w:rPr>
                    <w:t>、 CODcr、 NH</w:t>
                  </w:r>
                  <w:r>
                    <w:rPr>
                      <w:rFonts w:hint="default" w:ascii="Times New Roman" w:hAnsi="Times New Roman" w:eastAsia="宋体" w:cs="Times New Roman"/>
                      <w:color w:val="auto"/>
                      <w:sz w:val="21"/>
                      <w:szCs w:val="21"/>
                      <w:vertAlign w:val="subscript"/>
                    </w:rPr>
                    <w:t>3</w:t>
                  </w:r>
                  <w:r>
                    <w:rPr>
                      <w:rFonts w:hint="default" w:ascii="Times New Roman" w:hAnsi="Times New Roman" w:eastAsia="宋体" w:cs="Times New Roman"/>
                      <w:color w:val="auto"/>
                      <w:sz w:val="21"/>
                      <w:szCs w:val="21"/>
                    </w:rPr>
                    <w:t>-N、</w:t>
                  </w:r>
                  <w:r>
                    <w:rPr>
                      <w:rFonts w:hint="default" w:ascii="Times New Roman" w:hAnsi="Times New Roman" w:cs="Times New Roman"/>
                      <w:color w:val="auto"/>
                      <w:sz w:val="21"/>
                      <w:szCs w:val="21"/>
                    </w:rPr>
                    <w:t>BOD</w:t>
                  </w:r>
                  <w:r>
                    <w:rPr>
                      <w:rFonts w:hint="default" w:ascii="Times New Roman" w:hAnsi="Times New Roman" w:eastAsia="宋体" w:cs="Times New Roman"/>
                      <w:color w:val="auto"/>
                      <w:sz w:val="21"/>
                      <w:szCs w:val="21"/>
                    </w:rPr>
                    <w:t>、SS、</w:t>
                  </w:r>
                  <w:r>
                    <w:rPr>
                      <w:rFonts w:hint="eastAsia" w:cs="Times New Roman"/>
                      <w:color w:val="auto"/>
                      <w:sz w:val="21"/>
                      <w:szCs w:val="21"/>
                      <w:lang w:val="en-US" w:eastAsia="zh-CN"/>
                    </w:rPr>
                    <w:t>T</w:t>
                  </w:r>
                  <w:r>
                    <w:rPr>
                      <w:rFonts w:hint="default" w:ascii="Times New Roman" w:hAnsi="Times New Roman" w:eastAsia="宋体" w:cs="Times New Roman"/>
                      <w:color w:val="auto"/>
                      <w:sz w:val="21"/>
                      <w:szCs w:val="21"/>
                    </w:rPr>
                    <w:t>P</w:t>
                  </w:r>
                </w:p>
              </w:tc>
              <w:tc>
                <w:tcPr>
                  <w:tcW w:w="1487" w:type="pct"/>
                  <w:tcBorders>
                    <w:tl2br w:val="nil"/>
                    <w:tr2bl w:val="nil"/>
                  </w:tcBorders>
                  <w:noWrap w:val="0"/>
                  <w:vAlign w:val="center"/>
                </w:tcPr>
                <w:p w14:paraId="0A4F3695">
                  <w:pPr>
                    <w:pStyle w:val="5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1次/半年</w:t>
                  </w:r>
                </w:p>
              </w:tc>
            </w:tr>
            <w:tr w14:paraId="547A5D50">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539" w:hRule="atLeast"/>
                <w:jc w:val="center"/>
              </w:trPr>
              <w:tc>
                <w:tcPr>
                  <w:tcW w:w="837" w:type="pct"/>
                  <w:vMerge w:val="continue"/>
                  <w:tcBorders>
                    <w:tl2br w:val="nil"/>
                    <w:tr2bl w:val="nil"/>
                  </w:tcBorders>
                  <w:noWrap w:val="0"/>
                  <w:vAlign w:val="center"/>
                </w:tcPr>
                <w:p w14:paraId="59E8FD24">
                  <w:pPr>
                    <w:pStyle w:val="56"/>
                    <w:keepNext w:val="0"/>
                    <w:keepLines w:val="0"/>
                    <w:suppressLineNumbers w:val="0"/>
                    <w:bidi w:val="0"/>
                    <w:spacing w:before="0" w:beforeAutospacing="0" w:after="0" w:afterAutospacing="0"/>
                    <w:ind w:left="0" w:right="0"/>
                    <w:rPr>
                      <w:rFonts w:hint="eastAsia" w:cs="Times New Roman"/>
                      <w:color w:val="auto"/>
                      <w:sz w:val="21"/>
                      <w:szCs w:val="21"/>
                      <w:lang w:val="en-US" w:eastAsia="zh-CN"/>
                    </w:rPr>
                  </w:pPr>
                </w:p>
              </w:tc>
              <w:tc>
                <w:tcPr>
                  <w:tcW w:w="1293" w:type="dxa"/>
                  <w:tcBorders>
                    <w:tl2br w:val="nil"/>
                    <w:tr2bl w:val="nil"/>
                  </w:tcBorders>
                  <w:noWrap w:val="0"/>
                  <w:vAlign w:val="center"/>
                </w:tcPr>
                <w:p w14:paraId="7055B949">
                  <w:pPr>
                    <w:pStyle w:val="56"/>
                    <w:keepNext w:val="0"/>
                    <w:keepLines w:val="0"/>
                    <w:suppressLineNumbers w:val="0"/>
                    <w:bidi w:val="0"/>
                    <w:spacing w:before="0" w:beforeAutospacing="0" w:after="0" w:afterAutospacing="0"/>
                    <w:ind w:left="0" w:leftChars="0" w:right="0" w:rightChars="0" w:firstLine="0" w:firstLineChars="0"/>
                    <w:jc w:val="center"/>
                    <w:rPr>
                      <w:rFonts w:hint="eastAsia" w:cs="Times New Roman"/>
                      <w:color w:val="auto"/>
                      <w:sz w:val="21"/>
                      <w:szCs w:val="21"/>
                      <w:lang w:val="en-US" w:eastAsia="zh-CN"/>
                    </w:rPr>
                  </w:pPr>
                  <w:r>
                    <w:rPr>
                      <w:rFonts w:hint="eastAsia"/>
                      <w:color w:val="auto"/>
                      <w:highlight w:val="none"/>
                      <w:lang w:val="en-US" w:eastAsia="zh-CN"/>
                    </w:rPr>
                    <w:t>雨水排放口</w:t>
                  </w:r>
                </w:p>
              </w:tc>
              <w:tc>
                <w:tcPr>
                  <w:tcW w:w="2414" w:type="dxa"/>
                  <w:tcBorders>
                    <w:tl2br w:val="nil"/>
                    <w:tr2bl w:val="nil"/>
                  </w:tcBorders>
                  <w:noWrap w:val="0"/>
                  <w:vAlign w:val="center"/>
                </w:tcPr>
                <w:p w14:paraId="5D93CD61">
                  <w:pPr>
                    <w:pStyle w:val="56"/>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cs="Times New Roman"/>
                      <w:color w:val="auto"/>
                      <w:sz w:val="21"/>
                      <w:szCs w:val="21"/>
                    </w:rPr>
                  </w:pPr>
                  <w:r>
                    <w:rPr>
                      <w:rFonts w:hint="default"/>
                      <w:color w:val="auto"/>
                      <w:spacing w:val="7"/>
                      <w:highlight w:val="none"/>
                    </w:rPr>
                    <w:t>氟化物、铊</w:t>
                  </w:r>
                  <w:r>
                    <w:rPr>
                      <w:rFonts w:hint="eastAsia"/>
                      <w:color w:val="auto"/>
                      <w:spacing w:val="7"/>
                      <w:highlight w:val="none"/>
                      <w:lang w:eastAsia="zh-CN"/>
                    </w:rPr>
                    <w:t>、</w:t>
                  </w:r>
                  <w:r>
                    <w:rPr>
                      <w:rFonts w:hint="eastAsia" w:ascii="Times New Roman" w:hAnsi="Times New Roman" w:cs="Times New Roman"/>
                      <w:color w:val="auto"/>
                      <w:sz w:val="21"/>
                      <w:szCs w:val="21"/>
                      <w:vertAlign w:val="baseline"/>
                      <w:lang w:val="en-US" w:eastAsia="zh-CN"/>
                    </w:rPr>
                    <w:t>铍</w:t>
                  </w:r>
                </w:p>
              </w:tc>
              <w:tc>
                <w:tcPr>
                  <w:tcW w:w="2061" w:type="dxa"/>
                  <w:tcBorders>
                    <w:tl2br w:val="nil"/>
                    <w:tr2bl w:val="nil"/>
                  </w:tcBorders>
                  <w:noWrap w:val="0"/>
                  <w:vAlign w:val="center"/>
                </w:tcPr>
                <w:p w14:paraId="7B85C291">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自动监测</w:t>
                  </w:r>
                </w:p>
              </w:tc>
            </w:tr>
            <w:tr w14:paraId="756A080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539" w:hRule="atLeast"/>
                <w:jc w:val="center"/>
              </w:trPr>
              <w:tc>
                <w:tcPr>
                  <w:tcW w:w="837" w:type="pct"/>
                  <w:tcBorders>
                    <w:tl2br w:val="nil"/>
                    <w:tr2bl w:val="nil"/>
                  </w:tcBorders>
                  <w:noWrap w:val="0"/>
                  <w:vAlign w:val="center"/>
                </w:tcPr>
                <w:p w14:paraId="6D092181">
                  <w:pPr>
                    <w:pStyle w:val="56"/>
                    <w:keepNext w:val="0"/>
                    <w:keepLines w:val="0"/>
                    <w:suppressLineNumbers w:val="0"/>
                    <w:bidi w:val="0"/>
                    <w:spacing w:before="0" w:beforeAutospacing="0" w:after="0" w:afterAutospacing="0"/>
                    <w:ind w:left="0" w:right="0"/>
                    <w:rPr>
                      <w:rFonts w:hint="eastAsia" w:cs="Times New Roman"/>
                      <w:color w:val="auto"/>
                      <w:sz w:val="21"/>
                      <w:szCs w:val="21"/>
                      <w:lang w:val="en-US" w:eastAsia="zh-CN"/>
                    </w:rPr>
                  </w:pPr>
                  <w:r>
                    <w:rPr>
                      <w:rFonts w:hint="eastAsia" w:cs="Times New Roman"/>
                      <w:color w:val="auto"/>
                      <w:sz w:val="21"/>
                      <w:szCs w:val="21"/>
                      <w:lang w:val="en-US" w:eastAsia="zh-CN"/>
                    </w:rPr>
                    <w:t>噪声</w:t>
                  </w:r>
                </w:p>
              </w:tc>
              <w:tc>
                <w:tcPr>
                  <w:tcW w:w="933" w:type="pct"/>
                  <w:tcBorders>
                    <w:tl2br w:val="nil"/>
                    <w:tr2bl w:val="nil"/>
                  </w:tcBorders>
                  <w:noWrap w:val="0"/>
                  <w:vAlign w:val="center"/>
                </w:tcPr>
                <w:p w14:paraId="53987B5E">
                  <w:pPr>
                    <w:pStyle w:val="56"/>
                    <w:keepNext w:val="0"/>
                    <w:keepLines w:val="0"/>
                    <w:suppressLineNumbers w:val="0"/>
                    <w:bidi w:val="0"/>
                    <w:spacing w:before="0" w:beforeAutospacing="0" w:after="0" w:afterAutospacing="0"/>
                    <w:ind w:left="0" w:right="0"/>
                    <w:rPr>
                      <w:rFonts w:hint="eastAsia" w:cs="Times New Roman"/>
                      <w:color w:val="auto"/>
                      <w:sz w:val="21"/>
                      <w:szCs w:val="21"/>
                      <w:lang w:val="en-US" w:eastAsia="zh-CN"/>
                    </w:rPr>
                  </w:pPr>
                  <w:r>
                    <w:rPr>
                      <w:rFonts w:hint="default" w:cs="Times New Roman"/>
                      <w:color w:val="auto"/>
                      <w:sz w:val="21"/>
                      <w:szCs w:val="21"/>
                    </w:rPr>
                    <w:t>厂界</w:t>
                  </w:r>
                  <w:r>
                    <w:rPr>
                      <w:rFonts w:hint="eastAsia" w:cs="Times New Roman"/>
                      <w:color w:val="auto"/>
                      <w:sz w:val="21"/>
                      <w:szCs w:val="21"/>
                      <w:lang w:val="en-US" w:eastAsia="zh-CN"/>
                    </w:rPr>
                    <w:t>昼夜</w:t>
                  </w:r>
                </w:p>
              </w:tc>
              <w:tc>
                <w:tcPr>
                  <w:tcW w:w="1741" w:type="pct"/>
                  <w:tcBorders>
                    <w:tl2br w:val="nil"/>
                    <w:tr2bl w:val="nil"/>
                  </w:tcBorders>
                  <w:noWrap w:val="0"/>
                  <w:vAlign w:val="center"/>
                </w:tcPr>
                <w:p w14:paraId="28E4B2AB">
                  <w:pPr>
                    <w:pStyle w:val="56"/>
                    <w:keepNext w:val="0"/>
                    <w:keepLines w:val="0"/>
                    <w:suppressLineNumbers w:val="0"/>
                    <w:bidi w:val="0"/>
                    <w:spacing w:before="0" w:beforeAutospacing="0" w:after="0" w:afterAutospacing="0"/>
                    <w:ind w:left="0" w:right="0"/>
                    <w:rPr>
                      <w:rFonts w:hint="default" w:cs="Times New Roman"/>
                      <w:color w:val="auto"/>
                      <w:sz w:val="21"/>
                      <w:szCs w:val="21"/>
                      <w:lang w:val="en-US" w:eastAsia="zh-CN"/>
                    </w:rPr>
                  </w:pPr>
                  <w:r>
                    <w:rPr>
                      <w:rFonts w:hint="eastAsia" w:cs="Times New Roman"/>
                      <w:color w:val="auto"/>
                      <w:sz w:val="21"/>
                      <w:szCs w:val="21"/>
                      <w:lang w:val="en-US" w:eastAsia="zh-CN"/>
                    </w:rPr>
                    <w:t>等效连续A声级</w:t>
                  </w:r>
                </w:p>
              </w:tc>
              <w:tc>
                <w:tcPr>
                  <w:tcW w:w="1487" w:type="pct"/>
                  <w:tcBorders>
                    <w:tl2br w:val="nil"/>
                    <w:tr2bl w:val="nil"/>
                  </w:tcBorders>
                  <w:noWrap w:val="0"/>
                  <w:vAlign w:val="center"/>
                </w:tcPr>
                <w:p w14:paraId="1F262671">
                  <w:pPr>
                    <w:pStyle w:val="56"/>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1次/季</w:t>
                  </w:r>
                </w:p>
              </w:tc>
            </w:tr>
          </w:tbl>
          <w:p w14:paraId="587D4F35">
            <w:pPr>
              <w:keepNext w:val="0"/>
              <w:keepLines w:val="0"/>
              <w:suppressLineNumbers w:val="0"/>
              <w:spacing w:before="0" w:beforeAutospacing="0" w:after="0" w:afterAutospacing="0"/>
              <w:ind w:left="0" w:right="0"/>
              <w:rPr>
                <w:rFonts w:hint="eastAsia" w:cs="Times New Roman"/>
                <w:color w:val="auto"/>
                <w:lang w:eastAsia="zh-CN"/>
              </w:rPr>
            </w:pPr>
          </w:p>
          <w:p w14:paraId="350B1132">
            <w:pPr>
              <w:keepNext w:val="0"/>
              <w:keepLines w:val="0"/>
              <w:suppressLineNumbers w:val="0"/>
              <w:spacing w:before="0" w:beforeAutospacing="0" w:after="0" w:afterAutospacing="0"/>
              <w:ind w:left="0" w:right="0"/>
              <w:rPr>
                <w:rFonts w:hint="eastAsia" w:cs="Times New Roman"/>
                <w:color w:val="auto"/>
                <w:lang w:eastAsia="zh-CN"/>
              </w:rPr>
            </w:pPr>
          </w:p>
          <w:p w14:paraId="5618EEAD">
            <w:pPr>
              <w:keepNext w:val="0"/>
              <w:keepLines w:val="0"/>
              <w:suppressLineNumbers w:val="0"/>
              <w:spacing w:before="0" w:beforeAutospacing="0" w:after="0" w:afterAutospacing="0"/>
              <w:ind w:left="0" w:right="0"/>
              <w:rPr>
                <w:rFonts w:hint="eastAsia" w:cs="Times New Roman"/>
                <w:color w:val="auto"/>
                <w:lang w:eastAsia="zh-CN"/>
              </w:rPr>
            </w:pPr>
          </w:p>
          <w:p w14:paraId="69D4F1CD">
            <w:pPr>
              <w:keepNext w:val="0"/>
              <w:keepLines w:val="0"/>
              <w:suppressLineNumbers w:val="0"/>
              <w:spacing w:before="0" w:beforeAutospacing="0" w:after="0" w:afterAutospacing="0"/>
              <w:ind w:left="0" w:right="0"/>
              <w:rPr>
                <w:rFonts w:hint="eastAsia" w:cs="Times New Roman"/>
                <w:color w:val="auto"/>
                <w:lang w:eastAsia="zh-CN"/>
              </w:rPr>
            </w:pPr>
          </w:p>
          <w:p w14:paraId="4447D3D5">
            <w:pPr>
              <w:keepNext w:val="0"/>
              <w:keepLines w:val="0"/>
              <w:suppressLineNumbers w:val="0"/>
              <w:spacing w:before="0" w:beforeAutospacing="0" w:after="0" w:afterAutospacing="0"/>
              <w:ind w:left="0" w:right="0"/>
              <w:rPr>
                <w:rFonts w:hint="eastAsia" w:cs="Times New Roman"/>
                <w:color w:val="auto"/>
                <w:lang w:eastAsia="zh-CN"/>
              </w:rPr>
            </w:pPr>
          </w:p>
          <w:p w14:paraId="67D78ABA">
            <w:pPr>
              <w:keepNext w:val="0"/>
              <w:keepLines w:val="0"/>
              <w:suppressLineNumbers w:val="0"/>
              <w:spacing w:before="0" w:beforeAutospacing="0" w:after="0" w:afterAutospacing="0"/>
              <w:ind w:left="0" w:right="0"/>
              <w:rPr>
                <w:rFonts w:hint="eastAsia" w:cs="Times New Roman"/>
                <w:color w:val="auto"/>
                <w:lang w:eastAsia="zh-CN"/>
              </w:rPr>
            </w:pPr>
          </w:p>
        </w:tc>
      </w:tr>
    </w:tbl>
    <w:p w14:paraId="6C66F495">
      <w:pPr>
        <w:pStyle w:val="24"/>
        <w:jc w:val="center"/>
        <w:outlineLvl w:val="0"/>
        <w:rPr>
          <w:rFonts w:ascii="黑体" w:hAnsi="黑体" w:eastAsia="黑体"/>
          <w:snapToGrid w:val="0"/>
          <w:color w:val="auto"/>
          <w:sz w:val="30"/>
          <w:szCs w:val="30"/>
        </w:rPr>
        <w:sectPr>
          <w:footerReference r:id="rId7" w:type="default"/>
          <w:pgSz w:w="11906" w:h="16838"/>
          <w:pgMar w:top="1440" w:right="1800" w:bottom="1440" w:left="1800" w:header="851" w:footer="851" w:gutter="0"/>
          <w:pgBorders w:offsetFrom="page">
            <w:top w:val="none" w:sz="0" w:space="0"/>
            <w:left w:val="none" w:sz="0" w:space="0"/>
            <w:bottom w:val="none" w:sz="0" w:space="0"/>
            <w:right w:val="none" w:sz="0" w:space="0"/>
          </w:pgBorders>
          <w:cols w:space="720" w:num="1"/>
          <w:docGrid w:linePitch="312" w:charSpace="0"/>
        </w:sectPr>
      </w:pPr>
    </w:p>
    <w:p w14:paraId="193C47FA">
      <w:pPr>
        <w:pStyle w:val="24"/>
        <w:jc w:val="center"/>
        <w:outlineLvl w:val="0"/>
        <w:rPr>
          <w:rFonts w:ascii="黑体" w:hAnsi="黑体" w:eastAsia="黑体"/>
          <w:snapToGrid w:val="0"/>
          <w:color w:val="auto"/>
          <w:sz w:val="30"/>
          <w:szCs w:val="30"/>
        </w:rPr>
      </w:pPr>
      <w:bookmarkStart w:id="14" w:name="_Toc3207"/>
      <w:r>
        <w:rPr>
          <w:rFonts w:hint="eastAsia" w:ascii="黑体" w:hAnsi="黑体" w:eastAsia="黑体"/>
          <w:snapToGrid w:val="0"/>
          <w:color w:val="auto"/>
          <w:sz w:val="30"/>
          <w:szCs w:val="30"/>
        </w:rPr>
        <w:t>六、结论</w:t>
      </w:r>
      <w:bookmarkEnd w:id="14"/>
    </w:p>
    <w:tbl>
      <w:tblPr>
        <w:tblStyle w:val="28"/>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8522"/>
      </w:tblGrid>
      <w:tr w14:paraId="071FB3F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991" w:hRule="atLeast"/>
          <w:jc w:val="center"/>
        </w:trPr>
        <w:tc>
          <w:tcPr>
            <w:tcW w:w="5000" w:type="pct"/>
            <w:noWrap w:val="0"/>
            <w:vAlign w:val="top"/>
          </w:tcPr>
          <w:p w14:paraId="01FB11D5">
            <w:pPr>
              <w:keepNext w:val="0"/>
              <w:keepLines w:val="0"/>
              <w:suppressLineNumbers w:val="0"/>
              <w:spacing w:before="0" w:beforeAutospacing="0" w:after="0" w:afterAutospacing="0" w:line="360" w:lineRule="auto"/>
              <w:ind w:left="0" w:right="0" w:firstLine="480" w:firstLineChars="200"/>
              <w:jc w:val="both"/>
              <w:rPr>
                <w:rFonts w:hint="eastAsia" w:ascii="宋体" w:cs="宋体"/>
                <w:color w:val="auto"/>
                <w:sz w:val="24"/>
              </w:rPr>
            </w:pPr>
          </w:p>
          <w:p w14:paraId="472D98B9">
            <w:pPr>
              <w:keepNext w:val="0"/>
              <w:keepLines w:val="0"/>
              <w:suppressLineNumbers w:val="0"/>
              <w:spacing w:before="0" w:beforeAutospacing="0" w:after="0" w:afterAutospacing="0" w:line="360" w:lineRule="auto"/>
              <w:ind w:left="0" w:right="0" w:firstLine="480" w:firstLineChars="200"/>
              <w:jc w:val="both"/>
              <w:rPr>
                <w:rFonts w:hint="eastAsia" w:ascii="宋体" w:cs="宋体"/>
                <w:color w:val="auto"/>
                <w:sz w:val="24"/>
              </w:rPr>
            </w:pPr>
          </w:p>
          <w:p w14:paraId="290BE94D">
            <w:pPr>
              <w:keepNext w:val="0"/>
              <w:keepLines w:val="0"/>
              <w:suppressLineNumbers w:val="0"/>
              <w:spacing w:before="0" w:beforeAutospacing="0" w:after="0" w:afterAutospacing="0" w:line="360" w:lineRule="auto"/>
              <w:ind w:left="0" w:right="0" w:firstLine="480" w:firstLineChars="200"/>
              <w:jc w:val="both"/>
              <w:rPr>
                <w:rFonts w:hint="eastAsia" w:ascii="宋体" w:cs="宋体"/>
                <w:color w:val="auto"/>
                <w:sz w:val="24"/>
              </w:rPr>
            </w:pPr>
          </w:p>
          <w:p w14:paraId="36E2B490">
            <w:pPr>
              <w:keepNext w:val="0"/>
              <w:keepLines w:val="0"/>
              <w:suppressLineNumbers w:val="0"/>
              <w:spacing w:before="0" w:beforeAutospacing="0" w:after="0" w:afterAutospacing="0" w:line="360" w:lineRule="auto"/>
              <w:ind w:left="0" w:right="0" w:firstLine="480" w:firstLineChars="200"/>
              <w:jc w:val="both"/>
              <w:rPr>
                <w:rFonts w:hint="eastAsia" w:ascii="宋体" w:cs="宋体"/>
                <w:color w:val="auto"/>
                <w:sz w:val="24"/>
              </w:rPr>
            </w:pPr>
            <w:r>
              <w:rPr>
                <w:rFonts w:hint="eastAsia" w:ascii="宋体" w:cs="宋体"/>
                <w:color w:val="auto"/>
                <w:sz w:val="24"/>
              </w:rPr>
              <w:t>综上所述，建设单位只要切实有效地落实好本环评提出的污染治理措施，严格管理，从环保角度分析，该项目建设可行。</w:t>
            </w:r>
          </w:p>
          <w:p w14:paraId="4978861D">
            <w:pPr>
              <w:keepNext w:val="0"/>
              <w:keepLines w:val="0"/>
              <w:suppressLineNumbers w:val="0"/>
              <w:spacing w:before="0" w:beforeAutospacing="0" w:after="0" w:afterAutospacing="0" w:line="360" w:lineRule="auto"/>
              <w:ind w:left="0" w:right="0" w:firstLine="480" w:firstLineChars="200"/>
              <w:jc w:val="both"/>
              <w:rPr>
                <w:rFonts w:hint="default" w:ascii="宋体" w:cs="宋体"/>
                <w:color w:val="auto"/>
                <w:sz w:val="24"/>
              </w:rPr>
            </w:pPr>
          </w:p>
          <w:p w14:paraId="44FCF36F">
            <w:pPr>
              <w:keepNext w:val="0"/>
              <w:keepLines w:val="0"/>
              <w:suppressLineNumbers w:val="0"/>
              <w:spacing w:before="0" w:beforeAutospacing="0" w:after="0" w:afterAutospacing="0" w:line="360" w:lineRule="auto"/>
              <w:ind w:left="0" w:right="0" w:firstLine="480" w:firstLineChars="200"/>
              <w:jc w:val="both"/>
              <w:rPr>
                <w:rFonts w:hint="default" w:ascii="宋体" w:cs="宋体"/>
                <w:color w:val="auto"/>
                <w:sz w:val="24"/>
              </w:rPr>
            </w:pPr>
          </w:p>
          <w:p w14:paraId="48B1FDF6">
            <w:pPr>
              <w:keepNext w:val="0"/>
              <w:keepLines w:val="0"/>
              <w:suppressLineNumbers w:val="0"/>
              <w:spacing w:before="0" w:beforeAutospacing="0" w:after="0" w:afterAutospacing="0" w:line="360" w:lineRule="auto"/>
              <w:ind w:left="0" w:right="0" w:firstLine="480" w:firstLineChars="200"/>
              <w:jc w:val="both"/>
              <w:rPr>
                <w:rFonts w:hint="default" w:ascii="宋体" w:cs="宋体"/>
                <w:color w:val="auto"/>
                <w:sz w:val="24"/>
              </w:rPr>
            </w:pPr>
          </w:p>
          <w:p w14:paraId="71E1B3BE">
            <w:pPr>
              <w:keepNext w:val="0"/>
              <w:keepLines w:val="0"/>
              <w:suppressLineNumbers w:val="0"/>
              <w:spacing w:before="0" w:beforeAutospacing="0" w:after="0" w:afterAutospacing="0" w:line="360" w:lineRule="auto"/>
              <w:ind w:left="0" w:right="0" w:firstLine="480" w:firstLineChars="200"/>
              <w:jc w:val="both"/>
              <w:rPr>
                <w:rFonts w:hint="default" w:ascii="宋体" w:cs="宋体"/>
                <w:color w:val="auto"/>
                <w:sz w:val="24"/>
              </w:rPr>
            </w:pPr>
          </w:p>
          <w:p w14:paraId="553E5801">
            <w:pPr>
              <w:keepNext w:val="0"/>
              <w:keepLines w:val="0"/>
              <w:suppressLineNumbers w:val="0"/>
              <w:spacing w:before="0" w:beforeAutospacing="0" w:after="0" w:afterAutospacing="0" w:line="360" w:lineRule="auto"/>
              <w:ind w:left="0" w:right="0" w:firstLine="480" w:firstLineChars="200"/>
              <w:jc w:val="both"/>
              <w:rPr>
                <w:rFonts w:hint="default" w:ascii="宋体" w:cs="宋体"/>
                <w:color w:val="auto"/>
                <w:sz w:val="24"/>
              </w:rPr>
            </w:pPr>
          </w:p>
          <w:p w14:paraId="6C39DB7D">
            <w:pPr>
              <w:keepNext w:val="0"/>
              <w:keepLines w:val="0"/>
              <w:suppressLineNumbers w:val="0"/>
              <w:spacing w:before="0" w:beforeAutospacing="0" w:after="0" w:afterAutospacing="0" w:line="360" w:lineRule="auto"/>
              <w:ind w:left="0" w:right="0" w:firstLine="480" w:firstLineChars="200"/>
              <w:jc w:val="both"/>
              <w:rPr>
                <w:rFonts w:hint="default" w:ascii="宋体" w:cs="宋体"/>
                <w:color w:val="auto"/>
                <w:sz w:val="24"/>
              </w:rPr>
            </w:pPr>
          </w:p>
          <w:p w14:paraId="79E505D6">
            <w:pPr>
              <w:keepNext w:val="0"/>
              <w:keepLines w:val="0"/>
              <w:suppressLineNumbers w:val="0"/>
              <w:spacing w:before="0" w:beforeAutospacing="0" w:after="0" w:afterAutospacing="0" w:line="360" w:lineRule="auto"/>
              <w:ind w:left="0" w:right="0" w:firstLine="480" w:firstLineChars="200"/>
              <w:jc w:val="both"/>
              <w:rPr>
                <w:rFonts w:hint="default" w:ascii="宋体" w:cs="宋体"/>
                <w:color w:val="auto"/>
                <w:sz w:val="24"/>
              </w:rPr>
            </w:pPr>
          </w:p>
          <w:p w14:paraId="37988B98">
            <w:pPr>
              <w:keepNext w:val="0"/>
              <w:keepLines w:val="0"/>
              <w:suppressLineNumbers w:val="0"/>
              <w:spacing w:before="0" w:beforeAutospacing="0" w:after="0" w:afterAutospacing="0" w:line="360" w:lineRule="auto"/>
              <w:ind w:left="0" w:right="0" w:firstLine="480" w:firstLineChars="200"/>
              <w:jc w:val="both"/>
              <w:rPr>
                <w:rFonts w:hint="eastAsia" w:ascii="宋体" w:cs="宋体"/>
                <w:color w:val="auto"/>
                <w:sz w:val="24"/>
              </w:rPr>
            </w:pPr>
          </w:p>
          <w:p w14:paraId="3E392714">
            <w:pPr>
              <w:keepNext w:val="0"/>
              <w:keepLines w:val="0"/>
              <w:suppressLineNumbers w:val="0"/>
              <w:spacing w:before="0" w:beforeAutospacing="0" w:after="0" w:afterAutospacing="0" w:line="360" w:lineRule="auto"/>
              <w:ind w:left="0" w:right="0" w:firstLine="480" w:firstLineChars="200"/>
              <w:jc w:val="both"/>
              <w:rPr>
                <w:rFonts w:hint="eastAsia" w:ascii="宋体" w:cs="宋体"/>
                <w:color w:val="auto"/>
                <w:sz w:val="24"/>
              </w:rPr>
            </w:pPr>
          </w:p>
        </w:tc>
      </w:tr>
    </w:tbl>
    <w:p w14:paraId="4535730E">
      <w:pPr>
        <w:pStyle w:val="78"/>
        <w:rPr>
          <w:color w:val="auto"/>
        </w:rPr>
        <w:sectPr>
          <w:pgSz w:w="11906" w:h="16838"/>
          <w:pgMar w:top="1440" w:right="1800" w:bottom="1440" w:left="1800" w:header="851" w:footer="851" w:gutter="0"/>
          <w:pgBorders w:offsetFrom="page">
            <w:top w:val="none" w:sz="0" w:space="0"/>
            <w:left w:val="none" w:sz="0" w:space="0"/>
            <w:bottom w:val="none" w:sz="0" w:space="0"/>
            <w:right w:val="none" w:sz="0" w:space="0"/>
          </w:pgBorders>
          <w:cols w:space="720" w:num="1"/>
          <w:docGrid w:linePitch="312" w:charSpace="0"/>
        </w:sectPr>
      </w:pPr>
    </w:p>
    <w:p w14:paraId="4D1FC0DA">
      <w:pPr>
        <w:pStyle w:val="24"/>
        <w:adjustRightInd w:val="0"/>
        <w:snapToGrid w:val="0"/>
        <w:spacing w:before="0" w:beforeAutospacing="0" w:after="0" w:afterAutospacing="0" w:line="240" w:lineRule="auto"/>
        <w:jc w:val="left"/>
        <w:outlineLvl w:val="0"/>
        <w:rPr>
          <w:rFonts w:hint="eastAsia" w:ascii="方正小标宋_GBK" w:hAnsi="黑体" w:eastAsia="方正小标宋_GBK"/>
          <w:snapToGrid w:val="0"/>
          <w:color w:val="auto"/>
          <w:sz w:val="38"/>
          <w:szCs w:val="38"/>
          <w:lang w:eastAsia="zh-CN"/>
        </w:rPr>
      </w:pPr>
      <w:bookmarkStart w:id="15" w:name="_Toc11814"/>
      <w:bookmarkStart w:id="16" w:name="_Toc9367"/>
      <w:bookmarkStart w:id="17" w:name="_Toc23106"/>
      <w:bookmarkStart w:id="18" w:name="_Toc23288"/>
      <w:bookmarkStart w:id="19" w:name="_Toc27372"/>
      <w:r>
        <w:rPr>
          <w:rFonts w:hint="eastAsia" w:ascii="方正小标宋_GBK" w:hAnsi="黑体" w:eastAsia="方正小标宋_GBK"/>
          <w:snapToGrid w:val="0"/>
          <w:color w:val="auto"/>
          <w:sz w:val="38"/>
          <w:szCs w:val="38"/>
          <w:lang w:eastAsia="zh-CN"/>
        </w:rPr>
        <w:t>附表</w:t>
      </w:r>
      <w:bookmarkEnd w:id="15"/>
    </w:p>
    <w:p w14:paraId="2AAF0762">
      <w:pPr>
        <w:pStyle w:val="24"/>
        <w:adjustRightInd w:val="0"/>
        <w:snapToGrid w:val="0"/>
        <w:spacing w:before="0" w:beforeAutospacing="0" w:after="0" w:afterAutospacing="0" w:line="240" w:lineRule="auto"/>
        <w:jc w:val="center"/>
        <w:outlineLvl w:val="9"/>
        <w:rPr>
          <w:rFonts w:hint="default" w:ascii="Times New Roman" w:hAnsi="Times New Roman" w:eastAsia="宋体" w:cs="Times New Roman"/>
          <w:snapToGrid w:val="0"/>
          <w:color w:val="auto"/>
          <w:sz w:val="38"/>
          <w:szCs w:val="38"/>
          <w:lang w:val="en-US" w:eastAsia="zh-CN"/>
        </w:rPr>
      </w:pPr>
      <w:r>
        <w:rPr>
          <w:rFonts w:hint="default" w:ascii="Times New Roman" w:hAnsi="Times New Roman" w:eastAsia="宋体" w:cs="Times New Roman"/>
          <w:snapToGrid w:val="0"/>
          <w:color w:val="auto"/>
          <w:sz w:val="38"/>
          <w:szCs w:val="38"/>
        </w:rPr>
        <w:t>建设项目污染物排放量汇总表</w:t>
      </w:r>
      <w:bookmarkEnd w:id="16"/>
      <w:bookmarkEnd w:id="17"/>
      <w:bookmarkEnd w:id="18"/>
      <w:bookmarkEnd w:id="19"/>
      <w:r>
        <w:rPr>
          <w:rFonts w:hint="default" w:ascii="Times New Roman" w:hAnsi="Times New Roman" w:eastAsia="宋体" w:cs="Times New Roman"/>
          <w:snapToGrid w:val="0"/>
          <w:color w:val="auto"/>
          <w:sz w:val="38"/>
          <w:szCs w:val="38"/>
          <w:lang w:eastAsia="zh-CN"/>
        </w:rPr>
        <w:t>（</w:t>
      </w:r>
      <w:r>
        <w:rPr>
          <w:rFonts w:hint="default" w:ascii="Times New Roman" w:hAnsi="Times New Roman" w:eastAsia="宋体" w:cs="Times New Roman"/>
          <w:snapToGrid w:val="0"/>
          <w:color w:val="auto"/>
          <w:sz w:val="38"/>
          <w:szCs w:val="38"/>
          <w:lang w:val="en-US" w:eastAsia="zh-CN"/>
        </w:rPr>
        <w:t>t/a）</w:t>
      </w:r>
    </w:p>
    <w:tbl>
      <w:tblPr>
        <w:tblStyle w:val="28"/>
        <w:tblW w:w="13956"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32"/>
        <w:gridCol w:w="1502"/>
        <w:gridCol w:w="1903"/>
        <w:gridCol w:w="1320"/>
        <w:gridCol w:w="1714"/>
        <w:gridCol w:w="1595"/>
        <w:gridCol w:w="1871"/>
        <w:gridCol w:w="1756"/>
        <w:gridCol w:w="1063"/>
      </w:tblGrid>
      <w:tr w14:paraId="673E6D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tcBorders>
              <w:tl2br w:val="single" w:color="auto" w:sz="4" w:space="0"/>
            </w:tcBorders>
            <w:noWrap w:val="0"/>
            <w:tcMar>
              <w:left w:w="28" w:type="dxa"/>
              <w:right w:w="28" w:type="dxa"/>
            </w:tcMar>
            <w:vAlign w:val="center"/>
          </w:tcPr>
          <w:p w14:paraId="10AEACF9">
            <w:pPr>
              <w:pStyle w:val="56"/>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lang w:val="en-US" w:eastAsia="zh-CN"/>
              </w:rPr>
              <w:t xml:space="preserve">      </w:t>
            </w:r>
            <w:r>
              <w:rPr>
                <w:rFonts w:hint="default" w:cs="Times New Roman"/>
                <w:color w:val="auto"/>
              </w:rPr>
              <w:t>项目</w:t>
            </w:r>
          </w:p>
          <w:p w14:paraId="4DF05658">
            <w:pPr>
              <w:pStyle w:val="56"/>
              <w:keepNext w:val="0"/>
              <w:keepLines w:val="0"/>
              <w:suppressLineNumbers w:val="0"/>
              <w:bidi w:val="0"/>
              <w:spacing w:before="0" w:beforeAutospacing="0" w:after="0" w:afterAutospacing="0"/>
              <w:ind w:left="0" w:right="0"/>
              <w:jc w:val="both"/>
              <w:rPr>
                <w:rFonts w:hint="default" w:cs="Times New Roman"/>
                <w:color w:val="auto"/>
              </w:rPr>
            </w:pPr>
            <w:r>
              <w:rPr>
                <w:rFonts w:hint="default" w:cs="Times New Roman"/>
                <w:color w:val="auto"/>
              </w:rPr>
              <w:t>分类</w:t>
            </w:r>
          </w:p>
        </w:tc>
        <w:tc>
          <w:tcPr>
            <w:tcW w:w="1502" w:type="dxa"/>
            <w:noWrap w:val="0"/>
            <w:tcMar>
              <w:left w:w="28" w:type="dxa"/>
              <w:right w:w="28" w:type="dxa"/>
            </w:tcMar>
            <w:vAlign w:val="center"/>
          </w:tcPr>
          <w:p w14:paraId="117A2307">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污染物名称</w:t>
            </w:r>
          </w:p>
        </w:tc>
        <w:tc>
          <w:tcPr>
            <w:tcW w:w="1903" w:type="dxa"/>
            <w:noWrap w:val="0"/>
            <w:tcMar>
              <w:left w:w="28" w:type="dxa"/>
              <w:right w:w="28" w:type="dxa"/>
            </w:tcMar>
            <w:vAlign w:val="center"/>
          </w:tcPr>
          <w:p w14:paraId="597E3DBA">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现有工程</w:t>
            </w:r>
          </w:p>
          <w:p w14:paraId="3B04CCC6">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排放量（固体废物产生量）</w:t>
            </w:r>
            <w:r>
              <w:rPr>
                <w:rFonts w:hint="default" w:cs="Times New Roman"/>
                <w:color w:val="auto"/>
              </w:rPr>
              <w:fldChar w:fldCharType="begin"/>
            </w:r>
            <w:r>
              <w:rPr>
                <w:rFonts w:hint="default" w:cs="Times New Roman"/>
                <w:color w:val="auto"/>
              </w:rPr>
              <w:instrText xml:space="preserve"> = 1 \* GB3 \* MERGEFORMAT </w:instrText>
            </w:r>
            <w:r>
              <w:rPr>
                <w:rFonts w:hint="default" w:cs="Times New Roman"/>
                <w:color w:val="auto"/>
              </w:rPr>
              <w:fldChar w:fldCharType="separate"/>
            </w:r>
            <w:r>
              <w:rPr>
                <w:rFonts w:hint="default" w:cs="Times New Roman"/>
                <w:color w:val="auto"/>
              </w:rPr>
              <w:t>①</w:t>
            </w:r>
            <w:r>
              <w:rPr>
                <w:rFonts w:hint="default" w:cs="Times New Roman"/>
                <w:color w:val="auto"/>
              </w:rPr>
              <w:fldChar w:fldCharType="end"/>
            </w:r>
          </w:p>
        </w:tc>
        <w:tc>
          <w:tcPr>
            <w:tcW w:w="1320" w:type="dxa"/>
            <w:noWrap w:val="0"/>
            <w:tcMar>
              <w:left w:w="28" w:type="dxa"/>
              <w:right w:w="28" w:type="dxa"/>
            </w:tcMar>
            <w:vAlign w:val="center"/>
          </w:tcPr>
          <w:p w14:paraId="7D762227">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现有工程</w:t>
            </w:r>
          </w:p>
          <w:p w14:paraId="7D29BF20">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许可排放量</w:t>
            </w:r>
          </w:p>
          <w:p w14:paraId="1A010ABD">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fldChar w:fldCharType="begin"/>
            </w:r>
            <w:r>
              <w:rPr>
                <w:rFonts w:hint="default" w:cs="Times New Roman"/>
                <w:color w:val="auto"/>
              </w:rPr>
              <w:instrText xml:space="preserve"> = 2 \* GB3 \* MERGEFORMAT </w:instrText>
            </w:r>
            <w:r>
              <w:rPr>
                <w:rFonts w:hint="default" w:cs="Times New Roman"/>
                <w:color w:val="auto"/>
              </w:rPr>
              <w:fldChar w:fldCharType="separate"/>
            </w:r>
            <w:r>
              <w:rPr>
                <w:rFonts w:hint="default" w:cs="Times New Roman"/>
                <w:color w:val="auto"/>
              </w:rPr>
              <w:t>②</w:t>
            </w:r>
            <w:r>
              <w:rPr>
                <w:rFonts w:hint="default" w:cs="Times New Roman"/>
                <w:color w:val="auto"/>
              </w:rPr>
              <w:fldChar w:fldCharType="end"/>
            </w:r>
          </w:p>
        </w:tc>
        <w:tc>
          <w:tcPr>
            <w:tcW w:w="1714" w:type="dxa"/>
            <w:noWrap w:val="0"/>
            <w:tcMar>
              <w:left w:w="28" w:type="dxa"/>
              <w:right w:w="28" w:type="dxa"/>
            </w:tcMar>
            <w:vAlign w:val="center"/>
          </w:tcPr>
          <w:p w14:paraId="44B8F3BE">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在建工程</w:t>
            </w:r>
          </w:p>
          <w:p w14:paraId="43EF0BBA">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排放量（固体废物产生量）</w:t>
            </w:r>
            <w:r>
              <w:rPr>
                <w:rFonts w:hint="default" w:cs="Times New Roman"/>
                <w:color w:val="auto"/>
              </w:rPr>
              <w:fldChar w:fldCharType="begin"/>
            </w:r>
            <w:r>
              <w:rPr>
                <w:rFonts w:hint="default" w:cs="Times New Roman"/>
                <w:color w:val="auto"/>
              </w:rPr>
              <w:instrText xml:space="preserve"> = 3 \* GB3 \* MERGEFORMAT </w:instrText>
            </w:r>
            <w:r>
              <w:rPr>
                <w:rFonts w:hint="default" w:cs="Times New Roman"/>
                <w:color w:val="auto"/>
              </w:rPr>
              <w:fldChar w:fldCharType="separate"/>
            </w:r>
            <w:r>
              <w:rPr>
                <w:rFonts w:hint="default" w:cs="Times New Roman"/>
                <w:color w:val="auto"/>
              </w:rPr>
              <w:t>③</w:t>
            </w:r>
            <w:r>
              <w:rPr>
                <w:rFonts w:hint="default" w:cs="Times New Roman"/>
                <w:color w:val="auto"/>
              </w:rPr>
              <w:fldChar w:fldCharType="end"/>
            </w:r>
          </w:p>
        </w:tc>
        <w:tc>
          <w:tcPr>
            <w:tcW w:w="1595" w:type="dxa"/>
            <w:noWrap w:val="0"/>
            <w:tcMar>
              <w:left w:w="28" w:type="dxa"/>
              <w:right w:w="28" w:type="dxa"/>
            </w:tcMar>
            <w:vAlign w:val="center"/>
          </w:tcPr>
          <w:p w14:paraId="65D2535D">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本项目</w:t>
            </w:r>
          </w:p>
          <w:p w14:paraId="024A64F2">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排放量（固体废物产生量）</w:t>
            </w:r>
            <w:r>
              <w:rPr>
                <w:rFonts w:hint="default" w:cs="Times New Roman"/>
                <w:color w:val="auto"/>
              </w:rPr>
              <w:fldChar w:fldCharType="begin"/>
            </w:r>
            <w:r>
              <w:rPr>
                <w:rFonts w:hint="default" w:cs="Times New Roman"/>
                <w:color w:val="auto"/>
              </w:rPr>
              <w:instrText xml:space="preserve"> = 4 \* GB3 \* MERGEFORMAT </w:instrText>
            </w:r>
            <w:r>
              <w:rPr>
                <w:rFonts w:hint="default" w:cs="Times New Roman"/>
                <w:color w:val="auto"/>
              </w:rPr>
              <w:fldChar w:fldCharType="separate"/>
            </w:r>
            <w:r>
              <w:rPr>
                <w:rFonts w:hint="default" w:cs="Times New Roman"/>
                <w:color w:val="auto"/>
              </w:rPr>
              <w:t>④</w:t>
            </w:r>
            <w:r>
              <w:rPr>
                <w:rFonts w:hint="default" w:cs="Times New Roman"/>
                <w:color w:val="auto"/>
              </w:rPr>
              <w:fldChar w:fldCharType="end"/>
            </w:r>
          </w:p>
        </w:tc>
        <w:tc>
          <w:tcPr>
            <w:tcW w:w="1871" w:type="dxa"/>
            <w:noWrap w:val="0"/>
            <w:tcMar>
              <w:left w:w="28" w:type="dxa"/>
              <w:right w:w="28" w:type="dxa"/>
            </w:tcMar>
            <w:vAlign w:val="center"/>
          </w:tcPr>
          <w:p w14:paraId="7005763E">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以新带老削减量</w:t>
            </w:r>
          </w:p>
          <w:p w14:paraId="550A4B8D">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（新建项目不填）</w:t>
            </w:r>
            <w:r>
              <w:rPr>
                <w:rFonts w:hint="default" w:cs="Times New Roman"/>
                <w:color w:val="auto"/>
              </w:rPr>
              <w:fldChar w:fldCharType="begin"/>
            </w:r>
            <w:r>
              <w:rPr>
                <w:rFonts w:hint="default" w:cs="Times New Roman"/>
                <w:color w:val="auto"/>
              </w:rPr>
              <w:instrText xml:space="preserve"> = 5 \* GB3 \* MERGEFORMAT </w:instrText>
            </w:r>
            <w:r>
              <w:rPr>
                <w:rFonts w:hint="default" w:cs="Times New Roman"/>
                <w:color w:val="auto"/>
              </w:rPr>
              <w:fldChar w:fldCharType="separate"/>
            </w:r>
            <w:r>
              <w:rPr>
                <w:rFonts w:hint="default" w:cs="Times New Roman"/>
                <w:color w:val="auto"/>
              </w:rPr>
              <w:t>⑤</w:t>
            </w:r>
            <w:r>
              <w:rPr>
                <w:rFonts w:hint="default" w:cs="Times New Roman"/>
                <w:color w:val="auto"/>
              </w:rPr>
              <w:fldChar w:fldCharType="end"/>
            </w:r>
          </w:p>
        </w:tc>
        <w:tc>
          <w:tcPr>
            <w:tcW w:w="1756" w:type="dxa"/>
            <w:noWrap w:val="0"/>
            <w:tcMar>
              <w:left w:w="28" w:type="dxa"/>
              <w:right w:w="28" w:type="dxa"/>
            </w:tcMar>
            <w:vAlign w:val="center"/>
          </w:tcPr>
          <w:p w14:paraId="3B2E99C4">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本项目建成后</w:t>
            </w:r>
          </w:p>
          <w:p w14:paraId="048AAEC2">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全厂排放量（固体废物产生量）</w:t>
            </w:r>
            <w:r>
              <w:rPr>
                <w:rFonts w:hint="default" w:cs="Times New Roman"/>
                <w:color w:val="auto"/>
              </w:rPr>
              <w:fldChar w:fldCharType="begin"/>
            </w:r>
            <w:r>
              <w:rPr>
                <w:rFonts w:hint="default" w:cs="Times New Roman"/>
                <w:color w:val="auto"/>
              </w:rPr>
              <w:instrText xml:space="preserve"> = 6 \* GB3 \* MERGEFORMAT </w:instrText>
            </w:r>
            <w:r>
              <w:rPr>
                <w:rFonts w:hint="default" w:cs="Times New Roman"/>
                <w:color w:val="auto"/>
              </w:rPr>
              <w:fldChar w:fldCharType="separate"/>
            </w:r>
            <w:r>
              <w:rPr>
                <w:rFonts w:hint="default" w:cs="Times New Roman"/>
                <w:color w:val="auto"/>
              </w:rPr>
              <w:t>⑥</w:t>
            </w:r>
            <w:r>
              <w:rPr>
                <w:rFonts w:hint="default" w:cs="Times New Roman"/>
                <w:color w:val="auto"/>
              </w:rPr>
              <w:fldChar w:fldCharType="end"/>
            </w:r>
          </w:p>
        </w:tc>
        <w:tc>
          <w:tcPr>
            <w:tcW w:w="1063" w:type="dxa"/>
            <w:noWrap w:val="0"/>
            <w:tcMar>
              <w:left w:w="28" w:type="dxa"/>
              <w:right w:w="28" w:type="dxa"/>
            </w:tcMar>
            <w:vAlign w:val="center"/>
          </w:tcPr>
          <w:p w14:paraId="6DE40EFE">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变化量</w:t>
            </w:r>
          </w:p>
          <w:p w14:paraId="3FF08761">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fldChar w:fldCharType="begin"/>
            </w:r>
            <w:r>
              <w:rPr>
                <w:rFonts w:hint="default" w:cs="Times New Roman"/>
                <w:color w:val="auto"/>
              </w:rPr>
              <w:instrText xml:space="preserve"> = 7 \* GB3 \* MERGEFORMAT </w:instrText>
            </w:r>
            <w:r>
              <w:rPr>
                <w:rFonts w:hint="default" w:cs="Times New Roman"/>
                <w:color w:val="auto"/>
              </w:rPr>
              <w:fldChar w:fldCharType="separate"/>
            </w:r>
            <w:r>
              <w:rPr>
                <w:rFonts w:hint="default" w:cs="Times New Roman"/>
                <w:color w:val="auto"/>
              </w:rPr>
              <w:t>⑦</w:t>
            </w:r>
            <w:r>
              <w:rPr>
                <w:rFonts w:hint="default" w:cs="Times New Roman"/>
                <w:color w:val="auto"/>
              </w:rPr>
              <w:fldChar w:fldCharType="end"/>
            </w:r>
          </w:p>
        </w:tc>
      </w:tr>
      <w:tr w14:paraId="27F6C2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restart"/>
            <w:noWrap w:val="0"/>
            <w:vAlign w:val="center"/>
          </w:tcPr>
          <w:p w14:paraId="2E0A732A">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废气</w:t>
            </w:r>
          </w:p>
        </w:tc>
        <w:tc>
          <w:tcPr>
            <w:tcW w:w="1502" w:type="dxa"/>
            <w:noWrap w:val="0"/>
            <w:vAlign w:val="center"/>
          </w:tcPr>
          <w:p w14:paraId="6F14B0E4">
            <w:pPr>
              <w:pStyle w:val="56"/>
              <w:keepNext w:val="0"/>
              <w:keepLines w:val="0"/>
              <w:suppressLineNumbers w:val="0"/>
              <w:bidi w:val="0"/>
              <w:spacing w:before="0" w:beforeAutospacing="0" w:after="0" w:afterAutospacing="0"/>
              <w:ind w:left="0" w:right="0"/>
              <w:rPr>
                <w:rFonts w:hint="default" w:cs="Times New Roman"/>
                <w:color w:val="auto"/>
                <w:lang w:eastAsia="zh-CN"/>
              </w:rPr>
            </w:pPr>
            <w:r>
              <w:rPr>
                <w:rFonts w:hint="default" w:cs="Times New Roman"/>
                <w:color w:val="auto"/>
              </w:rPr>
              <w:t>颗粒物</w:t>
            </w:r>
          </w:p>
        </w:tc>
        <w:tc>
          <w:tcPr>
            <w:tcW w:w="1903" w:type="dxa"/>
            <w:noWrap w:val="0"/>
            <w:vAlign w:val="center"/>
          </w:tcPr>
          <w:p w14:paraId="1AB87854">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color w:val="auto"/>
                <w:lang w:val="en-US" w:eastAsia="zh-CN"/>
              </w:rPr>
              <w:t>2.513</w:t>
            </w:r>
          </w:p>
        </w:tc>
        <w:tc>
          <w:tcPr>
            <w:tcW w:w="1320" w:type="dxa"/>
            <w:noWrap w:val="0"/>
            <w:vAlign w:val="center"/>
          </w:tcPr>
          <w:p w14:paraId="6D0FF6D9">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1714" w:type="dxa"/>
            <w:noWrap w:val="0"/>
            <w:vAlign w:val="center"/>
          </w:tcPr>
          <w:p w14:paraId="090399CD">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1595" w:type="dxa"/>
            <w:noWrap w:val="0"/>
            <w:vAlign w:val="center"/>
          </w:tcPr>
          <w:p w14:paraId="1EE8F7AB">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lang w:val="en-US" w:eastAsia="zh-CN"/>
              </w:rPr>
            </w:pPr>
            <w:r>
              <w:rPr>
                <w:rFonts w:hint="eastAsia" w:cs="Times New Roman"/>
                <w:color w:val="auto"/>
                <w:sz w:val="21"/>
                <w:szCs w:val="21"/>
                <w:lang w:val="en-US" w:eastAsia="zh-CN" w:bidi="ar"/>
              </w:rPr>
              <w:t>3.321</w:t>
            </w:r>
          </w:p>
        </w:tc>
        <w:tc>
          <w:tcPr>
            <w:tcW w:w="1871" w:type="dxa"/>
            <w:noWrap w:val="0"/>
            <w:vAlign w:val="center"/>
          </w:tcPr>
          <w:p w14:paraId="6373050B">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default" w:cs="Times New Roman"/>
                <w:color w:val="auto"/>
                <w:lang w:val="en-US" w:eastAsia="zh-CN"/>
              </w:rPr>
              <w:t>/</w:t>
            </w:r>
          </w:p>
        </w:tc>
        <w:tc>
          <w:tcPr>
            <w:tcW w:w="1756" w:type="dxa"/>
            <w:noWrap w:val="0"/>
            <w:vAlign w:val="center"/>
          </w:tcPr>
          <w:p w14:paraId="3E5A7256">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3.321</w:t>
            </w:r>
          </w:p>
        </w:tc>
        <w:tc>
          <w:tcPr>
            <w:tcW w:w="1063" w:type="dxa"/>
            <w:noWrap w:val="0"/>
            <w:vAlign w:val="center"/>
          </w:tcPr>
          <w:p w14:paraId="687E3511">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lang w:val="en-US"/>
              </w:rPr>
            </w:pPr>
            <w:r>
              <w:rPr>
                <w:rFonts w:hint="eastAsia" w:cs="Times New Roman"/>
                <w:color w:val="auto"/>
                <w:sz w:val="21"/>
                <w:szCs w:val="21"/>
                <w:lang w:val="en-US" w:eastAsia="zh-CN" w:bidi="ar"/>
              </w:rPr>
              <w:t>+0.808</w:t>
            </w:r>
          </w:p>
        </w:tc>
      </w:tr>
      <w:tr w14:paraId="353516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02595CE1">
            <w:pPr>
              <w:pStyle w:val="56"/>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5AF14616">
            <w:pPr>
              <w:pStyle w:val="56"/>
              <w:keepNext w:val="0"/>
              <w:keepLines w:val="0"/>
              <w:suppressLineNumbers w:val="0"/>
              <w:bidi w:val="0"/>
              <w:spacing w:before="0" w:beforeAutospacing="0" w:after="0" w:afterAutospacing="0"/>
              <w:ind w:left="0" w:right="0"/>
              <w:rPr>
                <w:rFonts w:hint="default" w:eastAsia="宋体" w:cs="Times New Roman"/>
                <w:color w:val="auto"/>
                <w:lang w:val="en-US" w:eastAsia="zh-CN"/>
              </w:rPr>
            </w:pPr>
            <w:r>
              <w:rPr>
                <w:rFonts w:hint="eastAsia" w:cs="Times New Roman"/>
                <w:color w:val="auto"/>
                <w:lang w:val="en-US" w:eastAsia="zh-CN"/>
              </w:rPr>
              <w:t>氟化物</w:t>
            </w:r>
          </w:p>
        </w:tc>
        <w:tc>
          <w:tcPr>
            <w:tcW w:w="1903" w:type="dxa"/>
            <w:noWrap w:val="0"/>
            <w:vAlign w:val="center"/>
          </w:tcPr>
          <w:p w14:paraId="0C16664B">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cs="Times New Roman"/>
                <w:color w:val="auto"/>
                <w:lang w:val="en-US" w:eastAsia="zh-CN"/>
              </w:rPr>
              <w:t>/</w:t>
            </w:r>
          </w:p>
        </w:tc>
        <w:tc>
          <w:tcPr>
            <w:tcW w:w="1320" w:type="dxa"/>
            <w:noWrap w:val="0"/>
            <w:vAlign w:val="center"/>
          </w:tcPr>
          <w:p w14:paraId="41C1C180">
            <w:pPr>
              <w:pStyle w:val="56"/>
              <w:keepNext w:val="0"/>
              <w:keepLines w:val="0"/>
              <w:suppressLineNumbers w:val="0"/>
              <w:bidi w:val="0"/>
              <w:spacing w:before="0" w:beforeAutospacing="0" w:after="0" w:afterAutospacing="0"/>
              <w:ind w:left="0" w:right="0"/>
              <w:rPr>
                <w:rFonts w:hint="eastAsia" w:eastAsia="宋体" w:cs="Times New Roman"/>
                <w:color w:val="auto"/>
                <w:lang w:val="en-US" w:eastAsia="zh-CN"/>
              </w:rPr>
            </w:pPr>
            <w:r>
              <w:rPr>
                <w:rFonts w:hint="eastAsia" w:cs="Times New Roman"/>
                <w:color w:val="auto"/>
                <w:lang w:val="en-US" w:eastAsia="zh-CN"/>
              </w:rPr>
              <w:t>/</w:t>
            </w:r>
          </w:p>
        </w:tc>
        <w:tc>
          <w:tcPr>
            <w:tcW w:w="1714" w:type="dxa"/>
            <w:noWrap w:val="0"/>
            <w:vAlign w:val="center"/>
          </w:tcPr>
          <w:p w14:paraId="790556D7">
            <w:pPr>
              <w:pStyle w:val="56"/>
              <w:keepNext w:val="0"/>
              <w:keepLines w:val="0"/>
              <w:suppressLineNumbers w:val="0"/>
              <w:bidi w:val="0"/>
              <w:spacing w:before="0" w:beforeAutospacing="0" w:after="0" w:afterAutospacing="0"/>
              <w:ind w:left="0" w:right="0"/>
              <w:rPr>
                <w:rFonts w:hint="eastAsia" w:eastAsia="宋体" w:cs="Times New Roman"/>
                <w:color w:val="auto"/>
                <w:lang w:val="en-US" w:eastAsia="zh-CN"/>
              </w:rPr>
            </w:pPr>
            <w:r>
              <w:rPr>
                <w:rFonts w:hint="eastAsia" w:cs="Times New Roman"/>
                <w:color w:val="auto"/>
                <w:lang w:val="en-US" w:eastAsia="zh-CN"/>
              </w:rPr>
              <w:t>/</w:t>
            </w:r>
          </w:p>
        </w:tc>
        <w:tc>
          <w:tcPr>
            <w:tcW w:w="1595" w:type="dxa"/>
            <w:noWrap w:val="0"/>
            <w:vAlign w:val="center"/>
          </w:tcPr>
          <w:p w14:paraId="6A62EDAB">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lang w:val="en-US" w:eastAsia="zh-CN"/>
              </w:rPr>
            </w:pPr>
            <w:r>
              <w:rPr>
                <w:rFonts w:hint="default" w:ascii="Times New Roman" w:hAnsi="Times New Roman" w:eastAsia="宋体" w:cs="Times New Roman"/>
                <w:color w:val="auto"/>
                <w:sz w:val="21"/>
                <w:szCs w:val="21"/>
                <w:lang w:val="en-US" w:eastAsia="zh-CN" w:bidi="ar"/>
              </w:rPr>
              <w:t>0.0424</w:t>
            </w:r>
          </w:p>
        </w:tc>
        <w:tc>
          <w:tcPr>
            <w:tcW w:w="1871" w:type="dxa"/>
            <w:noWrap w:val="0"/>
            <w:vAlign w:val="center"/>
          </w:tcPr>
          <w:p w14:paraId="1AA4EDAD">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w:t>
            </w:r>
          </w:p>
        </w:tc>
        <w:tc>
          <w:tcPr>
            <w:tcW w:w="1756" w:type="dxa"/>
            <w:noWrap w:val="0"/>
            <w:vAlign w:val="center"/>
          </w:tcPr>
          <w:p w14:paraId="295D9DCB">
            <w:pPr>
              <w:pStyle w:val="56"/>
              <w:keepNext w:val="0"/>
              <w:keepLines w:val="0"/>
              <w:suppressLineNumbers w:val="0"/>
              <w:bidi w:val="0"/>
              <w:spacing w:before="0" w:beforeAutospacing="0" w:after="0" w:afterAutospacing="0"/>
              <w:ind w:left="0" w:right="0"/>
              <w:rPr>
                <w:rFonts w:hint="default" w:cs="Times New Roman"/>
                <w:color w:val="auto"/>
                <w:lang w:val="en-US" w:eastAsia="zh-CN"/>
              </w:rPr>
            </w:pPr>
            <w:r>
              <w:rPr>
                <w:rFonts w:hint="eastAsia" w:cs="Times New Roman"/>
                <w:color w:val="auto"/>
                <w:lang w:val="en-US" w:eastAsia="zh-CN"/>
              </w:rPr>
              <w:t>0.0424</w:t>
            </w:r>
          </w:p>
        </w:tc>
        <w:tc>
          <w:tcPr>
            <w:tcW w:w="1063" w:type="dxa"/>
            <w:noWrap w:val="0"/>
            <w:vAlign w:val="center"/>
          </w:tcPr>
          <w:p w14:paraId="300EB324">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cs="Times New Roman"/>
                <w:color w:val="auto"/>
                <w:lang w:val="en-US" w:eastAsia="zh-CN"/>
              </w:rPr>
            </w:pPr>
            <w:r>
              <w:rPr>
                <w:rFonts w:hint="eastAsia" w:cs="Times New Roman"/>
                <w:color w:val="auto"/>
                <w:sz w:val="21"/>
                <w:szCs w:val="21"/>
                <w:lang w:val="en-US" w:eastAsia="zh-CN" w:bidi="ar"/>
              </w:rPr>
              <w:t>+0.0424</w:t>
            </w:r>
          </w:p>
        </w:tc>
      </w:tr>
      <w:tr w14:paraId="1488FB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restart"/>
            <w:noWrap w:val="0"/>
            <w:vAlign w:val="center"/>
          </w:tcPr>
          <w:p w14:paraId="1A6ED030">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废水</w:t>
            </w:r>
          </w:p>
        </w:tc>
        <w:tc>
          <w:tcPr>
            <w:tcW w:w="1502" w:type="dxa"/>
            <w:noWrap w:val="0"/>
            <w:vAlign w:val="center"/>
          </w:tcPr>
          <w:p w14:paraId="436BE3E6">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color w:val="auto"/>
                <w:lang w:val="en-US" w:eastAsia="zh-CN"/>
              </w:rPr>
              <w:t>CODcr</w:t>
            </w:r>
          </w:p>
        </w:tc>
        <w:tc>
          <w:tcPr>
            <w:tcW w:w="1903" w:type="dxa"/>
            <w:noWrap w:val="0"/>
            <w:vAlign w:val="center"/>
          </w:tcPr>
          <w:p w14:paraId="5C1A8733">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color w:val="auto"/>
                <w:lang w:val="en-US" w:eastAsia="zh-CN"/>
              </w:rPr>
              <w:t>0.672</w:t>
            </w:r>
          </w:p>
        </w:tc>
        <w:tc>
          <w:tcPr>
            <w:tcW w:w="1320" w:type="dxa"/>
            <w:noWrap w:val="0"/>
            <w:vAlign w:val="center"/>
          </w:tcPr>
          <w:p w14:paraId="4BBFE84E">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cs="Times New Roman"/>
                <w:color w:val="auto"/>
              </w:rPr>
              <w:t>/</w:t>
            </w:r>
          </w:p>
        </w:tc>
        <w:tc>
          <w:tcPr>
            <w:tcW w:w="1714" w:type="dxa"/>
            <w:noWrap w:val="0"/>
            <w:vAlign w:val="center"/>
          </w:tcPr>
          <w:p w14:paraId="515F6F8D">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cs="Times New Roman"/>
                <w:color w:val="auto"/>
              </w:rPr>
              <w:t>/</w:t>
            </w:r>
          </w:p>
        </w:tc>
        <w:tc>
          <w:tcPr>
            <w:tcW w:w="1595" w:type="dxa"/>
            <w:noWrap w:val="0"/>
            <w:vAlign w:val="center"/>
          </w:tcPr>
          <w:p w14:paraId="3FC90286">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0.144</w:t>
            </w:r>
          </w:p>
        </w:tc>
        <w:tc>
          <w:tcPr>
            <w:tcW w:w="1871" w:type="dxa"/>
            <w:noWrap w:val="0"/>
            <w:vAlign w:val="center"/>
          </w:tcPr>
          <w:p w14:paraId="6C62F94E">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w:t>
            </w:r>
          </w:p>
        </w:tc>
        <w:tc>
          <w:tcPr>
            <w:tcW w:w="1756" w:type="dxa"/>
            <w:noWrap w:val="0"/>
            <w:vAlign w:val="center"/>
          </w:tcPr>
          <w:p w14:paraId="05486AD9">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0.144</w:t>
            </w:r>
          </w:p>
        </w:tc>
        <w:tc>
          <w:tcPr>
            <w:tcW w:w="1063" w:type="dxa"/>
            <w:noWrap w:val="0"/>
            <w:vAlign w:val="center"/>
          </w:tcPr>
          <w:p w14:paraId="0000A996">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w:t>
            </w:r>
            <w:r>
              <w:rPr>
                <w:rFonts w:hint="default" w:ascii="Times New Roman" w:hAnsi="Times New Roman" w:eastAsia="宋体" w:cs="Times New Roman"/>
                <w:color w:val="auto"/>
                <w:sz w:val="21"/>
                <w:szCs w:val="21"/>
                <w:lang w:val="en-US" w:eastAsia="zh-CN" w:bidi="ar"/>
              </w:rPr>
              <w:t>0.528</w:t>
            </w:r>
          </w:p>
        </w:tc>
      </w:tr>
      <w:tr w14:paraId="3CCA6E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7B9C7637">
            <w:pPr>
              <w:pStyle w:val="56"/>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0A2CF1B4">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color w:val="auto"/>
                <w:lang w:val="en-US" w:eastAsia="zh-CN"/>
              </w:rPr>
              <w:t>BOD</w:t>
            </w:r>
            <w:r>
              <w:rPr>
                <w:rFonts w:hint="eastAsia" w:cs="Times New Roman"/>
                <w:color w:val="auto"/>
                <w:vertAlign w:val="subscript"/>
                <w:lang w:val="en-US" w:eastAsia="zh-CN"/>
              </w:rPr>
              <w:t>5</w:t>
            </w:r>
          </w:p>
        </w:tc>
        <w:tc>
          <w:tcPr>
            <w:tcW w:w="1903" w:type="dxa"/>
            <w:noWrap w:val="0"/>
            <w:vAlign w:val="center"/>
          </w:tcPr>
          <w:p w14:paraId="3137E137">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color w:val="auto"/>
                <w:lang w:val="en-US" w:eastAsia="zh-CN"/>
              </w:rPr>
              <w:t>0.2304</w:t>
            </w:r>
          </w:p>
        </w:tc>
        <w:tc>
          <w:tcPr>
            <w:tcW w:w="1320" w:type="dxa"/>
            <w:noWrap w:val="0"/>
            <w:vAlign w:val="center"/>
          </w:tcPr>
          <w:p w14:paraId="62FCC760">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cs="Times New Roman"/>
                <w:color w:val="auto"/>
              </w:rPr>
              <w:t>/</w:t>
            </w:r>
          </w:p>
        </w:tc>
        <w:tc>
          <w:tcPr>
            <w:tcW w:w="1714" w:type="dxa"/>
            <w:noWrap w:val="0"/>
            <w:vAlign w:val="center"/>
          </w:tcPr>
          <w:p w14:paraId="2D21A483">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cs="Times New Roman"/>
                <w:color w:val="auto"/>
              </w:rPr>
              <w:t>/</w:t>
            </w:r>
          </w:p>
        </w:tc>
        <w:tc>
          <w:tcPr>
            <w:tcW w:w="1595" w:type="dxa"/>
            <w:noWrap w:val="0"/>
            <w:vAlign w:val="center"/>
          </w:tcPr>
          <w:p w14:paraId="4C934334">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0.081</w:t>
            </w:r>
          </w:p>
        </w:tc>
        <w:tc>
          <w:tcPr>
            <w:tcW w:w="1871" w:type="dxa"/>
            <w:noWrap w:val="0"/>
            <w:vAlign w:val="center"/>
          </w:tcPr>
          <w:p w14:paraId="2C3677DD">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w:t>
            </w:r>
          </w:p>
        </w:tc>
        <w:tc>
          <w:tcPr>
            <w:tcW w:w="1756" w:type="dxa"/>
            <w:noWrap w:val="0"/>
            <w:vAlign w:val="center"/>
          </w:tcPr>
          <w:p w14:paraId="522E8168">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0.081</w:t>
            </w:r>
          </w:p>
        </w:tc>
        <w:tc>
          <w:tcPr>
            <w:tcW w:w="1063" w:type="dxa"/>
            <w:noWrap w:val="0"/>
            <w:vAlign w:val="center"/>
          </w:tcPr>
          <w:p w14:paraId="55A10568">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w:t>
            </w:r>
            <w:r>
              <w:rPr>
                <w:rFonts w:hint="default" w:ascii="Times New Roman" w:hAnsi="Times New Roman" w:eastAsia="宋体" w:cs="Times New Roman"/>
                <w:color w:val="auto"/>
                <w:sz w:val="21"/>
                <w:szCs w:val="21"/>
                <w:lang w:val="en-US" w:eastAsia="zh-CN" w:bidi="ar"/>
              </w:rPr>
              <w:t>0.1494</w:t>
            </w:r>
          </w:p>
        </w:tc>
      </w:tr>
      <w:tr w14:paraId="1CAB1E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32DB4D33">
            <w:pPr>
              <w:pStyle w:val="56"/>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4B491B48">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color w:val="auto"/>
                <w:lang w:val="en-US" w:eastAsia="zh-CN"/>
              </w:rPr>
              <w:t>NH</w:t>
            </w:r>
            <w:r>
              <w:rPr>
                <w:rFonts w:hint="eastAsia" w:cs="Times New Roman"/>
                <w:color w:val="auto"/>
                <w:vertAlign w:val="subscript"/>
                <w:lang w:val="en-US" w:eastAsia="zh-CN"/>
              </w:rPr>
              <w:t>3</w:t>
            </w:r>
            <w:r>
              <w:rPr>
                <w:rFonts w:hint="eastAsia" w:cs="Times New Roman"/>
                <w:color w:val="auto"/>
                <w:lang w:val="en-US" w:eastAsia="zh-CN"/>
              </w:rPr>
              <w:t>-N</w:t>
            </w:r>
          </w:p>
        </w:tc>
        <w:tc>
          <w:tcPr>
            <w:tcW w:w="1903" w:type="dxa"/>
            <w:noWrap w:val="0"/>
            <w:vAlign w:val="center"/>
          </w:tcPr>
          <w:p w14:paraId="40AEFCCC">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b w:val="0"/>
                <w:color w:val="auto"/>
                <w:lang w:val="en-US" w:eastAsia="zh-CN"/>
              </w:rPr>
              <w:t>0.2044</w:t>
            </w:r>
          </w:p>
        </w:tc>
        <w:tc>
          <w:tcPr>
            <w:tcW w:w="1320" w:type="dxa"/>
            <w:noWrap w:val="0"/>
            <w:vAlign w:val="center"/>
          </w:tcPr>
          <w:p w14:paraId="68EFCC3F">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cs="Times New Roman"/>
                <w:color w:val="auto"/>
              </w:rPr>
              <w:t>/</w:t>
            </w:r>
          </w:p>
        </w:tc>
        <w:tc>
          <w:tcPr>
            <w:tcW w:w="1714" w:type="dxa"/>
            <w:noWrap w:val="0"/>
            <w:vAlign w:val="center"/>
          </w:tcPr>
          <w:p w14:paraId="5A5EE014">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cs="Times New Roman"/>
                <w:color w:val="auto"/>
              </w:rPr>
              <w:t>/</w:t>
            </w:r>
          </w:p>
        </w:tc>
        <w:tc>
          <w:tcPr>
            <w:tcW w:w="1595" w:type="dxa"/>
            <w:noWrap w:val="0"/>
            <w:vAlign w:val="center"/>
          </w:tcPr>
          <w:p w14:paraId="3A68889B">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0.014</w:t>
            </w:r>
          </w:p>
        </w:tc>
        <w:tc>
          <w:tcPr>
            <w:tcW w:w="1871" w:type="dxa"/>
            <w:noWrap w:val="0"/>
            <w:vAlign w:val="center"/>
          </w:tcPr>
          <w:p w14:paraId="432B4E38">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w:t>
            </w:r>
          </w:p>
        </w:tc>
        <w:tc>
          <w:tcPr>
            <w:tcW w:w="1756" w:type="dxa"/>
            <w:noWrap w:val="0"/>
            <w:vAlign w:val="center"/>
          </w:tcPr>
          <w:p w14:paraId="0797F65D">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0.014</w:t>
            </w:r>
          </w:p>
        </w:tc>
        <w:tc>
          <w:tcPr>
            <w:tcW w:w="1063" w:type="dxa"/>
            <w:noWrap w:val="0"/>
            <w:vAlign w:val="center"/>
          </w:tcPr>
          <w:p w14:paraId="5DAB1C7B">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w:t>
            </w:r>
            <w:r>
              <w:rPr>
                <w:rFonts w:hint="default" w:ascii="Times New Roman" w:hAnsi="Times New Roman" w:eastAsia="宋体" w:cs="Times New Roman"/>
                <w:color w:val="auto"/>
                <w:sz w:val="21"/>
                <w:szCs w:val="21"/>
                <w:lang w:val="en-US" w:eastAsia="zh-CN" w:bidi="ar"/>
              </w:rPr>
              <w:t>0.1904</w:t>
            </w:r>
          </w:p>
        </w:tc>
      </w:tr>
      <w:tr w14:paraId="5F4020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28A8828A">
            <w:pPr>
              <w:pStyle w:val="56"/>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3D3DB332">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color w:val="auto"/>
                <w:lang w:val="en-US" w:eastAsia="zh-CN"/>
              </w:rPr>
              <w:t>SS</w:t>
            </w:r>
          </w:p>
        </w:tc>
        <w:tc>
          <w:tcPr>
            <w:tcW w:w="1903" w:type="dxa"/>
            <w:noWrap w:val="0"/>
            <w:vAlign w:val="center"/>
          </w:tcPr>
          <w:p w14:paraId="79BC56EE">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b w:val="0"/>
                <w:color w:val="auto"/>
                <w:lang w:val="en-US" w:eastAsia="zh-CN"/>
              </w:rPr>
              <w:t>0.432</w:t>
            </w:r>
          </w:p>
        </w:tc>
        <w:tc>
          <w:tcPr>
            <w:tcW w:w="1320" w:type="dxa"/>
            <w:noWrap w:val="0"/>
            <w:vAlign w:val="center"/>
          </w:tcPr>
          <w:p w14:paraId="6318D62E">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cs="Times New Roman"/>
                <w:color w:val="auto"/>
              </w:rPr>
              <w:t>/</w:t>
            </w:r>
          </w:p>
        </w:tc>
        <w:tc>
          <w:tcPr>
            <w:tcW w:w="1714" w:type="dxa"/>
            <w:noWrap w:val="0"/>
            <w:vAlign w:val="center"/>
          </w:tcPr>
          <w:p w14:paraId="5713004A">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cs="Times New Roman"/>
                <w:color w:val="auto"/>
              </w:rPr>
              <w:t>/</w:t>
            </w:r>
          </w:p>
        </w:tc>
        <w:tc>
          <w:tcPr>
            <w:tcW w:w="1595" w:type="dxa"/>
            <w:noWrap w:val="0"/>
            <w:vAlign w:val="center"/>
          </w:tcPr>
          <w:p w14:paraId="58B982F1">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0.108</w:t>
            </w:r>
          </w:p>
        </w:tc>
        <w:tc>
          <w:tcPr>
            <w:tcW w:w="1871" w:type="dxa"/>
            <w:noWrap w:val="0"/>
            <w:vAlign w:val="center"/>
          </w:tcPr>
          <w:p w14:paraId="42016CAF">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w:t>
            </w:r>
          </w:p>
        </w:tc>
        <w:tc>
          <w:tcPr>
            <w:tcW w:w="1756" w:type="dxa"/>
            <w:noWrap w:val="0"/>
            <w:vAlign w:val="center"/>
          </w:tcPr>
          <w:p w14:paraId="47EE31BE">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0.108</w:t>
            </w:r>
          </w:p>
        </w:tc>
        <w:tc>
          <w:tcPr>
            <w:tcW w:w="1063" w:type="dxa"/>
            <w:noWrap w:val="0"/>
            <w:vAlign w:val="center"/>
          </w:tcPr>
          <w:p w14:paraId="68CDD3E1">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w:t>
            </w:r>
            <w:r>
              <w:rPr>
                <w:rFonts w:hint="default" w:ascii="Times New Roman" w:hAnsi="Times New Roman" w:eastAsia="宋体" w:cs="Times New Roman"/>
                <w:color w:val="auto"/>
                <w:sz w:val="21"/>
                <w:szCs w:val="21"/>
                <w:lang w:val="en-US" w:eastAsia="zh-CN" w:bidi="ar"/>
              </w:rPr>
              <w:t>0.324</w:t>
            </w:r>
          </w:p>
        </w:tc>
      </w:tr>
      <w:tr w14:paraId="3D2E59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34F4E647">
            <w:pPr>
              <w:pStyle w:val="56"/>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1571BC2C">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color w:val="auto"/>
                <w:lang w:val="en-US" w:eastAsia="zh-CN"/>
              </w:rPr>
              <w:t>TP</w:t>
            </w:r>
          </w:p>
        </w:tc>
        <w:tc>
          <w:tcPr>
            <w:tcW w:w="1903" w:type="dxa"/>
            <w:noWrap w:val="0"/>
            <w:vAlign w:val="center"/>
          </w:tcPr>
          <w:p w14:paraId="62F7969D">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color w:val="auto"/>
                <w:lang w:val="en-US" w:eastAsia="zh-CN"/>
              </w:rPr>
              <w:t>0.0023</w:t>
            </w:r>
          </w:p>
        </w:tc>
        <w:tc>
          <w:tcPr>
            <w:tcW w:w="1320" w:type="dxa"/>
            <w:noWrap w:val="0"/>
            <w:vAlign w:val="center"/>
          </w:tcPr>
          <w:p w14:paraId="0E4893AE">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cs="Times New Roman"/>
                <w:color w:val="auto"/>
              </w:rPr>
              <w:t>/</w:t>
            </w:r>
          </w:p>
        </w:tc>
        <w:tc>
          <w:tcPr>
            <w:tcW w:w="1714" w:type="dxa"/>
            <w:noWrap w:val="0"/>
            <w:vAlign w:val="center"/>
          </w:tcPr>
          <w:p w14:paraId="4E000531">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cs="Times New Roman"/>
                <w:color w:val="auto"/>
              </w:rPr>
              <w:t>/</w:t>
            </w:r>
          </w:p>
        </w:tc>
        <w:tc>
          <w:tcPr>
            <w:tcW w:w="1595" w:type="dxa"/>
            <w:noWrap w:val="0"/>
            <w:vAlign w:val="center"/>
          </w:tcPr>
          <w:p w14:paraId="1AC67E46">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0.002</w:t>
            </w:r>
          </w:p>
        </w:tc>
        <w:tc>
          <w:tcPr>
            <w:tcW w:w="1871" w:type="dxa"/>
            <w:noWrap w:val="0"/>
            <w:vAlign w:val="center"/>
          </w:tcPr>
          <w:p w14:paraId="760FB5FC">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w:t>
            </w:r>
          </w:p>
        </w:tc>
        <w:tc>
          <w:tcPr>
            <w:tcW w:w="1756" w:type="dxa"/>
            <w:noWrap w:val="0"/>
            <w:vAlign w:val="center"/>
          </w:tcPr>
          <w:p w14:paraId="05F43C7A">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 w:val="21"/>
                <w:szCs w:val="21"/>
                <w:lang w:val="en-US" w:eastAsia="zh-CN" w:bidi="ar"/>
              </w:rPr>
              <w:t>0.002</w:t>
            </w:r>
          </w:p>
        </w:tc>
        <w:tc>
          <w:tcPr>
            <w:tcW w:w="1063" w:type="dxa"/>
            <w:noWrap w:val="0"/>
            <w:vAlign w:val="center"/>
          </w:tcPr>
          <w:p w14:paraId="1CE21EB9">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w:t>
            </w:r>
            <w:r>
              <w:rPr>
                <w:rFonts w:hint="default" w:ascii="Times New Roman" w:hAnsi="Times New Roman" w:eastAsia="宋体" w:cs="Times New Roman"/>
                <w:color w:val="auto"/>
                <w:sz w:val="21"/>
                <w:szCs w:val="21"/>
                <w:lang w:val="en-US" w:eastAsia="zh-CN" w:bidi="ar"/>
              </w:rPr>
              <w:t>0.0003</w:t>
            </w:r>
          </w:p>
        </w:tc>
      </w:tr>
      <w:tr w14:paraId="269385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restart"/>
            <w:noWrap w:val="0"/>
            <w:vAlign w:val="center"/>
          </w:tcPr>
          <w:p w14:paraId="3DF2DA10">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一般工业</w:t>
            </w:r>
          </w:p>
          <w:p w14:paraId="04A2D3F7">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固体废物</w:t>
            </w:r>
          </w:p>
        </w:tc>
        <w:tc>
          <w:tcPr>
            <w:tcW w:w="1502" w:type="dxa"/>
            <w:noWrap w:val="0"/>
            <w:vAlign w:val="center"/>
          </w:tcPr>
          <w:p w14:paraId="7E2A91B1">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lang w:val="en-US" w:eastAsia="zh-CN"/>
              </w:rPr>
              <w:t>布袋收集尘</w:t>
            </w:r>
          </w:p>
        </w:tc>
        <w:tc>
          <w:tcPr>
            <w:tcW w:w="1903" w:type="dxa"/>
            <w:noWrap w:val="0"/>
            <w:vAlign w:val="center"/>
          </w:tcPr>
          <w:p w14:paraId="24CFC7FB">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color w:val="auto"/>
                <w:lang w:val="en-US" w:eastAsia="zh-CN"/>
              </w:rPr>
              <w:t>44.768</w:t>
            </w:r>
          </w:p>
        </w:tc>
        <w:tc>
          <w:tcPr>
            <w:tcW w:w="1320" w:type="dxa"/>
            <w:noWrap w:val="0"/>
            <w:vAlign w:val="center"/>
          </w:tcPr>
          <w:p w14:paraId="55993FD8">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1714" w:type="dxa"/>
            <w:noWrap w:val="0"/>
            <w:vAlign w:val="center"/>
          </w:tcPr>
          <w:p w14:paraId="19550E03">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cs="Times New Roman"/>
                <w:color w:val="auto"/>
              </w:rPr>
              <w:t>/</w:t>
            </w:r>
          </w:p>
        </w:tc>
        <w:tc>
          <w:tcPr>
            <w:tcW w:w="1595" w:type="dxa"/>
            <w:noWrap w:val="0"/>
            <w:vAlign w:val="center"/>
          </w:tcPr>
          <w:p w14:paraId="7954DA2B">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eastAsia="宋体" w:cs="Times New Roman"/>
                <w:color w:val="auto"/>
                <w:lang w:val="en-US" w:eastAsia="zh-CN"/>
              </w:rPr>
            </w:pPr>
            <w:r>
              <w:rPr>
                <w:rFonts w:hint="default" w:eastAsia="宋体" w:cs="Times New Roman"/>
                <w:color w:val="auto"/>
                <w:lang w:val="en-US" w:eastAsia="zh-CN"/>
              </w:rPr>
              <w:t>64.92</w:t>
            </w:r>
          </w:p>
        </w:tc>
        <w:tc>
          <w:tcPr>
            <w:tcW w:w="1871" w:type="dxa"/>
            <w:noWrap w:val="0"/>
            <w:vAlign w:val="center"/>
          </w:tcPr>
          <w:p w14:paraId="2762BB3C">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cs="Times New Roman"/>
                <w:color w:val="auto"/>
              </w:rPr>
              <w:t>/</w:t>
            </w:r>
          </w:p>
        </w:tc>
        <w:tc>
          <w:tcPr>
            <w:tcW w:w="1756" w:type="dxa"/>
            <w:noWrap w:val="0"/>
            <w:vAlign w:val="center"/>
          </w:tcPr>
          <w:p w14:paraId="302006A5">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color w:val="auto"/>
                <w:lang w:val="en-US" w:eastAsia="zh-CN"/>
              </w:rPr>
              <w:t>64.92</w:t>
            </w:r>
          </w:p>
        </w:tc>
        <w:tc>
          <w:tcPr>
            <w:tcW w:w="1063" w:type="dxa"/>
            <w:noWrap w:val="0"/>
            <w:vAlign w:val="center"/>
          </w:tcPr>
          <w:p w14:paraId="5CE78846">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cs="Times New Roman"/>
                <w:color w:val="auto"/>
                <w:lang w:val="en-US" w:eastAsia="zh-CN"/>
              </w:rPr>
              <w:t>+</w:t>
            </w:r>
            <w:r>
              <w:rPr>
                <w:rFonts w:hint="eastAsia" w:cs="Times New Roman"/>
                <w:color w:val="auto"/>
                <w:lang w:val="en-US" w:eastAsia="zh-CN"/>
              </w:rPr>
              <w:t>20.152</w:t>
            </w:r>
          </w:p>
        </w:tc>
      </w:tr>
      <w:tr w14:paraId="2A2198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744340FC">
            <w:pPr>
              <w:pStyle w:val="56"/>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611D7666">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废布袋</w:t>
            </w:r>
          </w:p>
        </w:tc>
        <w:tc>
          <w:tcPr>
            <w:tcW w:w="1903" w:type="dxa"/>
            <w:noWrap w:val="0"/>
            <w:vAlign w:val="center"/>
          </w:tcPr>
          <w:p w14:paraId="3FEF7DE2">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cs="Times New Roman"/>
                <w:color w:val="auto"/>
              </w:rPr>
              <w:t>1</w:t>
            </w:r>
          </w:p>
        </w:tc>
        <w:tc>
          <w:tcPr>
            <w:tcW w:w="1320" w:type="dxa"/>
            <w:noWrap w:val="0"/>
            <w:vAlign w:val="center"/>
          </w:tcPr>
          <w:p w14:paraId="2175738A">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1714" w:type="dxa"/>
            <w:noWrap w:val="0"/>
            <w:vAlign w:val="center"/>
          </w:tcPr>
          <w:p w14:paraId="09CD124F">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1595" w:type="dxa"/>
            <w:noWrap w:val="0"/>
            <w:vAlign w:val="center"/>
          </w:tcPr>
          <w:p w14:paraId="27879323">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rPr>
            </w:pPr>
            <w:r>
              <w:rPr>
                <w:rFonts w:hint="eastAsia" w:cs="Times New Roman"/>
                <w:color w:val="auto"/>
                <w:sz w:val="21"/>
                <w:szCs w:val="21"/>
                <w:lang w:val="en-US" w:eastAsia="zh-CN" w:bidi="ar"/>
              </w:rPr>
              <w:t>1</w:t>
            </w:r>
          </w:p>
        </w:tc>
        <w:tc>
          <w:tcPr>
            <w:tcW w:w="1871" w:type="dxa"/>
            <w:noWrap w:val="0"/>
            <w:vAlign w:val="center"/>
          </w:tcPr>
          <w:p w14:paraId="3BAB1538">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cs="Times New Roman"/>
                <w:color w:val="auto"/>
              </w:rPr>
              <w:t>/</w:t>
            </w:r>
          </w:p>
        </w:tc>
        <w:tc>
          <w:tcPr>
            <w:tcW w:w="1756" w:type="dxa"/>
            <w:noWrap w:val="0"/>
            <w:vAlign w:val="center"/>
          </w:tcPr>
          <w:p w14:paraId="488BD381">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default" w:cs="Times New Roman"/>
                <w:color w:val="auto"/>
              </w:rPr>
              <w:t>1</w:t>
            </w:r>
          </w:p>
        </w:tc>
        <w:tc>
          <w:tcPr>
            <w:tcW w:w="1063" w:type="dxa"/>
            <w:noWrap w:val="0"/>
            <w:vAlign w:val="center"/>
          </w:tcPr>
          <w:p w14:paraId="63A6986A">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eastAsia="宋体" w:cs="Times New Roman"/>
                <w:color w:val="auto"/>
                <w:lang w:val="en-US" w:eastAsia="zh-CN"/>
              </w:rPr>
            </w:pPr>
            <w:r>
              <w:rPr>
                <w:rFonts w:hint="eastAsia" w:cs="Times New Roman"/>
                <w:color w:val="auto"/>
                <w:sz w:val="21"/>
                <w:szCs w:val="21"/>
                <w:lang w:val="en-US" w:eastAsia="zh-CN" w:bidi="ar"/>
              </w:rPr>
              <w:t>0</w:t>
            </w:r>
          </w:p>
        </w:tc>
      </w:tr>
      <w:tr w14:paraId="7A702B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11C39839">
            <w:pPr>
              <w:pStyle w:val="56"/>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027056E7">
            <w:pPr>
              <w:pStyle w:val="56"/>
              <w:keepNext w:val="0"/>
              <w:keepLines w:val="0"/>
              <w:suppressLineNumbers w:val="0"/>
              <w:bidi w:val="0"/>
              <w:spacing w:before="0" w:beforeAutospacing="0" w:after="0" w:afterAutospacing="0"/>
              <w:ind w:left="0" w:right="0"/>
              <w:rPr>
                <w:rFonts w:hint="default" w:cs="Times New Roman"/>
                <w:color w:val="auto"/>
              </w:rPr>
            </w:pPr>
            <w:r>
              <w:rPr>
                <w:rFonts w:hint="eastAsia" w:cs="Times New Roman"/>
                <w:color w:val="auto"/>
                <w:lang w:val="en-US" w:eastAsia="zh-CN"/>
              </w:rPr>
              <w:t>废金属</w:t>
            </w:r>
          </w:p>
        </w:tc>
        <w:tc>
          <w:tcPr>
            <w:tcW w:w="1903" w:type="dxa"/>
            <w:noWrap w:val="0"/>
            <w:vAlign w:val="center"/>
          </w:tcPr>
          <w:p w14:paraId="1B314515">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color w:val="auto"/>
                <w:lang w:val="en-US" w:eastAsia="zh-CN"/>
              </w:rPr>
              <w:t>2</w:t>
            </w:r>
          </w:p>
        </w:tc>
        <w:tc>
          <w:tcPr>
            <w:tcW w:w="1320" w:type="dxa"/>
            <w:noWrap w:val="0"/>
            <w:vAlign w:val="center"/>
          </w:tcPr>
          <w:p w14:paraId="1746B3E2">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1714" w:type="dxa"/>
            <w:noWrap w:val="0"/>
            <w:vAlign w:val="center"/>
          </w:tcPr>
          <w:p w14:paraId="724C1650">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1595" w:type="dxa"/>
            <w:noWrap w:val="0"/>
            <w:vAlign w:val="center"/>
          </w:tcPr>
          <w:p w14:paraId="657DFCB3">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rPr>
            </w:pPr>
            <w:r>
              <w:rPr>
                <w:rFonts w:hint="eastAsia" w:cs="Times New Roman"/>
                <w:color w:val="auto"/>
                <w:sz w:val="21"/>
                <w:szCs w:val="21"/>
                <w:lang w:val="en-US" w:eastAsia="zh-CN" w:bidi="ar"/>
              </w:rPr>
              <w:t>2</w:t>
            </w:r>
          </w:p>
        </w:tc>
        <w:tc>
          <w:tcPr>
            <w:tcW w:w="1871" w:type="dxa"/>
            <w:noWrap w:val="0"/>
            <w:vAlign w:val="center"/>
          </w:tcPr>
          <w:p w14:paraId="49D1B9A9">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cs="Times New Roman"/>
                <w:color w:val="auto"/>
              </w:rPr>
              <w:t>/</w:t>
            </w:r>
          </w:p>
        </w:tc>
        <w:tc>
          <w:tcPr>
            <w:tcW w:w="1756" w:type="dxa"/>
            <w:noWrap w:val="0"/>
            <w:vAlign w:val="center"/>
          </w:tcPr>
          <w:p w14:paraId="7F13B3DF">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cs="Times New Roman"/>
                <w:color w:val="auto"/>
                <w:lang w:val="en-US" w:eastAsia="zh-CN"/>
              </w:rPr>
              <w:t>2</w:t>
            </w:r>
          </w:p>
        </w:tc>
        <w:tc>
          <w:tcPr>
            <w:tcW w:w="1063" w:type="dxa"/>
            <w:noWrap w:val="0"/>
            <w:vAlign w:val="center"/>
          </w:tcPr>
          <w:p w14:paraId="38D5032E">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eastAsia="宋体" w:cs="Times New Roman"/>
                <w:color w:val="auto"/>
                <w:lang w:val="en-US" w:eastAsia="zh-CN"/>
              </w:rPr>
            </w:pPr>
            <w:r>
              <w:rPr>
                <w:rFonts w:hint="eastAsia" w:cs="Times New Roman"/>
                <w:color w:val="auto"/>
                <w:sz w:val="21"/>
                <w:szCs w:val="21"/>
                <w:lang w:val="en-US" w:eastAsia="zh-CN" w:bidi="ar"/>
              </w:rPr>
              <w:t>0</w:t>
            </w:r>
          </w:p>
        </w:tc>
      </w:tr>
      <w:tr w14:paraId="776201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29F8FF07">
            <w:pPr>
              <w:pStyle w:val="56"/>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48981E86">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lang w:val="en-US" w:eastAsia="zh-CN"/>
              </w:rPr>
              <w:t>不可利用物</w:t>
            </w:r>
          </w:p>
        </w:tc>
        <w:tc>
          <w:tcPr>
            <w:tcW w:w="1903" w:type="dxa"/>
            <w:noWrap w:val="0"/>
            <w:vAlign w:val="center"/>
          </w:tcPr>
          <w:p w14:paraId="4511E710">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color w:val="auto"/>
                <w:lang w:val="en-US" w:eastAsia="zh-CN"/>
              </w:rPr>
              <w:t>7.618</w:t>
            </w:r>
          </w:p>
        </w:tc>
        <w:tc>
          <w:tcPr>
            <w:tcW w:w="1320" w:type="dxa"/>
            <w:noWrap w:val="0"/>
            <w:vAlign w:val="center"/>
          </w:tcPr>
          <w:p w14:paraId="2EC418F5">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1714" w:type="dxa"/>
            <w:noWrap w:val="0"/>
            <w:vAlign w:val="center"/>
          </w:tcPr>
          <w:p w14:paraId="102A5961">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1595" w:type="dxa"/>
            <w:noWrap w:val="0"/>
            <w:vAlign w:val="center"/>
          </w:tcPr>
          <w:p w14:paraId="49C1137D">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lang w:val="en-US"/>
              </w:rPr>
            </w:pPr>
            <w:r>
              <w:rPr>
                <w:rFonts w:hint="eastAsia" w:cs="Times New Roman"/>
                <w:color w:val="auto"/>
                <w:sz w:val="21"/>
                <w:szCs w:val="21"/>
                <w:lang w:val="en-US" w:eastAsia="zh-CN" w:bidi="ar"/>
              </w:rPr>
              <w:t>10.51</w:t>
            </w:r>
          </w:p>
        </w:tc>
        <w:tc>
          <w:tcPr>
            <w:tcW w:w="1871" w:type="dxa"/>
            <w:noWrap w:val="0"/>
            <w:vAlign w:val="center"/>
          </w:tcPr>
          <w:p w14:paraId="08B2B69D">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cs="Times New Roman"/>
                <w:color w:val="auto"/>
              </w:rPr>
              <w:t>/</w:t>
            </w:r>
          </w:p>
        </w:tc>
        <w:tc>
          <w:tcPr>
            <w:tcW w:w="1756" w:type="dxa"/>
            <w:noWrap w:val="0"/>
            <w:vAlign w:val="center"/>
          </w:tcPr>
          <w:p w14:paraId="671C64FB">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cs="Times New Roman"/>
                <w:color w:val="auto"/>
                <w:lang w:val="en-US" w:eastAsia="zh-CN"/>
              </w:rPr>
              <w:t>10.51</w:t>
            </w:r>
          </w:p>
        </w:tc>
        <w:tc>
          <w:tcPr>
            <w:tcW w:w="1063" w:type="dxa"/>
            <w:noWrap w:val="0"/>
            <w:vAlign w:val="center"/>
          </w:tcPr>
          <w:p w14:paraId="5DEC7589">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lang w:val="en-US"/>
              </w:rPr>
            </w:pPr>
            <w:r>
              <w:rPr>
                <w:rFonts w:hint="eastAsia" w:cs="Times New Roman"/>
                <w:color w:val="auto"/>
                <w:sz w:val="21"/>
                <w:szCs w:val="21"/>
                <w:lang w:val="en-US" w:eastAsia="zh-CN" w:bidi="ar"/>
              </w:rPr>
              <w:t>+2.892</w:t>
            </w:r>
          </w:p>
        </w:tc>
      </w:tr>
      <w:tr w14:paraId="002D6B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218444A8">
            <w:pPr>
              <w:pStyle w:val="56"/>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498E0E83">
            <w:pPr>
              <w:pStyle w:val="56"/>
              <w:keepNext w:val="0"/>
              <w:keepLines w:val="0"/>
              <w:suppressLineNumbers w:val="0"/>
              <w:bidi w:val="0"/>
              <w:spacing w:before="0" w:beforeAutospacing="0" w:after="0" w:afterAutospacing="0"/>
              <w:ind w:left="0" w:right="0"/>
              <w:rPr>
                <w:rFonts w:hint="eastAsia" w:eastAsia="宋体" w:cs="Times New Roman"/>
                <w:color w:val="auto"/>
                <w:lang w:val="en-US" w:eastAsia="zh-CN"/>
              </w:rPr>
            </w:pPr>
            <w:r>
              <w:rPr>
                <w:rFonts w:hint="eastAsia" w:cs="Times New Roman"/>
                <w:color w:val="auto"/>
                <w:lang w:val="en-US" w:eastAsia="zh-CN"/>
              </w:rPr>
              <w:t>残次品</w:t>
            </w:r>
          </w:p>
        </w:tc>
        <w:tc>
          <w:tcPr>
            <w:tcW w:w="1903" w:type="dxa"/>
            <w:noWrap w:val="0"/>
            <w:vAlign w:val="center"/>
          </w:tcPr>
          <w:p w14:paraId="1653450F">
            <w:pPr>
              <w:pStyle w:val="56"/>
              <w:keepNext w:val="0"/>
              <w:keepLines w:val="0"/>
              <w:suppressLineNumbers w:val="0"/>
              <w:bidi w:val="0"/>
              <w:spacing w:before="0" w:beforeAutospacing="0" w:after="0" w:afterAutospacing="0"/>
              <w:ind w:left="0" w:leftChars="0" w:right="0" w:rightChars="0" w:firstLine="0" w:firstLineChars="0"/>
              <w:rPr>
                <w:rFonts w:hint="eastAsia" w:eastAsia="宋体" w:cs="Times New Roman"/>
                <w:color w:val="auto"/>
                <w:lang w:val="en-US" w:eastAsia="zh-CN"/>
              </w:rPr>
            </w:pPr>
            <w:r>
              <w:rPr>
                <w:rFonts w:hint="eastAsia" w:cs="Times New Roman"/>
                <w:color w:val="auto"/>
                <w:lang w:val="en-US" w:eastAsia="zh-CN"/>
              </w:rPr>
              <w:t>5.992</w:t>
            </w:r>
          </w:p>
        </w:tc>
        <w:tc>
          <w:tcPr>
            <w:tcW w:w="1320" w:type="dxa"/>
            <w:noWrap w:val="0"/>
            <w:vAlign w:val="center"/>
          </w:tcPr>
          <w:p w14:paraId="3129F25E">
            <w:pPr>
              <w:pStyle w:val="56"/>
              <w:keepNext w:val="0"/>
              <w:keepLines w:val="0"/>
              <w:suppressLineNumbers w:val="0"/>
              <w:bidi w:val="0"/>
              <w:spacing w:before="0" w:beforeAutospacing="0" w:after="0" w:afterAutospacing="0"/>
              <w:ind w:left="0" w:right="0"/>
              <w:rPr>
                <w:rFonts w:hint="eastAsia" w:eastAsia="宋体" w:cs="Times New Roman"/>
                <w:color w:val="auto"/>
                <w:lang w:val="en-US" w:eastAsia="zh-CN"/>
              </w:rPr>
            </w:pPr>
            <w:r>
              <w:rPr>
                <w:rFonts w:hint="eastAsia" w:cs="Times New Roman"/>
                <w:color w:val="auto"/>
                <w:lang w:val="en-US" w:eastAsia="zh-CN"/>
              </w:rPr>
              <w:t>/</w:t>
            </w:r>
          </w:p>
        </w:tc>
        <w:tc>
          <w:tcPr>
            <w:tcW w:w="1714" w:type="dxa"/>
            <w:noWrap w:val="0"/>
            <w:vAlign w:val="center"/>
          </w:tcPr>
          <w:p w14:paraId="04DCB2A6">
            <w:pPr>
              <w:pStyle w:val="56"/>
              <w:keepNext w:val="0"/>
              <w:keepLines w:val="0"/>
              <w:suppressLineNumbers w:val="0"/>
              <w:bidi w:val="0"/>
              <w:spacing w:before="0" w:beforeAutospacing="0" w:after="0" w:afterAutospacing="0"/>
              <w:ind w:left="0" w:right="0"/>
              <w:rPr>
                <w:rFonts w:hint="eastAsia" w:eastAsia="宋体" w:cs="Times New Roman"/>
                <w:color w:val="auto"/>
                <w:lang w:val="en-US" w:eastAsia="zh-CN"/>
              </w:rPr>
            </w:pPr>
            <w:r>
              <w:rPr>
                <w:rFonts w:hint="eastAsia" w:cs="Times New Roman"/>
                <w:color w:val="auto"/>
                <w:lang w:val="en-US" w:eastAsia="zh-CN"/>
              </w:rPr>
              <w:t>/</w:t>
            </w:r>
          </w:p>
        </w:tc>
        <w:tc>
          <w:tcPr>
            <w:tcW w:w="1595" w:type="dxa"/>
            <w:noWrap w:val="0"/>
            <w:vAlign w:val="center"/>
          </w:tcPr>
          <w:p w14:paraId="46DBD070">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lang w:val="en-US" w:eastAsia="zh-CN"/>
              </w:rPr>
            </w:pPr>
            <w:r>
              <w:rPr>
                <w:rFonts w:hint="eastAsia" w:cs="Times New Roman"/>
                <w:color w:val="auto"/>
                <w:sz w:val="21"/>
                <w:szCs w:val="21"/>
                <w:lang w:val="en-US" w:eastAsia="zh-CN" w:bidi="ar"/>
              </w:rPr>
              <w:t>23.94</w:t>
            </w:r>
          </w:p>
        </w:tc>
        <w:tc>
          <w:tcPr>
            <w:tcW w:w="1871" w:type="dxa"/>
            <w:noWrap w:val="0"/>
            <w:vAlign w:val="center"/>
          </w:tcPr>
          <w:p w14:paraId="18FBCCCD">
            <w:pPr>
              <w:pStyle w:val="56"/>
              <w:keepNext w:val="0"/>
              <w:keepLines w:val="0"/>
              <w:suppressLineNumbers w:val="0"/>
              <w:bidi w:val="0"/>
              <w:spacing w:before="0" w:beforeAutospacing="0" w:after="0" w:afterAutospacing="0"/>
              <w:ind w:left="0" w:right="0"/>
              <w:rPr>
                <w:rFonts w:hint="eastAsia" w:eastAsia="宋体" w:cs="Times New Roman"/>
                <w:color w:val="auto"/>
                <w:lang w:val="en-US" w:eastAsia="zh-CN"/>
              </w:rPr>
            </w:pPr>
            <w:r>
              <w:rPr>
                <w:rFonts w:hint="eastAsia" w:cs="Times New Roman"/>
                <w:color w:val="auto"/>
                <w:lang w:val="en-US" w:eastAsia="zh-CN"/>
              </w:rPr>
              <w:t>/</w:t>
            </w:r>
          </w:p>
        </w:tc>
        <w:tc>
          <w:tcPr>
            <w:tcW w:w="1756" w:type="dxa"/>
            <w:noWrap w:val="0"/>
            <w:vAlign w:val="center"/>
          </w:tcPr>
          <w:p w14:paraId="2DA9B8EB">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val="en-US" w:eastAsia="zh-CN"/>
              </w:rPr>
            </w:pPr>
            <w:r>
              <w:rPr>
                <w:rFonts w:hint="eastAsia" w:cs="Times New Roman"/>
                <w:color w:val="auto"/>
                <w:lang w:val="en-US" w:eastAsia="zh-CN"/>
              </w:rPr>
              <w:t>23.94</w:t>
            </w:r>
          </w:p>
        </w:tc>
        <w:tc>
          <w:tcPr>
            <w:tcW w:w="1063" w:type="dxa"/>
            <w:noWrap w:val="0"/>
            <w:vAlign w:val="center"/>
          </w:tcPr>
          <w:p w14:paraId="0BDFE462">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eastAsia" w:cs="Times New Roman"/>
                <w:color w:val="auto"/>
                <w:lang w:val="en-US" w:eastAsia="zh-CN"/>
              </w:rPr>
            </w:pPr>
            <w:r>
              <w:rPr>
                <w:rFonts w:hint="eastAsia" w:cs="Times New Roman"/>
                <w:color w:val="auto"/>
                <w:sz w:val="21"/>
                <w:szCs w:val="21"/>
                <w:lang w:val="en-US" w:eastAsia="zh-CN" w:bidi="ar"/>
              </w:rPr>
              <w:t>+17.948</w:t>
            </w:r>
          </w:p>
        </w:tc>
      </w:tr>
      <w:tr w14:paraId="5F75FC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45CB69D3">
            <w:pPr>
              <w:pStyle w:val="56"/>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32B5F5DD">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生活垃圾</w:t>
            </w:r>
          </w:p>
        </w:tc>
        <w:tc>
          <w:tcPr>
            <w:tcW w:w="1903" w:type="dxa"/>
            <w:noWrap w:val="0"/>
            <w:vAlign w:val="center"/>
          </w:tcPr>
          <w:p w14:paraId="013C97A6">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color w:val="auto"/>
                <w:lang w:val="en-US" w:eastAsia="zh-CN"/>
              </w:rPr>
              <w:t>7.5</w:t>
            </w:r>
          </w:p>
        </w:tc>
        <w:tc>
          <w:tcPr>
            <w:tcW w:w="1320" w:type="dxa"/>
            <w:noWrap w:val="0"/>
            <w:vAlign w:val="center"/>
          </w:tcPr>
          <w:p w14:paraId="2EB9A11A">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1714" w:type="dxa"/>
            <w:noWrap w:val="0"/>
            <w:vAlign w:val="center"/>
          </w:tcPr>
          <w:p w14:paraId="15A43637">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1595" w:type="dxa"/>
            <w:noWrap w:val="0"/>
            <w:vAlign w:val="center"/>
          </w:tcPr>
          <w:p w14:paraId="6A95C478">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color w:val="auto"/>
                <w:lang w:val="en-US" w:eastAsia="zh-CN"/>
              </w:rPr>
              <w:t>7.5</w:t>
            </w:r>
          </w:p>
        </w:tc>
        <w:tc>
          <w:tcPr>
            <w:tcW w:w="1871" w:type="dxa"/>
            <w:noWrap w:val="0"/>
            <w:vAlign w:val="center"/>
          </w:tcPr>
          <w:p w14:paraId="695B10AA">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1756" w:type="dxa"/>
            <w:noWrap w:val="0"/>
            <w:vAlign w:val="center"/>
          </w:tcPr>
          <w:p w14:paraId="3A6145B4">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lang w:eastAsia="zh-CN"/>
              </w:rPr>
            </w:pPr>
            <w:r>
              <w:rPr>
                <w:rFonts w:hint="eastAsia" w:cs="Times New Roman"/>
                <w:color w:val="auto"/>
                <w:lang w:val="en-US" w:eastAsia="zh-CN"/>
              </w:rPr>
              <w:t>7.5</w:t>
            </w:r>
          </w:p>
        </w:tc>
        <w:tc>
          <w:tcPr>
            <w:tcW w:w="1063" w:type="dxa"/>
            <w:noWrap w:val="0"/>
            <w:vAlign w:val="center"/>
          </w:tcPr>
          <w:p w14:paraId="7F9F5B01">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rPr>
            </w:pPr>
            <w:r>
              <w:rPr>
                <w:rFonts w:hint="eastAsia" w:cs="Times New Roman"/>
                <w:color w:val="auto"/>
                <w:sz w:val="21"/>
                <w:szCs w:val="21"/>
                <w:lang w:val="en-US" w:eastAsia="zh-CN" w:bidi="ar"/>
              </w:rPr>
              <w:t>0</w:t>
            </w:r>
          </w:p>
        </w:tc>
      </w:tr>
      <w:tr w14:paraId="230CB2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restart"/>
            <w:noWrap w:val="0"/>
            <w:vAlign w:val="center"/>
          </w:tcPr>
          <w:p w14:paraId="2A98BA1C">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危险废物</w:t>
            </w:r>
          </w:p>
        </w:tc>
        <w:tc>
          <w:tcPr>
            <w:tcW w:w="1502" w:type="dxa"/>
            <w:noWrap w:val="0"/>
            <w:vAlign w:val="center"/>
          </w:tcPr>
          <w:p w14:paraId="7D0911B7">
            <w:pPr>
              <w:pStyle w:val="56"/>
              <w:keepNext w:val="0"/>
              <w:keepLines w:val="0"/>
              <w:suppressLineNumbers w:val="0"/>
              <w:bidi w:val="0"/>
              <w:spacing w:before="0" w:beforeAutospacing="0" w:after="0" w:afterAutospacing="0"/>
              <w:ind w:left="0" w:right="0"/>
              <w:rPr>
                <w:rFonts w:hint="eastAsia" w:eastAsia="宋体" w:cs="Times New Roman"/>
                <w:color w:val="auto"/>
                <w:lang w:eastAsia="zh-CN"/>
              </w:rPr>
            </w:pPr>
            <w:r>
              <w:rPr>
                <w:rFonts w:hint="eastAsia" w:cs="Times New Roman"/>
                <w:color w:val="auto"/>
                <w:lang w:eastAsia="zh-CN"/>
              </w:rPr>
              <w:t>废润滑油</w:t>
            </w:r>
          </w:p>
        </w:tc>
        <w:tc>
          <w:tcPr>
            <w:tcW w:w="1903" w:type="dxa"/>
            <w:noWrap w:val="0"/>
            <w:vAlign w:val="center"/>
          </w:tcPr>
          <w:p w14:paraId="73A58C55">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eastAsia" w:cs="Times New Roman"/>
                <w:color w:val="auto"/>
                <w:lang w:val="en-US" w:eastAsia="zh-CN"/>
              </w:rPr>
              <w:t>0.1</w:t>
            </w:r>
          </w:p>
        </w:tc>
        <w:tc>
          <w:tcPr>
            <w:tcW w:w="1320" w:type="dxa"/>
            <w:noWrap w:val="0"/>
            <w:vAlign w:val="center"/>
          </w:tcPr>
          <w:p w14:paraId="13EC5A8D">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1714" w:type="dxa"/>
            <w:noWrap w:val="0"/>
            <w:vAlign w:val="center"/>
          </w:tcPr>
          <w:p w14:paraId="4FBDC868">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1595" w:type="dxa"/>
            <w:noWrap w:val="0"/>
            <w:vAlign w:val="center"/>
          </w:tcPr>
          <w:p w14:paraId="52DD36D2">
            <w:pPr>
              <w:pStyle w:val="56"/>
              <w:keepNext w:val="0"/>
              <w:keepLines w:val="0"/>
              <w:suppressLineNumbers w:val="0"/>
              <w:bidi w:val="0"/>
              <w:spacing w:before="0" w:beforeAutospacing="0" w:after="0" w:afterAutospacing="0"/>
              <w:ind w:left="0" w:leftChars="0" w:right="0" w:rightChars="0" w:firstLine="0" w:firstLineChars="0"/>
              <w:rPr>
                <w:rFonts w:hint="default" w:eastAsia="宋体" w:cs="Times New Roman"/>
                <w:color w:val="auto"/>
                <w:lang w:val="en-US" w:eastAsia="zh-CN"/>
              </w:rPr>
            </w:pPr>
            <w:r>
              <w:rPr>
                <w:rFonts w:hint="eastAsia" w:cs="Times New Roman"/>
                <w:color w:val="auto"/>
                <w:lang w:val="en-US" w:eastAsia="zh-CN"/>
              </w:rPr>
              <w:t>0.1</w:t>
            </w:r>
          </w:p>
        </w:tc>
        <w:tc>
          <w:tcPr>
            <w:tcW w:w="1871" w:type="dxa"/>
            <w:noWrap w:val="0"/>
            <w:vAlign w:val="center"/>
          </w:tcPr>
          <w:p w14:paraId="1EC8E565">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1756" w:type="dxa"/>
            <w:noWrap w:val="0"/>
            <w:vAlign w:val="center"/>
          </w:tcPr>
          <w:p w14:paraId="78C67546">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0.1</w:t>
            </w:r>
          </w:p>
        </w:tc>
        <w:tc>
          <w:tcPr>
            <w:tcW w:w="1063" w:type="dxa"/>
            <w:noWrap w:val="0"/>
            <w:vAlign w:val="center"/>
          </w:tcPr>
          <w:p w14:paraId="3D38DC27">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rPr>
            </w:pPr>
            <w:r>
              <w:rPr>
                <w:rFonts w:hint="eastAsia" w:cs="Times New Roman"/>
                <w:color w:val="auto"/>
                <w:sz w:val="21"/>
                <w:szCs w:val="21"/>
                <w:lang w:val="en-US" w:eastAsia="zh-CN" w:bidi="ar"/>
              </w:rPr>
              <w:t>0</w:t>
            </w:r>
          </w:p>
        </w:tc>
      </w:tr>
      <w:tr w14:paraId="123D2D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232" w:type="dxa"/>
            <w:vMerge w:val="continue"/>
            <w:noWrap w:val="0"/>
            <w:vAlign w:val="center"/>
          </w:tcPr>
          <w:p w14:paraId="2E9741B9">
            <w:pPr>
              <w:pStyle w:val="56"/>
              <w:keepNext w:val="0"/>
              <w:keepLines w:val="0"/>
              <w:suppressLineNumbers w:val="0"/>
              <w:bidi w:val="0"/>
              <w:spacing w:before="0" w:beforeAutospacing="0" w:after="0" w:afterAutospacing="0"/>
              <w:ind w:left="0" w:right="0"/>
              <w:rPr>
                <w:rFonts w:hint="default" w:cs="Times New Roman"/>
                <w:color w:val="auto"/>
              </w:rPr>
            </w:pPr>
          </w:p>
        </w:tc>
        <w:tc>
          <w:tcPr>
            <w:tcW w:w="1502" w:type="dxa"/>
            <w:noWrap w:val="0"/>
            <w:vAlign w:val="center"/>
          </w:tcPr>
          <w:p w14:paraId="025FEFD1">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废含油抹布</w:t>
            </w:r>
          </w:p>
        </w:tc>
        <w:tc>
          <w:tcPr>
            <w:tcW w:w="1903" w:type="dxa"/>
            <w:noWrap w:val="0"/>
            <w:vAlign w:val="center"/>
          </w:tcPr>
          <w:p w14:paraId="5FE4B075">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cs="Times New Roman"/>
                <w:color w:val="auto"/>
              </w:rPr>
              <w:t>0.</w:t>
            </w:r>
            <w:r>
              <w:rPr>
                <w:rFonts w:hint="default" w:cs="Times New Roman"/>
                <w:color w:val="auto"/>
                <w:lang w:val="en-US" w:eastAsia="zh-CN"/>
              </w:rPr>
              <w:t>4</w:t>
            </w:r>
          </w:p>
        </w:tc>
        <w:tc>
          <w:tcPr>
            <w:tcW w:w="1320" w:type="dxa"/>
            <w:noWrap w:val="0"/>
            <w:vAlign w:val="center"/>
          </w:tcPr>
          <w:p w14:paraId="73CC170F">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1714" w:type="dxa"/>
            <w:noWrap w:val="0"/>
            <w:vAlign w:val="center"/>
          </w:tcPr>
          <w:p w14:paraId="45207234">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1595" w:type="dxa"/>
            <w:noWrap w:val="0"/>
            <w:vAlign w:val="center"/>
          </w:tcPr>
          <w:p w14:paraId="12472A74">
            <w:pPr>
              <w:pStyle w:val="56"/>
              <w:keepNext w:val="0"/>
              <w:keepLines w:val="0"/>
              <w:suppressLineNumbers w:val="0"/>
              <w:bidi w:val="0"/>
              <w:spacing w:before="0" w:beforeAutospacing="0" w:after="0" w:afterAutospacing="0"/>
              <w:ind w:left="0" w:leftChars="0" w:right="0" w:rightChars="0" w:firstLine="0" w:firstLineChars="0"/>
              <w:rPr>
                <w:rFonts w:hint="default" w:cs="Times New Roman"/>
                <w:color w:val="auto"/>
              </w:rPr>
            </w:pPr>
            <w:r>
              <w:rPr>
                <w:rFonts w:hint="default" w:cs="Times New Roman"/>
                <w:color w:val="auto"/>
              </w:rPr>
              <w:t>0.</w:t>
            </w:r>
            <w:r>
              <w:rPr>
                <w:rFonts w:hint="default" w:cs="Times New Roman"/>
                <w:color w:val="auto"/>
                <w:lang w:val="en-US" w:eastAsia="zh-CN"/>
              </w:rPr>
              <w:t>4</w:t>
            </w:r>
          </w:p>
        </w:tc>
        <w:tc>
          <w:tcPr>
            <w:tcW w:w="1871" w:type="dxa"/>
            <w:noWrap w:val="0"/>
            <w:vAlign w:val="center"/>
          </w:tcPr>
          <w:p w14:paraId="4A47CE3D">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w:t>
            </w:r>
          </w:p>
        </w:tc>
        <w:tc>
          <w:tcPr>
            <w:tcW w:w="1756" w:type="dxa"/>
            <w:noWrap w:val="0"/>
            <w:vAlign w:val="center"/>
          </w:tcPr>
          <w:p w14:paraId="167912D0">
            <w:pPr>
              <w:pStyle w:val="56"/>
              <w:keepNext w:val="0"/>
              <w:keepLines w:val="0"/>
              <w:suppressLineNumbers w:val="0"/>
              <w:bidi w:val="0"/>
              <w:spacing w:before="0" w:beforeAutospacing="0" w:after="0" w:afterAutospacing="0"/>
              <w:ind w:left="0" w:right="0"/>
              <w:rPr>
                <w:rFonts w:hint="default" w:cs="Times New Roman"/>
                <w:color w:val="auto"/>
              </w:rPr>
            </w:pPr>
            <w:r>
              <w:rPr>
                <w:rFonts w:hint="default" w:cs="Times New Roman"/>
                <w:color w:val="auto"/>
              </w:rPr>
              <w:t>0.</w:t>
            </w:r>
            <w:r>
              <w:rPr>
                <w:rFonts w:hint="default" w:cs="Times New Roman"/>
                <w:color w:val="auto"/>
                <w:lang w:val="en-US" w:eastAsia="zh-CN"/>
              </w:rPr>
              <w:t>4</w:t>
            </w:r>
          </w:p>
        </w:tc>
        <w:tc>
          <w:tcPr>
            <w:tcW w:w="1063" w:type="dxa"/>
            <w:noWrap w:val="0"/>
            <w:vAlign w:val="center"/>
          </w:tcPr>
          <w:p w14:paraId="707C4FD1">
            <w:pPr>
              <w:keepNext w:val="0"/>
              <w:keepLines w:val="0"/>
              <w:pageBreakBefore/>
              <w:widowControl/>
              <w:suppressLineNumbers w:val="0"/>
              <w:spacing w:before="0" w:beforeLines="0" w:beforeAutospacing="0" w:after="0" w:afterLines="0" w:afterAutospacing="0" w:line="240" w:lineRule="auto"/>
              <w:ind w:left="0" w:leftChars="0" w:right="0" w:rightChars="0" w:firstLine="0" w:firstLineChars="0"/>
              <w:jc w:val="center"/>
              <w:rPr>
                <w:rFonts w:hint="default" w:cs="Times New Roman"/>
                <w:color w:val="auto"/>
              </w:rPr>
            </w:pPr>
            <w:r>
              <w:rPr>
                <w:rFonts w:hint="eastAsia" w:cs="Times New Roman"/>
                <w:color w:val="auto"/>
                <w:sz w:val="21"/>
                <w:szCs w:val="21"/>
                <w:lang w:val="en-US" w:eastAsia="zh-CN" w:bidi="ar"/>
              </w:rPr>
              <w:t>0</w:t>
            </w:r>
          </w:p>
        </w:tc>
      </w:tr>
    </w:tbl>
    <w:p w14:paraId="138BC301">
      <w:pPr>
        <w:pStyle w:val="56"/>
        <w:spacing w:before="192" w:beforeLines="80" w:after="24"/>
        <w:jc w:val="left"/>
        <w:rPr>
          <w:rFonts w:hint="default"/>
          <w:color w:val="auto"/>
          <w:lang w:val="en-US" w:eastAsia="zh-CN"/>
        </w:rPr>
      </w:pPr>
      <w:r>
        <w:rPr>
          <w:rFonts w:hAnsi="宋体"/>
          <w:snapToGrid w:val="0"/>
          <w:color w:val="auto"/>
          <w:kern w:val="21"/>
          <w:szCs w:val="21"/>
        </w:rPr>
        <w:t>注：</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3 \* GB3 \* MERGEFORMAT </w:instrText>
      </w:r>
      <w:r>
        <w:rPr>
          <w:rFonts w:hAnsi="宋体"/>
          <w:snapToGrid w:val="0"/>
          <w:color w:val="auto"/>
          <w:spacing w:val="-6"/>
          <w:kern w:val="21"/>
          <w:szCs w:val="21"/>
        </w:rPr>
        <w:fldChar w:fldCharType="separate"/>
      </w:r>
      <w:r>
        <w:rPr>
          <w:rFonts w:hint="eastAsia" w:hAnsi="宋体"/>
          <w:color w:val="auto"/>
          <w:szCs w:val="21"/>
        </w:rPr>
        <w:t>③</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4 \* GB3 \* MERGEFORMAT </w:instrText>
      </w:r>
      <w:r>
        <w:rPr>
          <w:rFonts w:hAnsi="宋体"/>
          <w:snapToGrid w:val="0"/>
          <w:color w:val="auto"/>
          <w:spacing w:val="-6"/>
          <w:kern w:val="21"/>
          <w:szCs w:val="21"/>
        </w:rPr>
        <w:fldChar w:fldCharType="separate"/>
      </w:r>
      <w:r>
        <w:rPr>
          <w:rFonts w:hint="eastAsia" w:hAnsi="宋体"/>
          <w:color w:val="auto"/>
          <w:szCs w:val="21"/>
        </w:rPr>
        <w:t>④</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5 \* GB3 \* MERGEFORMAT </w:instrText>
      </w:r>
      <w:r>
        <w:rPr>
          <w:rFonts w:hAnsi="宋体"/>
          <w:snapToGrid w:val="0"/>
          <w:color w:val="auto"/>
          <w:spacing w:val="-16"/>
          <w:kern w:val="21"/>
          <w:szCs w:val="21"/>
        </w:rPr>
        <w:fldChar w:fldCharType="separate"/>
      </w:r>
      <w:r>
        <w:rPr>
          <w:rFonts w:hint="eastAsia" w:hAnsi="宋体"/>
          <w:color w:val="auto"/>
          <w:szCs w:val="21"/>
        </w:rPr>
        <w:t>⑤</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7 \* GB3 \* MERGEFORMAT </w:instrText>
      </w:r>
      <w:r>
        <w:rPr>
          <w:rFonts w:hAnsi="宋体"/>
          <w:snapToGrid w:val="0"/>
          <w:color w:val="auto"/>
          <w:spacing w:val="-6"/>
          <w:kern w:val="21"/>
          <w:szCs w:val="21"/>
        </w:rPr>
        <w:fldChar w:fldCharType="separate"/>
      </w:r>
      <w:r>
        <w:rPr>
          <w:rFonts w:hint="eastAsia" w:hAnsi="宋体"/>
          <w:color w:val="auto"/>
          <w:szCs w:val="21"/>
        </w:rPr>
        <w:t>⑦</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p>
    <w:sectPr>
      <w:pgSz w:w="16838" w:h="11906" w:orient="landscape"/>
      <w:pgMar w:top="1417" w:right="1440" w:bottom="1417" w:left="1440" w:header="851" w:footer="851" w:gutter="0"/>
      <w:pgBorders w:offsetFrom="page">
        <w:top w:val="none" w:sz="0" w:space="0"/>
        <w:left w:val="none" w:sz="0" w:space="0"/>
        <w:bottom w:val="none" w:sz="0" w:space="0"/>
        <w:right w:val="none" w:sz="0" w:space="0"/>
      </w:pgBorders>
      <w:cols w:space="720" w:num="1"/>
      <w:docGrid w:linePitch="312" w:charSpace="0"/>
    </w:sectPr>
  </w:body>
</w:document>
</file>

<file path=word/customizations.xml><?xml version="1.0" encoding="utf-8"?>
<wne:tcg xmlns:r="http://schemas.openxmlformats.org/officeDocument/2006/relationships" xmlns:wne="http://schemas.microsoft.com/office/word/2006/wordml">
  <wne:keymaps>
    <wne:keymap wne:kcmPrimary="02DC">
      <wne:acd wne:acdName="acd0"/>
    </wne:keymap>
    <wne:keymap wne:kcmPrimary="0257">
      <wne:acd wne:acdName="acd1"/>
    </wne:keymap>
  </wne:keymaps>
  <wne:acds>
    <wne:acd wne:argValue="AQAAAAAA" wne:acdName="acd0" wne:fciIndexBasedOn="0065"/>
    <wne:acd wne:argValue="AgBoiDxo" wne:acdName="acd1"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0"/>
    <w:family w:val="auto"/>
    <w:pitch w:val="default"/>
    <w:sig w:usb0="00000000" w:usb1="00000000" w:usb2="00000009" w:usb3="00000000" w:csb0="400001FF" w:csb1="FFFF0000"/>
  </w:font>
  <w:font w:name="宋体">
    <w:altName w:val="方正书宋_GBK"/>
    <w:panose1 w:val="02010600030101010101"/>
    <w:charset w:val="81"/>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Arial Unicode MS">
    <w:altName w:val="DejaVu Sans"/>
    <w:panose1 w:val="020B0604020202020204"/>
    <w:charset w:val="86"/>
    <w:family w:val="auto"/>
    <w:pitch w:val="default"/>
    <w:sig w:usb0="00000000" w:usb1="00000000" w:usb2="0000003F" w:usb3="00000000" w:csb0="603F01FF" w:csb1="FFFF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新宋体">
    <w:altName w:val="方正书宋_GBK"/>
    <w:panose1 w:val="02010609030101010101"/>
    <w:charset w:val="86"/>
    <w:family w:val="modern"/>
    <w:pitch w:val="default"/>
    <w:sig w:usb0="00000000" w:usb1="00000000" w:usb2="00000006" w:usb3="00000000" w:csb0="00040001" w:csb1="00000000"/>
  </w:font>
  <w:font w:name="方正小标宋_GBK">
    <w:panose1 w:val="02000000000000000000"/>
    <w:charset w:val="86"/>
    <w:family w:val="script"/>
    <w:pitch w:val="default"/>
    <w:sig w:usb0="00000001" w:usb1="08000000" w:usb2="00000000" w:usb3="00000000" w:csb0="00040000" w:csb1="00000000"/>
  </w:font>
  <w:font w:name="Wingdings 2">
    <w:altName w:val="MathJax_Vector"/>
    <w:panose1 w:val="05020102010507070707"/>
    <w:charset w:val="02"/>
    <w:family w:val="auto"/>
    <w:pitch w:val="default"/>
    <w:sig w:usb0="00000000" w:usb1="00000000" w:usb2="00000000" w:usb3="00000000" w:csb0="80000000" w:csb1="00000000"/>
  </w:font>
  <w:font w:name="MathJax_Vector">
    <w:panose1 w:val="02000603000000000000"/>
    <w:charset w:val="00"/>
    <w:family w:val="auto"/>
    <w:pitch w:val="default"/>
    <w:sig w:usb0="00000001" w:usb1="00000020" w:usb2="00000000" w:usb3="00000000" w:csb0="00000001" w:csb1="00000000"/>
  </w:font>
  <w:font w:name="微软雅黑">
    <w:altName w:val="方正黑体_GBK"/>
    <w:panose1 w:val="020B0503020204020204"/>
    <w:charset w:val="86"/>
    <w:family w:val="auto"/>
    <w:pitch w:val="default"/>
    <w:sig w:usb0="00000000" w:usb1="00000000" w:usb2="00000016" w:usb3="00000000" w:csb0="0004001F" w:csb1="00000000"/>
  </w:font>
  <w:font w:name="Liberation Serif">
    <w:panose1 w:val="02020603050405020304"/>
    <w:charset w:val="00"/>
    <w:family w:val="auto"/>
    <w:pitch w:val="default"/>
    <w:sig w:usb0="A00002AF" w:usb1="500078FB" w:usb2="00000000" w:usb3="00000000" w:csb0="6000009F" w:csb1="DFD70000"/>
  </w:font>
  <w:font w:name="Kingsoft UE">
    <w:panose1 w:val="02000100010000000000"/>
    <w:charset w:val="00"/>
    <w:family w:val="auto"/>
    <w:pitch w:val="default"/>
    <w:sig w:usb0="00000001" w:usb1="00004000" w:usb2="00000000" w:usb3="00000000" w:csb0="00000001" w:csb1="00000000"/>
  </w:font>
  <w:font w:name="Droid Sans Fallback">
    <w:panose1 w:val="020B0502000000000001"/>
    <w:charset w:val="86"/>
    <w:family w:val="auto"/>
    <w:pitch w:val="default"/>
    <w:sig w:usb0="910002FF" w:usb1="2BDFFCFB" w:usb2="00000036" w:usb3="00000000" w:csb0="203F01FF" w:csb1="D7FF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EF0C4">
    <w:pPr>
      <w:pStyle w:val="16"/>
      <w:jc w:val="center"/>
    </w:pPr>
    <w:r>
      <w:fldChar w:fldCharType="begin"/>
    </w:r>
    <w:r>
      <w:instrText xml:space="preserve">PAGE   \* MERGEFORMAT</w:instrText>
    </w:r>
    <w:r>
      <w:fldChar w:fldCharType="separate"/>
    </w:r>
    <w:r>
      <w:rPr>
        <w:lang w:val="zh-CN"/>
      </w:rPr>
      <w:t>40</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D5DB6">
    <w:pPr>
      <w:pStyle w:val="16"/>
      <w:jc w:val="center"/>
    </w:pPr>
    <w:r>
      <w:fldChar w:fldCharType="begin"/>
    </w:r>
    <w:r>
      <w:instrText xml:space="preserve">PAGE   \* MERGEFORMAT</w:instrText>
    </w:r>
    <w:r>
      <w:fldChar w:fldCharType="separate"/>
    </w:r>
    <w:r>
      <w:rPr>
        <w:lang w:val="zh-CN"/>
      </w:rPr>
      <w:t>40</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9811B">
    <w:pPr>
      <w:pStyle w:val="16"/>
      <w:jc w:val="center"/>
    </w:pPr>
    <w:r>
      <w:fldChar w:fldCharType="begin"/>
    </w:r>
    <w:r>
      <w:instrText xml:space="preserve">PAGE   \* MERGEFORMAT</w:instrText>
    </w:r>
    <w:r>
      <w:fldChar w:fldCharType="separate"/>
    </w:r>
    <w:r>
      <w:rPr>
        <w:lang w:val="zh-CN"/>
      </w:rPr>
      <w:t>46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D69168"/>
    <w:multiLevelType w:val="singleLevel"/>
    <w:tmpl w:val="8FD69168"/>
    <w:lvl w:ilvl="0" w:tentative="0">
      <w:start w:val="1"/>
      <w:numFmt w:val="decimal"/>
      <w:suff w:val="nothing"/>
      <w:lvlText w:val="%1、"/>
      <w:lvlJc w:val="left"/>
    </w:lvl>
  </w:abstractNum>
  <w:abstractNum w:abstractNumId="1">
    <w:nsid w:val="AD0F7CFA"/>
    <w:multiLevelType w:val="multilevel"/>
    <w:tmpl w:val="AD0F7CFA"/>
    <w:lvl w:ilvl="0" w:tentative="0">
      <w:start w:val="1"/>
      <w:numFmt w:val="decimal"/>
      <w:suff w:val="nothing"/>
      <w:lvlText w:val="表5-%1  "/>
      <w:lvlJc w:val="left"/>
      <w:pPr>
        <w:tabs>
          <w:tab w:val="left" w:pos="0"/>
        </w:tabs>
        <w:ind w:left="0" w:firstLine="0"/>
      </w:pPr>
      <w:rPr>
        <w:rFonts w:hint="default"/>
        <w:sz w:val="24"/>
        <w:szCs w:val="24"/>
      </w:rPr>
    </w:lvl>
    <w:lvl w:ilvl="1" w:tentative="0">
      <w:start w:val="1"/>
      <w:numFmt w:val="lowerLetter"/>
      <w:lvlText w:val="%2)"/>
      <w:lvlJc w:val="left"/>
      <w:pPr>
        <w:tabs>
          <w:tab w:val="left" w:pos="840"/>
        </w:tabs>
        <w:ind w:left="840" w:hanging="420"/>
      </w:pPr>
      <w:rPr>
        <w:rFonts w:hint="default"/>
      </w:rPr>
    </w:lvl>
    <w:lvl w:ilvl="2" w:tentative="0">
      <w:start w:val="1"/>
      <w:numFmt w:val="lowerRoman"/>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Roman"/>
      <w:lvlText w:val="%6."/>
      <w:lvlJc w:val="left"/>
      <w:pPr>
        <w:tabs>
          <w:tab w:val="left" w:pos="2520"/>
        </w:tabs>
        <w:ind w:left="2520" w:hanging="420"/>
      </w:pPr>
      <w:rPr>
        <w:rFonts w:hint="default"/>
      </w:rPr>
    </w:lvl>
    <w:lvl w:ilvl="6" w:tentative="0">
      <w:start w:val="1"/>
      <w:numFmt w:val="decimal"/>
      <w:lvlText w:val="%7."/>
      <w:lvlJc w:val="left"/>
      <w:pPr>
        <w:tabs>
          <w:tab w:val="left" w:pos="2940"/>
        </w:tabs>
        <w:ind w:left="2940" w:hanging="420"/>
      </w:pPr>
      <w:rPr>
        <w:rFonts w:hint="default"/>
      </w:rPr>
    </w:lvl>
    <w:lvl w:ilvl="7" w:tentative="0">
      <w:start w:val="1"/>
      <w:numFmt w:val="lowerLetter"/>
      <w:lvlText w:val="%8)"/>
      <w:lvlJc w:val="left"/>
      <w:pPr>
        <w:tabs>
          <w:tab w:val="left" w:pos="3360"/>
        </w:tabs>
        <w:ind w:left="3360" w:hanging="420"/>
      </w:pPr>
      <w:rPr>
        <w:rFonts w:hint="default"/>
      </w:rPr>
    </w:lvl>
    <w:lvl w:ilvl="8" w:tentative="0">
      <w:start w:val="1"/>
      <w:numFmt w:val="lowerRoman"/>
      <w:lvlText w:val="%9."/>
      <w:lvlJc w:val="left"/>
      <w:pPr>
        <w:tabs>
          <w:tab w:val="left" w:pos="3780"/>
        </w:tabs>
        <w:ind w:left="3780" w:hanging="420"/>
      </w:pPr>
      <w:rPr>
        <w:rFonts w:hint="default"/>
      </w:rPr>
    </w:lvl>
  </w:abstractNum>
  <w:abstractNum w:abstractNumId="2">
    <w:nsid w:val="AEE60E36"/>
    <w:multiLevelType w:val="singleLevel"/>
    <w:tmpl w:val="AEE60E36"/>
    <w:lvl w:ilvl="0" w:tentative="0">
      <w:start w:val="1"/>
      <w:numFmt w:val="decimal"/>
      <w:suff w:val="nothing"/>
      <w:lvlText w:val="表3-%1  "/>
      <w:lvlJc w:val="left"/>
      <w:pPr>
        <w:tabs>
          <w:tab w:val="left" w:pos="0"/>
        </w:tabs>
        <w:ind w:left="0" w:firstLine="0"/>
      </w:pPr>
      <w:rPr>
        <w:rFonts w:hint="default"/>
        <w:sz w:val="24"/>
        <w:szCs w:val="24"/>
      </w:rPr>
    </w:lvl>
  </w:abstractNum>
  <w:abstractNum w:abstractNumId="3">
    <w:nsid w:val="C0AAD1EE"/>
    <w:multiLevelType w:val="singleLevel"/>
    <w:tmpl w:val="C0AAD1EE"/>
    <w:lvl w:ilvl="0" w:tentative="0">
      <w:start w:val="1"/>
      <w:numFmt w:val="decimal"/>
      <w:suff w:val="space"/>
      <w:lvlText w:val="表2-%1"/>
      <w:lvlJc w:val="left"/>
      <w:pPr>
        <w:tabs>
          <w:tab w:val="left" w:pos="0"/>
        </w:tabs>
        <w:ind w:left="0" w:leftChars="0" w:hanging="380" w:firstLineChars="0"/>
      </w:pPr>
      <w:rPr>
        <w:rFonts w:hint="default"/>
      </w:rPr>
    </w:lvl>
  </w:abstractNum>
  <w:abstractNum w:abstractNumId="4">
    <w:nsid w:val="C33B2462"/>
    <w:multiLevelType w:val="singleLevel"/>
    <w:tmpl w:val="C33B2462"/>
    <w:lvl w:ilvl="0" w:tentative="0">
      <w:start w:val="1"/>
      <w:numFmt w:val="decimal"/>
      <w:suff w:val="nothing"/>
      <w:lvlText w:val="表1-%1  "/>
      <w:lvlJc w:val="left"/>
      <w:pPr>
        <w:ind w:left="0" w:firstLine="0"/>
      </w:pPr>
      <w:rPr>
        <w:rFonts w:hint="default"/>
      </w:rPr>
    </w:lvl>
  </w:abstractNum>
  <w:abstractNum w:abstractNumId="5">
    <w:nsid w:val="DF0792F7"/>
    <w:multiLevelType w:val="singleLevel"/>
    <w:tmpl w:val="DF0792F7"/>
    <w:lvl w:ilvl="0" w:tentative="0">
      <w:start w:val="5"/>
      <w:numFmt w:val="decimal"/>
      <w:suff w:val="nothing"/>
      <w:lvlText w:val="%1）"/>
      <w:lvlJc w:val="left"/>
    </w:lvl>
  </w:abstractNum>
  <w:abstractNum w:abstractNumId="6">
    <w:nsid w:val="065BB987"/>
    <w:multiLevelType w:val="singleLevel"/>
    <w:tmpl w:val="065BB987"/>
    <w:lvl w:ilvl="0" w:tentative="0">
      <w:start w:val="1"/>
      <w:numFmt w:val="decimal"/>
      <w:lvlText w:val="%1."/>
      <w:lvlJc w:val="left"/>
      <w:pPr>
        <w:tabs>
          <w:tab w:val="left" w:pos="312"/>
        </w:tabs>
      </w:pPr>
    </w:lvl>
  </w:abstractNum>
  <w:abstractNum w:abstractNumId="7">
    <w:nsid w:val="0BDA5296"/>
    <w:multiLevelType w:val="singleLevel"/>
    <w:tmpl w:val="0BDA5296"/>
    <w:lvl w:ilvl="0" w:tentative="0">
      <w:start w:val="1"/>
      <w:numFmt w:val="decimal"/>
      <w:suff w:val="nothing"/>
      <w:lvlText w:val="%1、"/>
      <w:lvlJc w:val="left"/>
      <w:pPr>
        <w:ind w:left="0" w:leftChars="0" w:hanging="380" w:firstLineChars="0"/>
      </w:pPr>
      <w:rPr>
        <w:rFonts w:hint="default"/>
      </w:rPr>
    </w:lvl>
  </w:abstractNum>
  <w:abstractNum w:abstractNumId="8">
    <w:nsid w:val="15500E31"/>
    <w:multiLevelType w:val="singleLevel"/>
    <w:tmpl w:val="15500E31"/>
    <w:lvl w:ilvl="0" w:tentative="0">
      <w:start w:val="1"/>
      <w:numFmt w:val="decimal"/>
      <w:pStyle w:val="143"/>
      <w:suff w:val="nothing"/>
      <w:lvlText w:val="表4-%1　"/>
      <w:lvlJc w:val="left"/>
      <w:pPr>
        <w:ind w:left="0" w:firstLine="397"/>
      </w:pPr>
      <w:rPr>
        <w:rFonts w:hint="default"/>
        <w:sz w:val="21"/>
        <w:szCs w:val="21"/>
      </w:rPr>
    </w:lvl>
  </w:abstractNum>
  <w:abstractNum w:abstractNumId="9">
    <w:nsid w:val="15F9F958"/>
    <w:multiLevelType w:val="singleLevel"/>
    <w:tmpl w:val="15F9F958"/>
    <w:lvl w:ilvl="0" w:tentative="0">
      <w:start w:val="1"/>
      <w:numFmt w:val="decimal"/>
      <w:pStyle w:val="131"/>
      <w:suff w:val="nothing"/>
      <w:lvlText w:val="表2-%1"/>
      <w:lvlJc w:val="left"/>
      <w:pPr>
        <w:ind w:left="0" w:firstLine="403"/>
      </w:pPr>
      <w:rPr>
        <w:rFonts w:hint="default" w:ascii="Times New Roman" w:hAnsi="Times New Roman" w:cs="Times New Roman"/>
        <w:b/>
        <w:bCs/>
      </w:rPr>
    </w:lvl>
  </w:abstractNum>
  <w:abstractNum w:abstractNumId="10">
    <w:nsid w:val="186495DB"/>
    <w:multiLevelType w:val="singleLevel"/>
    <w:tmpl w:val="186495DB"/>
    <w:lvl w:ilvl="0" w:tentative="0">
      <w:start w:val="2"/>
      <w:numFmt w:val="decimal"/>
      <w:lvlText w:val="%1."/>
      <w:lvlJc w:val="left"/>
      <w:pPr>
        <w:tabs>
          <w:tab w:val="left" w:pos="312"/>
        </w:tabs>
        <w:ind w:left="280"/>
      </w:pPr>
    </w:lvl>
  </w:abstractNum>
  <w:abstractNum w:abstractNumId="11">
    <w:nsid w:val="35BB81A5"/>
    <w:multiLevelType w:val="singleLevel"/>
    <w:tmpl w:val="35BB81A5"/>
    <w:lvl w:ilvl="0" w:tentative="0">
      <w:start w:val="1"/>
      <w:numFmt w:val="decimal"/>
      <w:suff w:val="space"/>
      <w:lvlText w:val="表4-%1"/>
      <w:lvlJc w:val="left"/>
      <w:pPr>
        <w:ind w:left="0" w:leftChars="0" w:hanging="380" w:firstLineChars="0"/>
      </w:pPr>
      <w:rPr>
        <w:rFonts w:hint="default"/>
      </w:rPr>
    </w:lvl>
  </w:abstractNum>
  <w:abstractNum w:abstractNumId="12">
    <w:nsid w:val="485531A2"/>
    <w:multiLevelType w:val="multilevel"/>
    <w:tmpl w:val="485531A2"/>
    <w:lvl w:ilvl="0" w:tentative="0">
      <w:start w:val="1"/>
      <w:numFmt w:val="chineseCountingThousand"/>
      <w:suff w:val="space"/>
      <w:lvlText w:val="第%1章"/>
      <w:lvlJc w:val="left"/>
      <w:rPr>
        <w:rFonts w:hint="eastAsia" w:ascii="Times New Roman" w:hAnsi="Times New Roman" w:cs="Times New Roman"/>
        <w:b/>
        <w:bCs w:val="0"/>
        <w:i w:val="0"/>
        <w:iCs w:val="0"/>
        <w:caps w:val="0"/>
        <w:smallCaps w:val="0"/>
        <w:strike w:val="0"/>
        <w:dstrike w:val="0"/>
        <w:vanish w:val="0"/>
        <w:color w:val="000000"/>
        <w:spacing w:val="0"/>
        <w:position w:val="0"/>
        <w:u w:val="none"/>
        <w:vertAlign w:val="baseline"/>
      </w:rPr>
    </w:lvl>
    <w:lvl w:ilvl="1" w:tentative="0">
      <w:start w:val="1"/>
      <w:numFmt w:val="decimal"/>
      <w:isLgl/>
      <w:suff w:val="space"/>
      <w:lvlText w:val="%1.%2"/>
      <w:lvlJc w:val="left"/>
      <w:rPr>
        <w:rFonts w:hint="eastAsia" w:ascii="Times New Roman" w:hAnsi="Times New Roman"/>
        <w:b/>
        <w:bCs w:val="0"/>
        <w:i w:val="0"/>
        <w:iCs w:val="0"/>
        <w:caps w:val="0"/>
        <w:smallCaps w:val="0"/>
        <w:strike w:val="0"/>
        <w:dstrike w:val="0"/>
        <w:vanish w:val="0"/>
        <w:color w:val="000000"/>
        <w:spacing w:val="0"/>
        <w:kern w:val="0"/>
        <w:position w:val="0"/>
        <w:u w:val="none"/>
        <w:vertAlign w:val="baseline"/>
      </w:rPr>
    </w:lvl>
    <w:lvl w:ilvl="2" w:tentative="0">
      <w:start w:val="1"/>
      <w:numFmt w:val="decimal"/>
      <w:isLgl/>
      <w:suff w:val="space"/>
      <w:lvlText w:val="%1.%2.%3"/>
      <w:lvlJc w:val="left"/>
      <w:pPr>
        <w:ind w:left="993" w:hanging="567"/>
      </w:pPr>
      <w:rPr>
        <w:rFonts w:hint="eastAsia"/>
        <w:sz w:val="28"/>
        <w:szCs w:val="28"/>
      </w:rPr>
    </w:lvl>
    <w:lvl w:ilvl="3" w:tentative="0">
      <w:start w:val="1"/>
      <w:numFmt w:val="decimal"/>
      <w:isLgl/>
      <w:suff w:val="space"/>
      <w:lvlText w:val="%1.%2.%3.%4"/>
      <w:lvlJc w:val="left"/>
      <w:pPr>
        <w:ind w:left="2835" w:hanging="567"/>
      </w:pPr>
      <w:rPr>
        <w:rFonts w:hint="default" w:cs="Times New Roman"/>
        <w:b/>
        <w:bCs w:val="0"/>
        <w:i w:val="0"/>
        <w:iCs w:val="0"/>
        <w:caps w:val="0"/>
        <w:smallCaps w:val="0"/>
        <w:strike w:val="0"/>
        <w:dstrike w:val="0"/>
        <w:vanish w:val="0"/>
        <w:color w:val="000000"/>
        <w:spacing w:val="0"/>
        <w:position w:val="0"/>
        <w:u w:val="none"/>
        <w:vertAlign w:val="baseline"/>
      </w:rPr>
    </w:lvl>
    <w:lvl w:ilvl="4" w:tentative="0">
      <w:start w:val="1"/>
      <w:numFmt w:val="decimal"/>
      <w:isLgl/>
      <w:suff w:val="space"/>
      <w:lvlText w:val="%1.%2.%3.%4.%5"/>
      <w:lvlJc w:val="left"/>
      <w:pPr>
        <w:ind w:left="1134" w:hanging="567"/>
      </w:pPr>
      <w:rPr>
        <w:rFonts w:hint="eastAsia"/>
      </w:rPr>
    </w:lvl>
    <w:lvl w:ilvl="5" w:tentative="0">
      <w:start w:val="1"/>
      <w:numFmt w:val="decimal"/>
      <w:lvlRestart w:val="2"/>
      <w:pStyle w:val="105"/>
      <w:isLgl/>
      <w:suff w:val="space"/>
      <w:lvlText w:val="表%1.%2-%6"/>
      <w:lvlJc w:val="center"/>
      <w:pPr>
        <w:ind w:left="0" w:firstLine="0"/>
      </w:pPr>
      <w:rPr>
        <w:rFonts w:hint="default" w:ascii="Times New Roman" w:hAnsi="Times New Roman" w:cs="Times New Roman"/>
        <w:b/>
        <w:bCs w:val="0"/>
        <w:i w:val="0"/>
        <w:iCs w:val="0"/>
        <w:caps w:val="0"/>
        <w:smallCaps w:val="0"/>
        <w:strike w:val="0"/>
        <w:dstrike w:val="0"/>
        <w:vanish w:val="0"/>
        <w:color w:val="000000"/>
        <w:spacing w:val="0"/>
        <w:position w:val="0"/>
        <w:u w:val="none"/>
        <w:vertAlign w:val="baseline"/>
      </w:rPr>
    </w:lvl>
    <w:lvl w:ilvl="6" w:tentative="0">
      <w:start w:val="1"/>
      <w:numFmt w:val="decimal"/>
      <w:lvlRestart w:val="2"/>
      <w:isLgl/>
      <w:suff w:val="space"/>
      <w:lvlText w:val="图%1.%2-%7"/>
      <w:lvlJc w:val="center"/>
      <w:pPr>
        <w:ind w:left="0" w:firstLine="0"/>
      </w:pPr>
      <w:rPr>
        <w:rFonts w:hint="default" w:ascii="Times New Roman" w:hAnsi="Times New Roman" w:cs="Times New Roman"/>
        <w:b/>
        <w:bCs w:val="0"/>
        <w:i w:val="0"/>
        <w:iCs w:val="0"/>
        <w:caps w:val="0"/>
        <w:smallCaps w:val="0"/>
        <w:strike w:val="0"/>
        <w:dstrike w:val="0"/>
        <w:vanish w:val="0"/>
        <w:color w:val="000000"/>
        <w:spacing w:val="0"/>
        <w:position w:val="0"/>
        <w:u w:val="none"/>
        <w:vertAlign w:val="baseline"/>
      </w:rPr>
    </w:lvl>
    <w:lvl w:ilvl="7" w:tentative="0">
      <w:start w:val="1"/>
      <w:numFmt w:val="none"/>
      <w:lvlRestart w:val="2"/>
      <w:isLgl/>
      <w:suff w:val="nothing"/>
      <w:lvlText w:val=""/>
      <w:lvlJc w:val="left"/>
      <w:pPr>
        <w:ind w:left="283" w:firstLine="0"/>
      </w:pPr>
      <w:rPr>
        <w:rFonts w:hint="eastAsia" w:cs="Times New Roman"/>
        <w:b w:val="0"/>
        <w:bCs w:val="0"/>
        <w:i w:val="0"/>
        <w:iCs w:val="0"/>
        <w:caps w:val="0"/>
        <w:smallCaps w:val="0"/>
        <w:strike w:val="0"/>
        <w:dstrike w:val="0"/>
        <w:vanish w:val="0"/>
        <w:color w:val="000000"/>
        <w:spacing w:val="0"/>
        <w:position w:val="0"/>
        <w:u w:val="none"/>
        <w:vertAlign w:val="baseline"/>
      </w:rPr>
    </w:lvl>
    <w:lvl w:ilvl="8" w:tentative="0">
      <w:start w:val="1"/>
      <w:numFmt w:val="none"/>
      <w:isLgl/>
      <w:lvlText w:val=""/>
      <w:lvlJc w:val="left"/>
      <w:pPr>
        <w:ind w:left="1559" w:hanging="1559"/>
      </w:pPr>
      <w:rPr>
        <w:rFonts w:hint="eastAsia"/>
      </w:rPr>
    </w:lvl>
  </w:abstractNum>
  <w:abstractNum w:abstractNumId="13">
    <w:nsid w:val="4D9B69FD"/>
    <w:multiLevelType w:val="multilevel"/>
    <w:tmpl w:val="4D9B69FD"/>
    <w:lvl w:ilvl="0" w:tentative="0">
      <w:start w:val="1"/>
      <w:numFmt w:val="decimal"/>
      <w:lvlText w:val="%1"/>
      <w:lvlJc w:val="left"/>
      <w:pPr>
        <w:tabs>
          <w:tab w:val="left" w:pos="432"/>
        </w:tabs>
        <w:ind w:left="432" w:hanging="432"/>
      </w:pPr>
      <w:rPr>
        <w:rFonts w:hint="default"/>
        <w:u w:val="none" w:color="auto"/>
      </w:rPr>
    </w:lvl>
    <w:lvl w:ilvl="1" w:tentative="0">
      <w:start w:val="1"/>
      <w:numFmt w:val="decimal"/>
      <w:pStyle w:val="117"/>
      <w:lvlText w:val="%1.%2"/>
      <w:lvlJc w:val="left"/>
      <w:pPr>
        <w:tabs>
          <w:tab w:val="left" w:pos="576"/>
        </w:tabs>
        <w:ind w:left="576" w:hanging="576"/>
      </w:pPr>
      <w:rPr>
        <w:rFonts w:hint="default"/>
        <w:u w:val="none" w:color="auto"/>
      </w:rPr>
    </w:lvl>
    <w:lvl w:ilvl="2" w:tentative="0">
      <w:start w:val="1"/>
      <w:numFmt w:val="decimal"/>
      <w:lvlText w:val="1.1.%3"/>
      <w:lvlJc w:val="left"/>
      <w:pPr>
        <w:tabs>
          <w:tab w:val="left" w:pos="720"/>
        </w:tabs>
        <w:ind w:left="720" w:hanging="720"/>
      </w:pPr>
      <w:rPr>
        <w:rFonts w:hint="default"/>
        <w:u w:val="none" w:color="auto"/>
      </w:rPr>
    </w:lvl>
    <w:lvl w:ilvl="3" w:tentative="0">
      <w:start w:val="1"/>
      <w:numFmt w:val="decimal"/>
      <w:lvlText w:val="%1.%2.%3.%4"/>
      <w:lvlJc w:val="left"/>
      <w:pPr>
        <w:tabs>
          <w:tab w:val="left" w:pos="864"/>
        </w:tabs>
        <w:ind w:left="864" w:hanging="864"/>
      </w:pPr>
      <w:rPr>
        <w:rFonts w:hint="default"/>
        <w:u w:val="none" w:color="auto"/>
      </w:rPr>
    </w:lvl>
    <w:lvl w:ilvl="4" w:tentative="0">
      <w:start w:val="1"/>
      <w:numFmt w:val="decimal"/>
      <w:lvlText w:val="%1.%2.%3.%4.%5"/>
      <w:lvlJc w:val="left"/>
      <w:pPr>
        <w:tabs>
          <w:tab w:val="left" w:pos="1008"/>
        </w:tabs>
        <w:ind w:left="1008" w:hanging="1008"/>
      </w:pPr>
      <w:rPr>
        <w:rFonts w:hint="default"/>
        <w:u w:val="none" w:color="auto"/>
      </w:rPr>
    </w:lvl>
    <w:lvl w:ilvl="5" w:tentative="0">
      <w:start w:val="1"/>
      <w:numFmt w:val="decimal"/>
      <w:lvlText w:val="%1.%2.%3.%4.%5.%6"/>
      <w:lvlJc w:val="left"/>
      <w:pPr>
        <w:tabs>
          <w:tab w:val="left" w:pos="1152"/>
        </w:tabs>
        <w:ind w:left="1152" w:hanging="1152"/>
      </w:pPr>
      <w:rPr>
        <w:rFonts w:hint="default"/>
        <w:u w:val="none" w:color="auto"/>
      </w:rPr>
    </w:lvl>
    <w:lvl w:ilvl="6" w:tentative="0">
      <w:start w:val="1"/>
      <w:numFmt w:val="decimal"/>
      <w:lvlText w:val="%1.%2.%3.%4.%5.%6.%7"/>
      <w:lvlJc w:val="left"/>
      <w:pPr>
        <w:tabs>
          <w:tab w:val="left" w:pos="1296"/>
        </w:tabs>
        <w:ind w:left="1296" w:hanging="1296"/>
      </w:pPr>
      <w:rPr>
        <w:rFonts w:hint="default"/>
        <w:u w:val="none" w:color="auto"/>
      </w:rPr>
    </w:lvl>
    <w:lvl w:ilvl="7" w:tentative="0">
      <w:start w:val="1"/>
      <w:numFmt w:val="decimal"/>
      <w:lvlText w:val="%1.%2.%3.%4.%5.%6.%7.%8"/>
      <w:lvlJc w:val="left"/>
      <w:pPr>
        <w:tabs>
          <w:tab w:val="left" w:pos="1440"/>
        </w:tabs>
        <w:ind w:left="1440" w:hanging="1440"/>
      </w:pPr>
      <w:rPr>
        <w:rFonts w:hint="default"/>
        <w:u w:val="none" w:color="auto"/>
      </w:rPr>
    </w:lvl>
    <w:lvl w:ilvl="8" w:tentative="0">
      <w:start w:val="1"/>
      <w:numFmt w:val="decimal"/>
      <w:lvlText w:val="%1.%2.%3.%4.%5.%6.%7.%8.%9"/>
      <w:lvlJc w:val="left"/>
      <w:pPr>
        <w:tabs>
          <w:tab w:val="left" w:pos="1584"/>
        </w:tabs>
        <w:ind w:left="1584" w:hanging="1584"/>
      </w:pPr>
      <w:rPr>
        <w:rFonts w:hint="default"/>
        <w:u w:val="none" w:color="auto"/>
      </w:rPr>
    </w:lvl>
  </w:abstractNum>
  <w:abstractNum w:abstractNumId="14">
    <w:nsid w:val="4DD06741"/>
    <w:multiLevelType w:val="singleLevel"/>
    <w:tmpl w:val="4DD06741"/>
    <w:lvl w:ilvl="0" w:tentative="0">
      <w:start w:val="5"/>
      <w:numFmt w:val="upperLetter"/>
      <w:suff w:val="nothing"/>
      <w:lvlText w:val="%1、"/>
      <w:lvlJc w:val="left"/>
    </w:lvl>
  </w:abstractNum>
  <w:abstractNum w:abstractNumId="15">
    <w:nsid w:val="5D376C23"/>
    <w:multiLevelType w:val="multilevel"/>
    <w:tmpl w:val="5D376C23"/>
    <w:lvl w:ilvl="0" w:tentative="0">
      <w:start w:val="1"/>
      <w:numFmt w:val="decimalEnclosedCircleChinese"/>
      <w:suff w:val="space"/>
      <w:lvlText w:val="%1"/>
      <w:lvlJc w:val="left"/>
      <w:pPr>
        <w:tabs>
          <w:tab w:val="left" w:pos="0"/>
        </w:tabs>
        <w:ind w:left="0" w:firstLine="40"/>
      </w:pPr>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6">
    <w:nsid w:val="644D3847"/>
    <w:multiLevelType w:val="multilevel"/>
    <w:tmpl w:val="644D3847"/>
    <w:lvl w:ilvl="0" w:tentative="0">
      <w:start w:val="1"/>
      <w:numFmt w:val="none"/>
      <w:suff w:val="nothing"/>
      <w:lvlText w:val="%1"/>
      <w:lvlJc w:val="left"/>
      <w:pPr>
        <w:ind w:left="0" w:firstLine="0"/>
      </w:pPr>
      <w:rPr>
        <w:rFonts w:hint="eastAsia"/>
      </w:rPr>
    </w:lvl>
    <w:lvl w:ilvl="1" w:tentative="0">
      <w:start w:val="1"/>
      <w:numFmt w:val="chineseCountingThousand"/>
      <w:suff w:val="nothing"/>
      <w:lvlText w:val="%2、"/>
      <w:lvlJc w:val="left"/>
      <w:pPr>
        <w:ind w:left="0" w:firstLine="0"/>
      </w:pPr>
      <w:rPr>
        <w:rFonts w:hint="eastAsia"/>
      </w:rPr>
    </w:lvl>
    <w:lvl w:ilvl="2" w:tentative="0">
      <w:start w:val="1"/>
      <w:numFmt w:val="decimal"/>
      <w:suff w:val="nothing"/>
      <w:lvlText w:val="%3、"/>
      <w:lvlJc w:val="left"/>
      <w:pPr>
        <w:ind w:left="0" w:firstLine="0"/>
      </w:pPr>
      <w:rPr>
        <w:rFonts w:hint="eastAsia"/>
      </w:rPr>
    </w:lvl>
    <w:lvl w:ilvl="3" w:tentative="0">
      <w:start w:val="1"/>
      <w:numFmt w:val="decimal"/>
      <w:suff w:val="space"/>
      <w:lvlText w:val="%3.%4"/>
      <w:lvlJc w:val="left"/>
      <w:pPr>
        <w:ind w:left="0" w:firstLine="0"/>
      </w:pPr>
      <w:rPr>
        <w:rFonts w:hint="eastAsia"/>
      </w:rPr>
    </w:lvl>
    <w:lvl w:ilvl="4" w:tentative="0">
      <w:start w:val="1"/>
      <w:numFmt w:val="decimal"/>
      <w:suff w:val="space"/>
      <w:lvlText w:val="%3.%4.%5"/>
      <w:lvlJc w:val="left"/>
      <w:pPr>
        <w:ind w:left="0" w:firstLine="0"/>
      </w:pPr>
      <w:rPr>
        <w:rFonts w:hint="eastAsia"/>
      </w:rPr>
    </w:lvl>
    <w:lvl w:ilvl="5" w:tentative="0">
      <w:start w:val="1"/>
      <w:numFmt w:val="decimal"/>
      <w:lvlRestart w:val="0"/>
      <w:pStyle w:val="111"/>
      <w:suff w:val="space"/>
      <w:lvlText w:val="表%6"/>
      <w:lvlJc w:val="center"/>
      <w:pPr>
        <w:ind w:left="1680" w:firstLine="0"/>
      </w:pPr>
      <w:rPr>
        <w:rFonts w:hint="eastAsia"/>
        <w:b w:val="0"/>
      </w:rPr>
    </w:lvl>
    <w:lvl w:ilvl="6" w:tentative="0">
      <w:start w:val="1"/>
      <w:numFmt w:val="decimal"/>
      <w:lvlRestart w:val="0"/>
      <w:suff w:val="space"/>
      <w:lvlText w:val="图%7"/>
      <w:lvlJc w:val="center"/>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12"/>
  </w:num>
  <w:num w:numId="2">
    <w:abstractNumId w:val="16"/>
  </w:num>
  <w:num w:numId="3">
    <w:abstractNumId w:val="13"/>
  </w:num>
  <w:num w:numId="4">
    <w:abstractNumId w:val="9"/>
  </w:num>
  <w:num w:numId="5">
    <w:abstractNumId w:val="8"/>
  </w:num>
  <w:num w:numId="6">
    <w:abstractNumId w:val="4"/>
  </w:num>
  <w:num w:numId="7">
    <w:abstractNumId w:val="7"/>
  </w:num>
  <w:num w:numId="8">
    <w:abstractNumId w:val="3"/>
  </w:num>
  <w:num w:numId="9">
    <w:abstractNumId w:val="0"/>
  </w:num>
  <w:num w:numId="10">
    <w:abstractNumId w:val="2"/>
  </w:num>
  <w:num w:numId="11">
    <w:abstractNumId w:val="6"/>
  </w:num>
  <w:num w:numId="12">
    <w:abstractNumId w:val="11"/>
  </w:num>
  <w:num w:numId="13">
    <w:abstractNumId w:val="10"/>
  </w:num>
  <w:num w:numId="14">
    <w:abstractNumId w:val="5"/>
  </w:num>
  <w:num w:numId="15">
    <w:abstractNumId w:val="15"/>
  </w:num>
  <w:num w:numId="16">
    <w:abstractNumId w:val="14"/>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1MTkzOTVkOTY2OGZjMjY5OWMwNzdiZDBjNzI5YjcifQ=="/>
  </w:docVars>
  <w:rsids>
    <w:rsidRoot w:val="00172A27"/>
    <w:rsid w:val="00002684"/>
    <w:rsid w:val="00003694"/>
    <w:rsid w:val="00004983"/>
    <w:rsid w:val="000060B3"/>
    <w:rsid w:val="000072AB"/>
    <w:rsid w:val="00007D3E"/>
    <w:rsid w:val="00007E75"/>
    <w:rsid w:val="00013751"/>
    <w:rsid w:val="0001462C"/>
    <w:rsid w:val="000149B3"/>
    <w:rsid w:val="00015584"/>
    <w:rsid w:val="0001683C"/>
    <w:rsid w:val="0002106B"/>
    <w:rsid w:val="00022E7D"/>
    <w:rsid w:val="00023060"/>
    <w:rsid w:val="00026B7D"/>
    <w:rsid w:val="00027382"/>
    <w:rsid w:val="00030CF6"/>
    <w:rsid w:val="00031057"/>
    <w:rsid w:val="000338AF"/>
    <w:rsid w:val="000355E1"/>
    <w:rsid w:val="00035F29"/>
    <w:rsid w:val="00037428"/>
    <w:rsid w:val="00042798"/>
    <w:rsid w:val="00042863"/>
    <w:rsid w:val="00042DA1"/>
    <w:rsid w:val="0004364B"/>
    <w:rsid w:val="00044413"/>
    <w:rsid w:val="000447C9"/>
    <w:rsid w:val="00045455"/>
    <w:rsid w:val="00046467"/>
    <w:rsid w:val="000507DB"/>
    <w:rsid w:val="0005279C"/>
    <w:rsid w:val="00053331"/>
    <w:rsid w:val="0005589F"/>
    <w:rsid w:val="000559CD"/>
    <w:rsid w:val="00056A06"/>
    <w:rsid w:val="00056F4E"/>
    <w:rsid w:val="0005708F"/>
    <w:rsid w:val="00060174"/>
    <w:rsid w:val="000603C2"/>
    <w:rsid w:val="00060D25"/>
    <w:rsid w:val="00061B1F"/>
    <w:rsid w:val="0006410A"/>
    <w:rsid w:val="0006582E"/>
    <w:rsid w:val="00071DB0"/>
    <w:rsid w:val="00072840"/>
    <w:rsid w:val="00073041"/>
    <w:rsid w:val="000733C4"/>
    <w:rsid w:val="00073DF3"/>
    <w:rsid w:val="00074022"/>
    <w:rsid w:val="00074783"/>
    <w:rsid w:val="00074F1B"/>
    <w:rsid w:val="00076FBB"/>
    <w:rsid w:val="0007798E"/>
    <w:rsid w:val="00077CD5"/>
    <w:rsid w:val="0008070B"/>
    <w:rsid w:val="00080774"/>
    <w:rsid w:val="000807CA"/>
    <w:rsid w:val="000810AC"/>
    <w:rsid w:val="00081A02"/>
    <w:rsid w:val="00082231"/>
    <w:rsid w:val="000827A6"/>
    <w:rsid w:val="00082979"/>
    <w:rsid w:val="00083635"/>
    <w:rsid w:val="00083BA5"/>
    <w:rsid w:val="00083BFD"/>
    <w:rsid w:val="00092D38"/>
    <w:rsid w:val="00093275"/>
    <w:rsid w:val="0009377B"/>
    <w:rsid w:val="0009539D"/>
    <w:rsid w:val="000A138C"/>
    <w:rsid w:val="000A148C"/>
    <w:rsid w:val="000A20C9"/>
    <w:rsid w:val="000A4089"/>
    <w:rsid w:val="000A4412"/>
    <w:rsid w:val="000A6ED5"/>
    <w:rsid w:val="000A7AD2"/>
    <w:rsid w:val="000B058F"/>
    <w:rsid w:val="000B2BD1"/>
    <w:rsid w:val="000B3BAD"/>
    <w:rsid w:val="000B3C04"/>
    <w:rsid w:val="000B3F75"/>
    <w:rsid w:val="000B4467"/>
    <w:rsid w:val="000B4DB9"/>
    <w:rsid w:val="000B5EA3"/>
    <w:rsid w:val="000B6902"/>
    <w:rsid w:val="000B6A15"/>
    <w:rsid w:val="000C09AC"/>
    <w:rsid w:val="000C2E99"/>
    <w:rsid w:val="000C4C24"/>
    <w:rsid w:val="000C75E0"/>
    <w:rsid w:val="000C767F"/>
    <w:rsid w:val="000D0A75"/>
    <w:rsid w:val="000D48F4"/>
    <w:rsid w:val="000D5A44"/>
    <w:rsid w:val="000E0D87"/>
    <w:rsid w:val="000E2B00"/>
    <w:rsid w:val="000E36EF"/>
    <w:rsid w:val="000E3ED2"/>
    <w:rsid w:val="000E465D"/>
    <w:rsid w:val="000E652E"/>
    <w:rsid w:val="000E700C"/>
    <w:rsid w:val="000F128C"/>
    <w:rsid w:val="000F1F4B"/>
    <w:rsid w:val="000F2476"/>
    <w:rsid w:val="000F27FA"/>
    <w:rsid w:val="00100D2A"/>
    <w:rsid w:val="001023C1"/>
    <w:rsid w:val="00102DFB"/>
    <w:rsid w:val="001062DB"/>
    <w:rsid w:val="00106C69"/>
    <w:rsid w:val="00107521"/>
    <w:rsid w:val="001128C1"/>
    <w:rsid w:val="0011293F"/>
    <w:rsid w:val="00112E2F"/>
    <w:rsid w:val="00113C44"/>
    <w:rsid w:val="00113F93"/>
    <w:rsid w:val="001141E0"/>
    <w:rsid w:val="0011490A"/>
    <w:rsid w:val="00114E90"/>
    <w:rsid w:val="00116E00"/>
    <w:rsid w:val="001208F5"/>
    <w:rsid w:val="00120F80"/>
    <w:rsid w:val="00121AF9"/>
    <w:rsid w:val="00123013"/>
    <w:rsid w:val="0012351C"/>
    <w:rsid w:val="00124059"/>
    <w:rsid w:val="0012596A"/>
    <w:rsid w:val="00127CD0"/>
    <w:rsid w:val="001316DC"/>
    <w:rsid w:val="00131F42"/>
    <w:rsid w:val="001330FD"/>
    <w:rsid w:val="00134782"/>
    <w:rsid w:val="00135361"/>
    <w:rsid w:val="001357F1"/>
    <w:rsid w:val="00136AFB"/>
    <w:rsid w:val="00140FA8"/>
    <w:rsid w:val="00140FE9"/>
    <w:rsid w:val="00142FEB"/>
    <w:rsid w:val="001431B3"/>
    <w:rsid w:val="00143A2D"/>
    <w:rsid w:val="00145A41"/>
    <w:rsid w:val="0014726A"/>
    <w:rsid w:val="00150B2C"/>
    <w:rsid w:val="00151675"/>
    <w:rsid w:val="001527B3"/>
    <w:rsid w:val="00153413"/>
    <w:rsid w:val="001554B1"/>
    <w:rsid w:val="00155B42"/>
    <w:rsid w:val="00157435"/>
    <w:rsid w:val="00157DF6"/>
    <w:rsid w:val="00165664"/>
    <w:rsid w:val="00167414"/>
    <w:rsid w:val="00171E90"/>
    <w:rsid w:val="0017504D"/>
    <w:rsid w:val="00175A51"/>
    <w:rsid w:val="00175A98"/>
    <w:rsid w:val="00175BCB"/>
    <w:rsid w:val="0017671A"/>
    <w:rsid w:val="00177422"/>
    <w:rsid w:val="00181B32"/>
    <w:rsid w:val="00182772"/>
    <w:rsid w:val="00182F2A"/>
    <w:rsid w:val="00184590"/>
    <w:rsid w:val="00186A82"/>
    <w:rsid w:val="001870D1"/>
    <w:rsid w:val="001871D7"/>
    <w:rsid w:val="001875BF"/>
    <w:rsid w:val="0018781E"/>
    <w:rsid w:val="001878AE"/>
    <w:rsid w:val="00187C75"/>
    <w:rsid w:val="001907FF"/>
    <w:rsid w:val="0019262D"/>
    <w:rsid w:val="00192FB5"/>
    <w:rsid w:val="001942C7"/>
    <w:rsid w:val="00194696"/>
    <w:rsid w:val="001952C5"/>
    <w:rsid w:val="001A08BB"/>
    <w:rsid w:val="001A1B35"/>
    <w:rsid w:val="001A465C"/>
    <w:rsid w:val="001A48A2"/>
    <w:rsid w:val="001A636A"/>
    <w:rsid w:val="001A6F61"/>
    <w:rsid w:val="001A74EE"/>
    <w:rsid w:val="001B02E4"/>
    <w:rsid w:val="001B4547"/>
    <w:rsid w:val="001B4B0D"/>
    <w:rsid w:val="001B508F"/>
    <w:rsid w:val="001B5439"/>
    <w:rsid w:val="001B72B8"/>
    <w:rsid w:val="001B7DA9"/>
    <w:rsid w:val="001C03D0"/>
    <w:rsid w:val="001C076C"/>
    <w:rsid w:val="001C1D8C"/>
    <w:rsid w:val="001C2756"/>
    <w:rsid w:val="001C32C5"/>
    <w:rsid w:val="001C5136"/>
    <w:rsid w:val="001C5BF3"/>
    <w:rsid w:val="001C69B3"/>
    <w:rsid w:val="001D4B9E"/>
    <w:rsid w:val="001D5595"/>
    <w:rsid w:val="001D68F4"/>
    <w:rsid w:val="001D6F5B"/>
    <w:rsid w:val="001D7874"/>
    <w:rsid w:val="001D7905"/>
    <w:rsid w:val="001D797E"/>
    <w:rsid w:val="001D7F22"/>
    <w:rsid w:val="001E0296"/>
    <w:rsid w:val="001E2FF9"/>
    <w:rsid w:val="001E3D17"/>
    <w:rsid w:val="001E6AE9"/>
    <w:rsid w:val="001F0F17"/>
    <w:rsid w:val="001F2581"/>
    <w:rsid w:val="001F3347"/>
    <w:rsid w:val="001F48BF"/>
    <w:rsid w:val="001F513A"/>
    <w:rsid w:val="001F69E4"/>
    <w:rsid w:val="00200679"/>
    <w:rsid w:val="002024B2"/>
    <w:rsid w:val="00202EB6"/>
    <w:rsid w:val="00203FD7"/>
    <w:rsid w:val="00204DFF"/>
    <w:rsid w:val="002077C5"/>
    <w:rsid w:val="00210879"/>
    <w:rsid w:val="002111F9"/>
    <w:rsid w:val="00211D17"/>
    <w:rsid w:val="002125B4"/>
    <w:rsid w:val="00213257"/>
    <w:rsid w:val="00213C2D"/>
    <w:rsid w:val="002155B8"/>
    <w:rsid w:val="0021677D"/>
    <w:rsid w:val="00216B06"/>
    <w:rsid w:val="00220263"/>
    <w:rsid w:val="00222281"/>
    <w:rsid w:val="00224839"/>
    <w:rsid w:val="002249B2"/>
    <w:rsid w:val="00224BD7"/>
    <w:rsid w:val="00226035"/>
    <w:rsid w:val="00226574"/>
    <w:rsid w:val="002278EC"/>
    <w:rsid w:val="00227A66"/>
    <w:rsid w:val="00227C1A"/>
    <w:rsid w:val="002303C5"/>
    <w:rsid w:val="00230B6C"/>
    <w:rsid w:val="0023280E"/>
    <w:rsid w:val="00236333"/>
    <w:rsid w:val="00236D73"/>
    <w:rsid w:val="002376E7"/>
    <w:rsid w:val="002377D1"/>
    <w:rsid w:val="00241A32"/>
    <w:rsid w:val="002446D0"/>
    <w:rsid w:val="00247E2A"/>
    <w:rsid w:val="002500D1"/>
    <w:rsid w:val="002506BC"/>
    <w:rsid w:val="00250D2F"/>
    <w:rsid w:val="00250EF3"/>
    <w:rsid w:val="0025132D"/>
    <w:rsid w:val="00251D23"/>
    <w:rsid w:val="002521AC"/>
    <w:rsid w:val="002538F1"/>
    <w:rsid w:val="00254345"/>
    <w:rsid w:val="0025687E"/>
    <w:rsid w:val="00257B8C"/>
    <w:rsid w:val="0026038B"/>
    <w:rsid w:val="002606B6"/>
    <w:rsid w:val="00264557"/>
    <w:rsid w:val="002648A4"/>
    <w:rsid w:val="00266204"/>
    <w:rsid w:val="002675A4"/>
    <w:rsid w:val="002677D8"/>
    <w:rsid w:val="00267AF8"/>
    <w:rsid w:val="00272847"/>
    <w:rsid w:val="00275552"/>
    <w:rsid w:val="00275D96"/>
    <w:rsid w:val="00276D8C"/>
    <w:rsid w:val="002805AB"/>
    <w:rsid w:val="00280FCB"/>
    <w:rsid w:val="00284204"/>
    <w:rsid w:val="0028520C"/>
    <w:rsid w:val="00286061"/>
    <w:rsid w:val="00287E1B"/>
    <w:rsid w:val="00291773"/>
    <w:rsid w:val="002933A6"/>
    <w:rsid w:val="002958F5"/>
    <w:rsid w:val="0029760E"/>
    <w:rsid w:val="00297BA8"/>
    <w:rsid w:val="002A00A7"/>
    <w:rsid w:val="002A02BC"/>
    <w:rsid w:val="002A168C"/>
    <w:rsid w:val="002A2485"/>
    <w:rsid w:val="002A3DC7"/>
    <w:rsid w:val="002A4F30"/>
    <w:rsid w:val="002A6300"/>
    <w:rsid w:val="002A6875"/>
    <w:rsid w:val="002A690C"/>
    <w:rsid w:val="002B3CCD"/>
    <w:rsid w:val="002B49E2"/>
    <w:rsid w:val="002B6430"/>
    <w:rsid w:val="002B7B00"/>
    <w:rsid w:val="002B7C44"/>
    <w:rsid w:val="002C0CCF"/>
    <w:rsid w:val="002C2B17"/>
    <w:rsid w:val="002C376E"/>
    <w:rsid w:val="002C6321"/>
    <w:rsid w:val="002D1547"/>
    <w:rsid w:val="002D3DD0"/>
    <w:rsid w:val="002D4589"/>
    <w:rsid w:val="002D478D"/>
    <w:rsid w:val="002D59E0"/>
    <w:rsid w:val="002D72CE"/>
    <w:rsid w:val="002E00AF"/>
    <w:rsid w:val="002E1F3A"/>
    <w:rsid w:val="002E298A"/>
    <w:rsid w:val="002E749D"/>
    <w:rsid w:val="002E76E8"/>
    <w:rsid w:val="002F039B"/>
    <w:rsid w:val="002F07FA"/>
    <w:rsid w:val="002F2501"/>
    <w:rsid w:val="002F28EF"/>
    <w:rsid w:val="002F3B33"/>
    <w:rsid w:val="002F5282"/>
    <w:rsid w:val="002F5B5C"/>
    <w:rsid w:val="002F630F"/>
    <w:rsid w:val="002F71E2"/>
    <w:rsid w:val="0030049E"/>
    <w:rsid w:val="00300D15"/>
    <w:rsid w:val="00301978"/>
    <w:rsid w:val="0030332C"/>
    <w:rsid w:val="003051C2"/>
    <w:rsid w:val="00306762"/>
    <w:rsid w:val="00311020"/>
    <w:rsid w:val="003117E1"/>
    <w:rsid w:val="00311974"/>
    <w:rsid w:val="00312296"/>
    <w:rsid w:val="00314F0E"/>
    <w:rsid w:val="0031672C"/>
    <w:rsid w:val="00317288"/>
    <w:rsid w:val="00317573"/>
    <w:rsid w:val="0032164E"/>
    <w:rsid w:val="00321D8E"/>
    <w:rsid w:val="00324968"/>
    <w:rsid w:val="00325251"/>
    <w:rsid w:val="00325928"/>
    <w:rsid w:val="00325F59"/>
    <w:rsid w:val="00327BAE"/>
    <w:rsid w:val="00330EC9"/>
    <w:rsid w:val="0033126C"/>
    <w:rsid w:val="003316D3"/>
    <w:rsid w:val="00332863"/>
    <w:rsid w:val="00332DCA"/>
    <w:rsid w:val="0033430F"/>
    <w:rsid w:val="00334C24"/>
    <w:rsid w:val="00335D29"/>
    <w:rsid w:val="0033684D"/>
    <w:rsid w:val="00337B42"/>
    <w:rsid w:val="00340C5F"/>
    <w:rsid w:val="00341B42"/>
    <w:rsid w:val="00341F82"/>
    <w:rsid w:val="003421E0"/>
    <w:rsid w:val="003431DC"/>
    <w:rsid w:val="0034348F"/>
    <w:rsid w:val="00345E4B"/>
    <w:rsid w:val="00345FA6"/>
    <w:rsid w:val="00347133"/>
    <w:rsid w:val="00350020"/>
    <w:rsid w:val="00352BAC"/>
    <w:rsid w:val="003564EA"/>
    <w:rsid w:val="00356653"/>
    <w:rsid w:val="00356941"/>
    <w:rsid w:val="0035743F"/>
    <w:rsid w:val="00357BE2"/>
    <w:rsid w:val="0036170C"/>
    <w:rsid w:val="00363C05"/>
    <w:rsid w:val="00363EB1"/>
    <w:rsid w:val="00365FEB"/>
    <w:rsid w:val="00366A80"/>
    <w:rsid w:val="00366E0F"/>
    <w:rsid w:val="00367729"/>
    <w:rsid w:val="00367D3A"/>
    <w:rsid w:val="00371787"/>
    <w:rsid w:val="0037191C"/>
    <w:rsid w:val="00373147"/>
    <w:rsid w:val="003744E8"/>
    <w:rsid w:val="00374BDA"/>
    <w:rsid w:val="0037535F"/>
    <w:rsid w:val="00375FA0"/>
    <w:rsid w:val="0037667A"/>
    <w:rsid w:val="0038063F"/>
    <w:rsid w:val="0038079F"/>
    <w:rsid w:val="00381A72"/>
    <w:rsid w:val="00382131"/>
    <w:rsid w:val="00383ACF"/>
    <w:rsid w:val="00384676"/>
    <w:rsid w:val="00385E3D"/>
    <w:rsid w:val="00387F60"/>
    <w:rsid w:val="003904A3"/>
    <w:rsid w:val="00390857"/>
    <w:rsid w:val="003934CA"/>
    <w:rsid w:val="00394535"/>
    <w:rsid w:val="003953AF"/>
    <w:rsid w:val="003A1209"/>
    <w:rsid w:val="003A137F"/>
    <w:rsid w:val="003A164E"/>
    <w:rsid w:val="003A1AB7"/>
    <w:rsid w:val="003A20B4"/>
    <w:rsid w:val="003A4BF3"/>
    <w:rsid w:val="003A624A"/>
    <w:rsid w:val="003B087B"/>
    <w:rsid w:val="003B15EB"/>
    <w:rsid w:val="003B19ED"/>
    <w:rsid w:val="003B23FF"/>
    <w:rsid w:val="003B2CE1"/>
    <w:rsid w:val="003B3566"/>
    <w:rsid w:val="003B420D"/>
    <w:rsid w:val="003B4C08"/>
    <w:rsid w:val="003B523D"/>
    <w:rsid w:val="003B542E"/>
    <w:rsid w:val="003B544B"/>
    <w:rsid w:val="003B6731"/>
    <w:rsid w:val="003B7597"/>
    <w:rsid w:val="003C0BBF"/>
    <w:rsid w:val="003C2221"/>
    <w:rsid w:val="003C3123"/>
    <w:rsid w:val="003C3AA6"/>
    <w:rsid w:val="003C6C16"/>
    <w:rsid w:val="003C7BC4"/>
    <w:rsid w:val="003C7C02"/>
    <w:rsid w:val="003D0727"/>
    <w:rsid w:val="003D0CDA"/>
    <w:rsid w:val="003D48F9"/>
    <w:rsid w:val="003D65B1"/>
    <w:rsid w:val="003D794D"/>
    <w:rsid w:val="003D7A72"/>
    <w:rsid w:val="003E2B03"/>
    <w:rsid w:val="003E3058"/>
    <w:rsid w:val="003E3178"/>
    <w:rsid w:val="003E76A9"/>
    <w:rsid w:val="003E76C7"/>
    <w:rsid w:val="003F0809"/>
    <w:rsid w:val="003F108E"/>
    <w:rsid w:val="003F1AED"/>
    <w:rsid w:val="003F2389"/>
    <w:rsid w:val="003F3D5B"/>
    <w:rsid w:val="003F4A43"/>
    <w:rsid w:val="003F57EB"/>
    <w:rsid w:val="003F6A8C"/>
    <w:rsid w:val="003F71DC"/>
    <w:rsid w:val="003F755C"/>
    <w:rsid w:val="0040229D"/>
    <w:rsid w:val="00406F01"/>
    <w:rsid w:val="00411112"/>
    <w:rsid w:val="0041216B"/>
    <w:rsid w:val="00413339"/>
    <w:rsid w:val="00414DA9"/>
    <w:rsid w:val="00414EED"/>
    <w:rsid w:val="00414F75"/>
    <w:rsid w:val="00415369"/>
    <w:rsid w:val="00415766"/>
    <w:rsid w:val="00416D50"/>
    <w:rsid w:val="00416FD5"/>
    <w:rsid w:val="00417772"/>
    <w:rsid w:val="00420E6A"/>
    <w:rsid w:val="004215F3"/>
    <w:rsid w:val="00424DC9"/>
    <w:rsid w:val="00425A9E"/>
    <w:rsid w:val="0042677C"/>
    <w:rsid w:val="00426D6B"/>
    <w:rsid w:val="004278B2"/>
    <w:rsid w:val="004303BE"/>
    <w:rsid w:val="00430785"/>
    <w:rsid w:val="00431E6C"/>
    <w:rsid w:val="00432717"/>
    <w:rsid w:val="00432A4F"/>
    <w:rsid w:val="00433AB5"/>
    <w:rsid w:val="00433CE7"/>
    <w:rsid w:val="00436CD4"/>
    <w:rsid w:val="00436FF2"/>
    <w:rsid w:val="00437650"/>
    <w:rsid w:val="00440B3F"/>
    <w:rsid w:val="00441BE7"/>
    <w:rsid w:val="0044245C"/>
    <w:rsid w:val="00444255"/>
    <w:rsid w:val="00445F17"/>
    <w:rsid w:val="00447FF6"/>
    <w:rsid w:val="00450BA4"/>
    <w:rsid w:val="00452738"/>
    <w:rsid w:val="004529A5"/>
    <w:rsid w:val="00452B66"/>
    <w:rsid w:val="00454566"/>
    <w:rsid w:val="00456091"/>
    <w:rsid w:val="00456C13"/>
    <w:rsid w:val="00456F80"/>
    <w:rsid w:val="00460250"/>
    <w:rsid w:val="00460BA8"/>
    <w:rsid w:val="00464084"/>
    <w:rsid w:val="004648E2"/>
    <w:rsid w:val="00464C69"/>
    <w:rsid w:val="0046518D"/>
    <w:rsid w:val="00466321"/>
    <w:rsid w:val="004675E3"/>
    <w:rsid w:val="004708A9"/>
    <w:rsid w:val="0047128A"/>
    <w:rsid w:val="00471D7E"/>
    <w:rsid w:val="004738C5"/>
    <w:rsid w:val="0047503B"/>
    <w:rsid w:val="004757D4"/>
    <w:rsid w:val="00481734"/>
    <w:rsid w:val="0048211D"/>
    <w:rsid w:val="0048428D"/>
    <w:rsid w:val="00484B9B"/>
    <w:rsid w:val="004855F6"/>
    <w:rsid w:val="004860A8"/>
    <w:rsid w:val="0048661E"/>
    <w:rsid w:val="00490EA0"/>
    <w:rsid w:val="00494670"/>
    <w:rsid w:val="0049532C"/>
    <w:rsid w:val="004954AE"/>
    <w:rsid w:val="00496511"/>
    <w:rsid w:val="004975A6"/>
    <w:rsid w:val="00497EE7"/>
    <w:rsid w:val="004A3823"/>
    <w:rsid w:val="004A4321"/>
    <w:rsid w:val="004A5748"/>
    <w:rsid w:val="004A5F01"/>
    <w:rsid w:val="004A65A5"/>
    <w:rsid w:val="004A6C18"/>
    <w:rsid w:val="004A6E52"/>
    <w:rsid w:val="004B0046"/>
    <w:rsid w:val="004B151C"/>
    <w:rsid w:val="004B1B09"/>
    <w:rsid w:val="004B4AF6"/>
    <w:rsid w:val="004B608D"/>
    <w:rsid w:val="004B6FD1"/>
    <w:rsid w:val="004C0C6C"/>
    <w:rsid w:val="004C1BF0"/>
    <w:rsid w:val="004C204D"/>
    <w:rsid w:val="004C213E"/>
    <w:rsid w:val="004C28A9"/>
    <w:rsid w:val="004C3F91"/>
    <w:rsid w:val="004C4644"/>
    <w:rsid w:val="004C4B42"/>
    <w:rsid w:val="004C58F5"/>
    <w:rsid w:val="004C5BAD"/>
    <w:rsid w:val="004C6A66"/>
    <w:rsid w:val="004C6AF7"/>
    <w:rsid w:val="004D0AE8"/>
    <w:rsid w:val="004D4055"/>
    <w:rsid w:val="004D550D"/>
    <w:rsid w:val="004D5A13"/>
    <w:rsid w:val="004D7870"/>
    <w:rsid w:val="004D79A5"/>
    <w:rsid w:val="004E01CA"/>
    <w:rsid w:val="004E0462"/>
    <w:rsid w:val="004E0ACB"/>
    <w:rsid w:val="004E0B15"/>
    <w:rsid w:val="004E143E"/>
    <w:rsid w:val="004E194A"/>
    <w:rsid w:val="004E245C"/>
    <w:rsid w:val="004E3C18"/>
    <w:rsid w:val="004E3CE2"/>
    <w:rsid w:val="004E3DC2"/>
    <w:rsid w:val="004E6946"/>
    <w:rsid w:val="004F0A95"/>
    <w:rsid w:val="004F1AD8"/>
    <w:rsid w:val="004F2065"/>
    <w:rsid w:val="004F4102"/>
    <w:rsid w:val="004F4E01"/>
    <w:rsid w:val="004F5C08"/>
    <w:rsid w:val="0050112F"/>
    <w:rsid w:val="0050342C"/>
    <w:rsid w:val="005039CB"/>
    <w:rsid w:val="00504AC4"/>
    <w:rsid w:val="00504AE1"/>
    <w:rsid w:val="005050BF"/>
    <w:rsid w:val="005050C2"/>
    <w:rsid w:val="0050558F"/>
    <w:rsid w:val="00505595"/>
    <w:rsid w:val="00506286"/>
    <w:rsid w:val="005067EE"/>
    <w:rsid w:val="0050693E"/>
    <w:rsid w:val="00506C62"/>
    <w:rsid w:val="0050716B"/>
    <w:rsid w:val="005074A4"/>
    <w:rsid w:val="00510813"/>
    <w:rsid w:val="00510B06"/>
    <w:rsid w:val="00511990"/>
    <w:rsid w:val="00511DE0"/>
    <w:rsid w:val="00514870"/>
    <w:rsid w:val="00514B9B"/>
    <w:rsid w:val="00515959"/>
    <w:rsid w:val="00515C0A"/>
    <w:rsid w:val="0051717E"/>
    <w:rsid w:val="0051753E"/>
    <w:rsid w:val="00517F02"/>
    <w:rsid w:val="00520EF8"/>
    <w:rsid w:val="00524303"/>
    <w:rsid w:val="00525554"/>
    <w:rsid w:val="005258A2"/>
    <w:rsid w:val="0052644A"/>
    <w:rsid w:val="00526A44"/>
    <w:rsid w:val="00530C67"/>
    <w:rsid w:val="00532A21"/>
    <w:rsid w:val="00533288"/>
    <w:rsid w:val="00534938"/>
    <w:rsid w:val="00536751"/>
    <w:rsid w:val="00537411"/>
    <w:rsid w:val="005377F7"/>
    <w:rsid w:val="005401AE"/>
    <w:rsid w:val="00540FF5"/>
    <w:rsid w:val="00541339"/>
    <w:rsid w:val="00542268"/>
    <w:rsid w:val="00542E07"/>
    <w:rsid w:val="00543C62"/>
    <w:rsid w:val="00545424"/>
    <w:rsid w:val="00546800"/>
    <w:rsid w:val="005479CA"/>
    <w:rsid w:val="00547BD3"/>
    <w:rsid w:val="0055173F"/>
    <w:rsid w:val="005533A2"/>
    <w:rsid w:val="00553C14"/>
    <w:rsid w:val="00554A7B"/>
    <w:rsid w:val="0055572C"/>
    <w:rsid w:val="0056106A"/>
    <w:rsid w:val="00561126"/>
    <w:rsid w:val="0056143C"/>
    <w:rsid w:val="00562381"/>
    <w:rsid w:val="00563767"/>
    <w:rsid w:val="005639DB"/>
    <w:rsid w:val="0056419A"/>
    <w:rsid w:val="00564B37"/>
    <w:rsid w:val="005651CD"/>
    <w:rsid w:val="00565424"/>
    <w:rsid w:val="005667E6"/>
    <w:rsid w:val="005679D1"/>
    <w:rsid w:val="00567AB9"/>
    <w:rsid w:val="005706B8"/>
    <w:rsid w:val="005720AE"/>
    <w:rsid w:val="00572A15"/>
    <w:rsid w:val="00580812"/>
    <w:rsid w:val="00580D6E"/>
    <w:rsid w:val="00580DF3"/>
    <w:rsid w:val="005849E2"/>
    <w:rsid w:val="00585C54"/>
    <w:rsid w:val="00586954"/>
    <w:rsid w:val="00591C9C"/>
    <w:rsid w:val="00592F40"/>
    <w:rsid w:val="00594CBC"/>
    <w:rsid w:val="00594D77"/>
    <w:rsid w:val="005969E4"/>
    <w:rsid w:val="00597A84"/>
    <w:rsid w:val="005A06B7"/>
    <w:rsid w:val="005A1759"/>
    <w:rsid w:val="005A3F7F"/>
    <w:rsid w:val="005A4156"/>
    <w:rsid w:val="005A49CF"/>
    <w:rsid w:val="005A59FF"/>
    <w:rsid w:val="005A68A7"/>
    <w:rsid w:val="005B0B45"/>
    <w:rsid w:val="005B18F1"/>
    <w:rsid w:val="005B62E8"/>
    <w:rsid w:val="005B64AA"/>
    <w:rsid w:val="005B6BA3"/>
    <w:rsid w:val="005B7B57"/>
    <w:rsid w:val="005C0109"/>
    <w:rsid w:val="005C07A7"/>
    <w:rsid w:val="005C162B"/>
    <w:rsid w:val="005C1B15"/>
    <w:rsid w:val="005C48AC"/>
    <w:rsid w:val="005C54D5"/>
    <w:rsid w:val="005C59F9"/>
    <w:rsid w:val="005C623F"/>
    <w:rsid w:val="005C73ED"/>
    <w:rsid w:val="005C785D"/>
    <w:rsid w:val="005C7FC5"/>
    <w:rsid w:val="005D36AB"/>
    <w:rsid w:val="005D471D"/>
    <w:rsid w:val="005D5E2F"/>
    <w:rsid w:val="005D64C9"/>
    <w:rsid w:val="005D6C20"/>
    <w:rsid w:val="005E0BB0"/>
    <w:rsid w:val="005E399C"/>
    <w:rsid w:val="005E3A52"/>
    <w:rsid w:val="005E414D"/>
    <w:rsid w:val="005E5395"/>
    <w:rsid w:val="005F0025"/>
    <w:rsid w:val="005F30AE"/>
    <w:rsid w:val="005F3897"/>
    <w:rsid w:val="005F3F85"/>
    <w:rsid w:val="005F4E65"/>
    <w:rsid w:val="005F5662"/>
    <w:rsid w:val="005F72FF"/>
    <w:rsid w:val="00601262"/>
    <w:rsid w:val="006014BB"/>
    <w:rsid w:val="006026F4"/>
    <w:rsid w:val="00603F82"/>
    <w:rsid w:val="00604281"/>
    <w:rsid w:val="00605AA2"/>
    <w:rsid w:val="00605DC6"/>
    <w:rsid w:val="0060771C"/>
    <w:rsid w:val="00607B92"/>
    <w:rsid w:val="00613DD1"/>
    <w:rsid w:val="00614FF1"/>
    <w:rsid w:val="00615754"/>
    <w:rsid w:val="00616278"/>
    <w:rsid w:val="00617448"/>
    <w:rsid w:val="00617CC3"/>
    <w:rsid w:val="00620890"/>
    <w:rsid w:val="0062132B"/>
    <w:rsid w:val="00622DBB"/>
    <w:rsid w:val="00625139"/>
    <w:rsid w:val="00630307"/>
    <w:rsid w:val="00631473"/>
    <w:rsid w:val="00633F4C"/>
    <w:rsid w:val="00634B55"/>
    <w:rsid w:val="006377A6"/>
    <w:rsid w:val="00637A3D"/>
    <w:rsid w:val="00640508"/>
    <w:rsid w:val="006411EF"/>
    <w:rsid w:val="006419B1"/>
    <w:rsid w:val="00641A78"/>
    <w:rsid w:val="00643100"/>
    <w:rsid w:val="00643AEA"/>
    <w:rsid w:val="00643F8B"/>
    <w:rsid w:val="00643F9B"/>
    <w:rsid w:val="00644D42"/>
    <w:rsid w:val="006458AD"/>
    <w:rsid w:val="006478DC"/>
    <w:rsid w:val="006528B7"/>
    <w:rsid w:val="00652F67"/>
    <w:rsid w:val="00660202"/>
    <w:rsid w:val="00661B0D"/>
    <w:rsid w:val="00661F39"/>
    <w:rsid w:val="00662305"/>
    <w:rsid w:val="00662D74"/>
    <w:rsid w:val="006657B2"/>
    <w:rsid w:val="00665D4D"/>
    <w:rsid w:val="006666A4"/>
    <w:rsid w:val="0067090C"/>
    <w:rsid w:val="00671C3C"/>
    <w:rsid w:val="00671E68"/>
    <w:rsid w:val="00672E37"/>
    <w:rsid w:val="006748B8"/>
    <w:rsid w:val="00675A18"/>
    <w:rsid w:val="006761D2"/>
    <w:rsid w:val="006775C3"/>
    <w:rsid w:val="006829D6"/>
    <w:rsid w:val="0069290A"/>
    <w:rsid w:val="00693706"/>
    <w:rsid w:val="00693AAD"/>
    <w:rsid w:val="00695971"/>
    <w:rsid w:val="006961C1"/>
    <w:rsid w:val="00696D5A"/>
    <w:rsid w:val="0069775A"/>
    <w:rsid w:val="00697813"/>
    <w:rsid w:val="006A105B"/>
    <w:rsid w:val="006A211E"/>
    <w:rsid w:val="006A25E5"/>
    <w:rsid w:val="006A3EE8"/>
    <w:rsid w:val="006A40D5"/>
    <w:rsid w:val="006A5AE4"/>
    <w:rsid w:val="006A64A2"/>
    <w:rsid w:val="006A72BF"/>
    <w:rsid w:val="006B03F2"/>
    <w:rsid w:val="006B1CCF"/>
    <w:rsid w:val="006B290D"/>
    <w:rsid w:val="006B328D"/>
    <w:rsid w:val="006B37DC"/>
    <w:rsid w:val="006B4F68"/>
    <w:rsid w:val="006B511F"/>
    <w:rsid w:val="006C0592"/>
    <w:rsid w:val="006C1A15"/>
    <w:rsid w:val="006C2014"/>
    <w:rsid w:val="006C272E"/>
    <w:rsid w:val="006C34A4"/>
    <w:rsid w:val="006C5479"/>
    <w:rsid w:val="006C57F3"/>
    <w:rsid w:val="006C582B"/>
    <w:rsid w:val="006C68FD"/>
    <w:rsid w:val="006D13B5"/>
    <w:rsid w:val="006D1D85"/>
    <w:rsid w:val="006D2349"/>
    <w:rsid w:val="006D5745"/>
    <w:rsid w:val="006D7162"/>
    <w:rsid w:val="006D7C7F"/>
    <w:rsid w:val="006E12FF"/>
    <w:rsid w:val="006E477B"/>
    <w:rsid w:val="006E5032"/>
    <w:rsid w:val="006E607E"/>
    <w:rsid w:val="006E6C53"/>
    <w:rsid w:val="006F078A"/>
    <w:rsid w:val="007009AA"/>
    <w:rsid w:val="00701A7B"/>
    <w:rsid w:val="007039B3"/>
    <w:rsid w:val="00705B3C"/>
    <w:rsid w:val="00705F02"/>
    <w:rsid w:val="00706C5D"/>
    <w:rsid w:val="00707D88"/>
    <w:rsid w:val="007104AD"/>
    <w:rsid w:val="00710ADB"/>
    <w:rsid w:val="00710E9D"/>
    <w:rsid w:val="007116D4"/>
    <w:rsid w:val="00714797"/>
    <w:rsid w:val="00717C63"/>
    <w:rsid w:val="00717FBA"/>
    <w:rsid w:val="00722A0A"/>
    <w:rsid w:val="00723027"/>
    <w:rsid w:val="00723ED5"/>
    <w:rsid w:val="00725124"/>
    <w:rsid w:val="00727478"/>
    <w:rsid w:val="00730EAB"/>
    <w:rsid w:val="00732922"/>
    <w:rsid w:val="0073713D"/>
    <w:rsid w:val="00737210"/>
    <w:rsid w:val="00740324"/>
    <w:rsid w:val="00744922"/>
    <w:rsid w:val="007470BD"/>
    <w:rsid w:val="00747103"/>
    <w:rsid w:val="0075162E"/>
    <w:rsid w:val="00754034"/>
    <w:rsid w:val="00755471"/>
    <w:rsid w:val="00755F2A"/>
    <w:rsid w:val="007562DA"/>
    <w:rsid w:val="00756556"/>
    <w:rsid w:val="0075702F"/>
    <w:rsid w:val="007606CE"/>
    <w:rsid w:val="0076105A"/>
    <w:rsid w:val="007618C4"/>
    <w:rsid w:val="007667D1"/>
    <w:rsid w:val="00767980"/>
    <w:rsid w:val="00767C51"/>
    <w:rsid w:val="00770B19"/>
    <w:rsid w:val="00773AEA"/>
    <w:rsid w:val="00773E99"/>
    <w:rsid w:val="0077463F"/>
    <w:rsid w:val="00775904"/>
    <w:rsid w:val="007836EA"/>
    <w:rsid w:val="00784199"/>
    <w:rsid w:val="00784CDA"/>
    <w:rsid w:val="007875EB"/>
    <w:rsid w:val="007906C4"/>
    <w:rsid w:val="00790ACA"/>
    <w:rsid w:val="00792387"/>
    <w:rsid w:val="007940EA"/>
    <w:rsid w:val="0079671A"/>
    <w:rsid w:val="007967E8"/>
    <w:rsid w:val="007A12E3"/>
    <w:rsid w:val="007A2170"/>
    <w:rsid w:val="007A22BF"/>
    <w:rsid w:val="007A2FBF"/>
    <w:rsid w:val="007A3323"/>
    <w:rsid w:val="007A7235"/>
    <w:rsid w:val="007A74D1"/>
    <w:rsid w:val="007B276E"/>
    <w:rsid w:val="007B4F1F"/>
    <w:rsid w:val="007B6F99"/>
    <w:rsid w:val="007B72B8"/>
    <w:rsid w:val="007B73A8"/>
    <w:rsid w:val="007B7A58"/>
    <w:rsid w:val="007C21B5"/>
    <w:rsid w:val="007C4526"/>
    <w:rsid w:val="007C57CD"/>
    <w:rsid w:val="007C5830"/>
    <w:rsid w:val="007C65CF"/>
    <w:rsid w:val="007C7459"/>
    <w:rsid w:val="007C7B4C"/>
    <w:rsid w:val="007D001F"/>
    <w:rsid w:val="007D0D79"/>
    <w:rsid w:val="007D1B9C"/>
    <w:rsid w:val="007D2485"/>
    <w:rsid w:val="007D4523"/>
    <w:rsid w:val="007D7D4E"/>
    <w:rsid w:val="007E3402"/>
    <w:rsid w:val="007E4A23"/>
    <w:rsid w:val="007E4BD2"/>
    <w:rsid w:val="007E5D68"/>
    <w:rsid w:val="007E6665"/>
    <w:rsid w:val="007E6952"/>
    <w:rsid w:val="007F2637"/>
    <w:rsid w:val="007F4AE5"/>
    <w:rsid w:val="007F675A"/>
    <w:rsid w:val="007F6F82"/>
    <w:rsid w:val="007F72A7"/>
    <w:rsid w:val="007F73C6"/>
    <w:rsid w:val="007F740F"/>
    <w:rsid w:val="007F7486"/>
    <w:rsid w:val="0080126B"/>
    <w:rsid w:val="00801393"/>
    <w:rsid w:val="00802F88"/>
    <w:rsid w:val="008105DA"/>
    <w:rsid w:val="00811F94"/>
    <w:rsid w:val="00812106"/>
    <w:rsid w:val="0081293E"/>
    <w:rsid w:val="00812EF3"/>
    <w:rsid w:val="0081377D"/>
    <w:rsid w:val="00814BE2"/>
    <w:rsid w:val="00814C55"/>
    <w:rsid w:val="00815465"/>
    <w:rsid w:val="00815988"/>
    <w:rsid w:val="00817E9A"/>
    <w:rsid w:val="00820099"/>
    <w:rsid w:val="00825342"/>
    <w:rsid w:val="00827B53"/>
    <w:rsid w:val="00827F37"/>
    <w:rsid w:val="008306BD"/>
    <w:rsid w:val="00831A80"/>
    <w:rsid w:val="00831BEF"/>
    <w:rsid w:val="008335BF"/>
    <w:rsid w:val="00833743"/>
    <w:rsid w:val="008340A4"/>
    <w:rsid w:val="0083737D"/>
    <w:rsid w:val="008427BE"/>
    <w:rsid w:val="00844865"/>
    <w:rsid w:val="008464CD"/>
    <w:rsid w:val="008502F9"/>
    <w:rsid w:val="008518DF"/>
    <w:rsid w:val="00851A6A"/>
    <w:rsid w:val="00851D78"/>
    <w:rsid w:val="00852623"/>
    <w:rsid w:val="00852A28"/>
    <w:rsid w:val="0085305C"/>
    <w:rsid w:val="00855E7F"/>
    <w:rsid w:val="00856BB8"/>
    <w:rsid w:val="008570BE"/>
    <w:rsid w:val="0086310F"/>
    <w:rsid w:val="0086670F"/>
    <w:rsid w:val="00867C65"/>
    <w:rsid w:val="00870F3D"/>
    <w:rsid w:val="0087135F"/>
    <w:rsid w:val="00871445"/>
    <w:rsid w:val="008729AF"/>
    <w:rsid w:val="00872D94"/>
    <w:rsid w:val="00874621"/>
    <w:rsid w:val="00874C0C"/>
    <w:rsid w:val="00875F5F"/>
    <w:rsid w:val="00876A66"/>
    <w:rsid w:val="00877D32"/>
    <w:rsid w:val="00880364"/>
    <w:rsid w:val="00880B94"/>
    <w:rsid w:val="00885597"/>
    <w:rsid w:val="008865EE"/>
    <w:rsid w:val="00890B2E"/>
    <w:rsid w:val="00891592"/>
    <w:rsid w:val="00891E9E"/>
    <w:rsid w:val="008945C1"/>
    <w:rsid w:val="008A11AE"/>
    <w:rsid w:val="008A17CC"/>
    <w:rsid w:val="008A2219"/>
    <w:rsid w:val="008A2F68"/>
    <w:rsid w:val="008A2FE9"/>
    <w:rsid w:val="008A4033"/>
    <w:rsid w:val="008A417F"/>
    <w:rsid w:val="008A532B"/>
    <w:rsid w:val="008A53DB"/>
    <w:rsid w:val="008A69A9"/>
    <w:rsid w:val="008A7670"/>
    <w:rsid w:val="008B018A"/>
    <w:rsid w:val="008B0EE1"/>
    <w:rsid w:val="008B120C"/>
    <w:rsid w:val="008B151C"/>
    <w:rsid w:val="008B1AAD"/>
    <w:rsid w:val="008B394E"/>
    <w:rsid w:val="008B4D7F"/>
    <w:rsid w:val="008B4FA6"/>
    <w:rsid w:val="008B5282"/>
    <w:rsid w:val="008B7A28"/>
    <w:rsid w:val="008B7C17"/>
    <w:rsid w:val="008C0203"/>
    <w:rsid w:val="008C02B2"/>
    <w:rsid w:val="008C09B5"/>
    <w:rsid w:val="008C11C1"/>
    <w:rsid w:val="008C2D01"/>
    <w:rsid w:val="008C40E6"/>
    <w:rsid w:val="008C52E9"/>
    <w:rsid w:val="008C6EC0"/>
    <w:rsid w:val="008C70DB"/>
    <w:rsid w:val="008C7B42"/>
    <w:rsid w:val="008C7F11"/>
    <w:rsid w:val="008D0F7A"/>
    <w:rsid w:val="008D1DAF"/>
    <w:rsid w:val="008D3074"/>
    <w:rsid w:val="008D68E4"/>
    <w:rsid w:val="008E04DF"/>
    <w:rsid w:val="008E0506"/>
    <w:rsid w:val="008E0CFF"/>
    <w:rsid w:val="008E13CB"/>
    <w:rsid w:val="008E18A0"/>
    <w:rsid w:val="008E43B9"/>
    <w:rsid w:val="008E5BB9"/>
    <w:rsid w:val="008E5D6B"/>
    <w:rsid w:val="008E76F0"/>
    <w:rsid w:val="008E7E96"/>
    <w:rsid w:val="008F15FE"/>
    <w:rsid w:val="008F1C9C"/>
    <w:rsid w:val="008F2258"/>
    <w:rsid w:val="008F2300"/>
    <w:rsid w:val="008F2D29"/>
    <w:rsid w:val="008F5187"/>
    <w:rsid w:val="008F60D8"/>
    <w:rsid w:val="008F7412"/>
    <w:rsid w:val="008F76DD"/>
    <w:rsid w:val="009008F7"/>
    <w:rsid w:val="00900E52"/>
    <w:rsid w:val="009019DE"/>
    <w:rsid w:val="00901B09"/>
    <w:rsid w:val="009022F9"/>
    <w:rsid w:val="00902727"/>
    <w:rsid w:val="0090312B"/>
    <w:rsid w:val="00905485"/>
    <w:rsid w:val="00906ADB"/>
    <w:rsid w:val="00913233"/>
    <w:rsid w:val="0091551B"/>
    <w:rsid w:val="0091736D"/>
    <w:rsid w:val="00920DEE"/>
    <w:rsid w:val="00924280"/>
    <w:rsid w:val="00926471"/>
    <w:rsid w:val="0093037A"/>
    <w:rsid w:val="00934B2B"/>
    <w:rsid w:val="00934CC7"/>
    <w:rsid w:val="009356E1"/>
    <w:rsid w:val="009369DD"/>
    <w:rsid w:val="0094154D"/>
    <w:rsid w:val="00942B81"/>
    <w:rsid w:val="009458C3"/>
    <w:rsid w:val="00947247"/>
    <w:rsid w:val="0095075F"/>
    <w:rsid w:val="0095155F"/>
    <w:rsid w:val="009517EB"/>
    <w:rsid w:val="00952054"/>
    <w:rsid w:val="00952368"/>
    <w:rsid w:val="00953C3B"/>
    <w:rsid w:val="00954429"/>
    <w:rsid w:val="009563CE"/>
    <w:rsid w:val="009566EA"/>
    <w:rsid w:val="009567B7"/>
    <w:rsid w:val="00965B75"/>
    <w:rsid w:val="009664EE"/>
    <w:rsid w:val="00967F2D"/>
    <w:rsid w:val="00970B5B"/>
    <w:rsid w:val="00973C35"/>
    <w:rsid w:val="00976060"/>
    <w:rsid w:val="00976328"/>
    <w:rsid w:val="0097680D"/>
    <w:rsid w:val="0097795D"/>
    <w:rsid w:val="00981276"/>
    <w:rsid w:val="00982438"/>
    <w:rsid w:val="0098404C"/>
    <w:rsid w:val="00985283"/>
    <w:rsid w:val="00985D4A"/>
    <w:rsid w:val="0098721E"/>
    <w:rsid w:val="00991028"/>
    <w:rsid w:val="00992DA3"/>
    <w:rsid w:val="00993B7E"/>
    <w:rsid w:val="009940C5"/>
    <w:rsid w:val="00995992"/>
    <w:rsid w:val="009A03E5"/>
    <w:rsid w:val="009A0F3B"/>
    <w:rsid w:val="009A13BD"/>
    <w:rsid w:val="009A1BB4"/>
    <w:rsid w:val="009A2072"/>
    <w:rsid w:val="009A2488"/>
    <w:rsid w:val="009A2628"/>
    <w:rsid w:val="009A27E3"/>
    <w:rsid w:val="009A3200"/>
    <w:rsid w:val="009A6A94"/>
    <w:rsid w:val="009A79F8"/>
    <w:rsid w:val="009B066F"/>
    <w:rsid w:val="009B0897"/>
    <w:rsid w:val="009B2325"/>
    <w:rsid w:val="009B2ECB"/>
    <w:rsid w:val="009B425A"/>
    <w:rsid w:val="009B4A22"/>
    <w:rsid w:val="009B5701"/>
    <w:rsid w:val="009B7BD9"/>
    <w:rsid w:val="009C0069"/>
    <w:rsid w:val="009C14D5"/>
    <w:rsid w:val="009C33CC"/>
    <w:rsid w:val="009C3DCB"/>
    <w:rsid w:val="009C7DD5"/>
    <w:rsid w:val="009C7FF9"/>
    <w:rsid w:val="009D1DF4"/>
    <w:rsid w:val="009D5A91"/>
    <w:rsid w:val="009D6F3B"/>
    <w:rsid w:val="009D7C60"/>
    <w:rsid w:val="009E0DCD"/>
    <w:rsid w:val="009E227D"/>
    <w:rsid w:val="009E2F16"/>
    <w:rsid w:val="009E3502"/>
    <w:rsid w:val="009E3C47"/>
    <w:rsid w:val="009E3DCD"/>
    <w:rsid w:val="009E5019"/>
    <w:rsid w:val="009E54FC"/>
    <w:rsid w:val="009E701E"/>
    <w:rsid w:val="009F385A"/>
    <w:rsid w:val="009F3FBE"/>
    <w:rsid w:val="009F4F89"/>
    <w:rsid w:val="009F5D8F"/>
    <w:rsid w:val="009F5E94"/>
    <w:rsid w:val="009F792E"/>
    <w:rsid w:val="00A01459"/>
    <w:rsid w:val="00A016B6"/>
    <w:rsid w:val="00A03DFD"/>
    <w:rsid w:val="00A04472"/>
    <w:rsid w:val="00A04F1B"/>
    <w:rsid w:val="00A0501B"/>
    <w:rsid w:val="00A05FB7"/>
    <w:rsid w:val="00A0784E"/>
    <w:rsid w:val="00A10901"/>
    <w:rsid w:val="00A111A1"/>
    <w:rsid w:val="00A13347"/>
    <w:rsid w:val="00A13FDD"/>
    <w:rsid w:val="00A14006"/>
    <w:rsid w:val="00A14034"/>
    <w:rsid w:val="00A14458"/>
    <w:rsid w:val="00A14947"/>
    <w:rsid w:val="00A17C9D"/>
    <w:rsid w:val="00A21074"/>
    <w:rsid w:val="00A22779"/>
    <w:rsid w:val="00A24700"/>
    <w:rsid w:val="00A24CA6"/>
    <w:rsid w:val="00A2548B"/>
    <w:rsid w:val="00A25805"/>
    <w:rsid w:val="00A31908"/>
    <w:rsid w:val="00A31B6C"/>
    <w:rsid w:val="00A32A83"/>
    <w:rsid w:val="00A3312D"/>
    <w:rsid w:val="00A34E6B"/>
    <w:rsid w:val="00A34F3B"/>
    <w:rsid w:val="00A3520D"/>
    <w:rsid w:val="00A35A56"/>
    <w:rsid w:val="00A35B20"/>
    <w:rsid w:val="00A363AF"/>
    <w:rsid w:val="00A368DB"/>
    <w:rsid w:val="00A41E17"/>
    <w:rsid w:val="00A423AA"/>
    <w:rsid w:val="00A44606"/>
    <w:rsid w:val="00A454BE"/>
    <w:rsid w:val="00A46A43"/>
    <w:rsid w:val="00A514B4"/>
    <w:rsid w:val="00A516CF"/>
    <w:rsid w:val="00A53EC6"/>
    <w:rsid w:val="00A54787"/>
    <w:rsid w:val="00A5563B"/>
    <w:rsid w:val="00A55B88"/>
    <w:rsid w:val="00A55C0F"/>
    <w:rsid w:val="00A57B75"/>
    <w:rsid w:val="00A61E7A"/>
    <w:rsid w:val="00A666CB"/>
    <w:rsid w:val="00A67294"/>
    <w:rsid w:val="00A7199F"/>
    <w:rsid w:val="00A73B17"/>
    <w:rsid w:val="00A75339"/>
    <w:rsid w:val="00A765C8"/>
    <w:rsid w:val="00A77227"/>
    <w:rsid w:val="00A813FE"/>
    <w:rsid w:val="00A829B2"/>
    <w:rsid w:val="00A82AA7"/>
    <w:rsid w:val="00A847B4"/>
    <w:rsid w:val="00A84AF2"/>
    <w:rsid w:val="00A850CB"/>
    <w:rsid w:val="00A852C5"/>
    <w:rsid w:val="00A8713F"/>
    <w:rsid w:val="00A87978"/>
    <w:rsid w:val="00A90AB2"/>
    <w:rsid w:val="00A90BA1"/>
    <w:rsid w:val="00A92C49"/>
    <w:rsid w:val="00A93650"/>
    <w:rsid w:val="00A93757"/>
    <w:rsid w:val="00A94C6B"/>
    <w:rsid w:val="00A96068"/>
    <w:rsid w:val="00A9728B"/>
    <w:rsid w:val="00A9789C"/>
    <w:rsid w:val="00A97A9A"/>
    <w:rsid w:val="00A97E43"/>
    <w:rsid w:val="00AA0671"/>
    <w:rsid w:val="00AA1DB4"/>
    <w:rsid w:val="00AA2531"/>
    <w:rsid w:val="00AA29CE"/>
    <w:rsid w:val="00AA2BD9"/>
    <w:rsid w:val="00AA3FF8"/>
    <w:rsid w:val="00AA52F3"/>
    <w:rsid w:val="00AA5DA1"/>
    <w:rsid w:val="00AB02A9"/>
    <w:rsid w:val="00AB16D9"/>
    <w:rsid w:val="00AB1E09"/>
    <w:rsid w:val="00AB287B"/>
    <w:rsid w:val="00AB3646"/>
    <w:rsid w:val="00AB5330"/>
    <w:rsid w:val="00AB6006"/>
    <w:rsid w:val="00AB765C"/>
    <w:rsid w:val="00AB7747"/>
    <w:rsid w:val="00AC0B95"/>
    <w:rsid w:val="00AC14CE"/>
    <w:rsid w:val="00AC2A56"/>
    <w:rsid w:val="00AC2E3F"/>
    <w:rsid w:val="00AC5A10"/>
    <w:rsid w:val="00AC5E55"/>
    <w:rsid w:val="00AD021A"/>
    <w:rsid w:val="00AD055E"/>
    <w:rsid w:val="00AD1243"/>
    <w:rsid w:val="00AD17F1"/>
    <w:rsid w:val="00AD28F1"/>
    <w:rsid w:val="00AD47A7"/>
    <w:rsid w:val="00AD5978"/>
    <w:rsid w:val="00AE0D0F"/>
    <w:rsid w:val="00AE2B0E"/>
    <w:rsid w:val="00AE2B2A"/>
    <w:rsid w:val="00AE2F86"/>
    <w:rsid w:val="00AE3348"/>
    <w:rsid w:val="00AE472D"/>
    <w:rsid w:val="00AE510C"/>
    <w:rsid w:val="00AE6BED"/>
    <w:rsid w:val="00AE70D6"/>
    <w:rsid w:val="00AF0333"/>
    <w:rsid w:val="00AF0CBF"/>
    <w:rsid w:val="00AF11A0"/>
    <w:rsid w:val="00AF165D"/>
    <w:rsid w:val="00AF1C0A"/>
    <w:rsid w:val="00AF257F"/>
    <w:rsid w:val="00AF33CF"/>
    <w:rsid w:val="00AF3BB5"/>
    <w:rsid w:val="00AF4D50"/>
    <w:rsid w:val="00AF5B47"/>
    <w:rsid w:val="00AF6179"/>
    <w:rsid w:val="00AF680E"/>
    <w:rsid w:val="00AF7BE3"/>
    <w:rsid w:val="00B021BF"/>
    <w:rsid w:val="00B021CE"/>
    <w:rsid w:val="00B02679"/>
    <w:rsid w:val="00B050B4"/>
    <w:rsid w:val="00B10643"/>
    <w:rsid w:val="00B112D0"/>
    <w:rsid w:val="00B113FC"/>
    <w:rsid w:val="00B11678"/>
    <w:rsid w:val="00B1295A"/>
    <w:rsid w:val="00B13010"/>
    <w:rsid w:val="00B14F17"/>
    <w:rsid w:val="00B1576C"/>
    <w:rsid w:val="00B16771"/>
    <w:rsid w:val="00B20A45"/>
    <w:rsid w:val="00B216C4"/>
    <w:rsid w:val="00B2292F"/>
    <w:rsid w:val="00B22C5C"/>
    <w:rsid w:val="00B246BC"/>
    <w:rsid w:val="00B24867"/>
    <w:rsid w:val="00B24F30"/>
    <w:rsid w:val="00B25B89"/>
    <w:rsid w:val="00B25FAF"/>
    <w:rsid w:val="00B264B3"/>
    <w:rsid w:val="00B26DD4"/>
    <w:rsid w:val="00B27849"/>
    <w:rsid w:val="00B30CAF"/>
    <w:rsid w:val="00B31233"/>
    <w:rsid w:val="00B31795"/>
    <w:rsid w:val="00B31ABF"/>
    <w:rsid w:val="00B31F7D"/>
    <w:rsid w:val="00B33BE3"/>
    <w:rsid w:val="00B35127"/>
    <w:rsid w:val="00B4030C"/>
    <w:rsid w:val="00B417AA"/>
    <w:rsid w:val="00B47D79"/>
    <w:rsid w:val="00B53B5D"/>
    <w:rsid w:val="00B550BC"/>
    <w:rsid w:val="00B55135"/>
    <w:rsid w:val="00B553E5"/>
    <w:rsid w:val="00B554B6"/>
    <w:rsid w:val="00B60324"/>
    <w:rsid w:val="00B6055E"/>
    <w:rsid w:val="00B6317D"/>
    <w:rsid w:val="00B6546E"/>
    <w:rsid w:val="00B66FC2"/>
    <w:rsid w:val="00B67CD8"/>
    <w:rsid w:val="00B71197"/>
    <w:rsid w:val="00B73A40"/>
    <w:rsid w:val="00B7723F"/>
    <w:rsid w:val="00B802E3"/>
    <w:rsid w:val="00B80534"/>
    <w:rsid w:val="00B808D1"/>
    <w:rsid w:val="00B827F2"/>
    <w:rsid w:val="00B8433C"/>
    <w:rsid w:val="00B86195"/>
    <w:rsid w:val="00B865C6"/>
    <w:rsid w:val="00B87491"/>
    <w:rsid w:val="00B96E2A"/>
    <w:rsid w:val="00B9749C"/>
    <w:rsid w:val="00BA0B8A"/>
    <w:rsid w:val="00BA0BF0"/>
    <w:rsid w:val="00BA29E9"/>
    <w:rsid w:val="00BA356B"/>
    <w:rsid w:val="00BA3835"/>
    <w:rsid w:val="00BA3859"/>
    <w:rsid w:val="00BA5AAF"/>
    <w:rsid w:val="00BA5DFC"/>
    <w:rsid w:val="00BA604D"/>
    <w:rsid w:val="00BA6305"/>
    <w:rsid w:val="00BA7142"/>
    <w:rsid w:val="00BB0374"/>
    <w:rsid w:val="00BB237C"/>
    <w:rsid w:val="00BB2E31"/>
    <w:rsid w:val="00BB41A3"/>
    <w:rsid w:val="00BB4E3E"/>
    <w:rsid w:val="00BC1CCA"/>
    <w:rsid w:val="00BC1F0F"/>
    <w:rsid w:val="00BC22DF"/>
    <w:rsid w:val="00BC32DC"/>
    <w:rsid w:val="00BC35B6"/>
    <w:rsid w:val="00BC3D25"/>
    <w:rsid w:val="00BC44F3"/>
    <w:rsid w:val="00BC4E95"/>
    <w:rsid w:val="00BC675E"/>
    <w:rsid w:val="00BD1B51"/>
    <w:rsid w:val="00BD2F41"/>
    <w:rsid w:val="00BD393C"/>
    <w:rsid w:val="00BD4596"/>
    <w:rsid w:val="00BD66D8"/>
    <w:rsid w:val="00BD691E"/>
    <w:rsid w:val="00BE1405"/>
    <w:rsid w:val="00BE198F"/>
    <w:rsid w:val="00BE312D"/>
    <w:rsid w:val="00BE5F8E"/>
    <w:rsid w:val="00BF09A1"/>
    <w:rsid w:val="00BF0A08"/>
    <w:rsid w:val="00BF1A89"/>
    <w:rsid w:val="00BF1C20"/>
    <w:rsid w:val="00BF2A70"/>
    <w:rsid w:val="00BF3D4D"/>
    <w:rsid w:val="00BF4984"/>
    <w:rsid w:val="00BF49D3"/>
    <w:rsid w:val="00C03668"/>
    <w:rsid w:val="00C10578"/>
    <w:rsid w:val="00C107B3"/>
    <w:rsid w:val="00C11035"/>
    <w:rsid w:val="00C116A2"/>
    <w:rsid w:val="00C12AF9"/>
    <w:rsid w:val="00C135BC"/>
    <w:rsid w:val="00C145E6"/>
    <w:rsid w:val="00C14D1F"/>
    <w:rsid w:val="00C15A82"/>
    <w:rsid w:val="00C15C95"/>
    <w:rsid w:val="00C16594"/>
    <w:rsid w:val="00C17F0B"/>
    <w:rsid w:val="00C23A56"/>
    <w:rsid w:val="00C24342"/>
    <w:rsid w:val="00C24D97"/>
    <w:rsid w:val="00C24EBF"/>
    <w:rsid w:val="00C2596A"/>
    <w:rsid w:val="00C27537"/>
    <w:rsid w:val="00C3091D"/>
    <w:rsid w:val="00C328FE"/>
    <w:rsid w:val="00C33507"/>
    <w:rsid w:val="00C3392B"/>
    <w:rsid w:val="00C34416"/>
    <w:rsid w:val="00C36EA5"/>
    <w:rsid w:val="00C4085C"/>
    <w:rsid w:val="00C43B25"/>
    <w:rsid w:val="00C4409D"/>
    <w:rsid w:val="00C44255"/>
    <w:rsid w:val="00C446A9"/>
    <w:rsid w:val="00C44E72"/>
    <w:rsid w:val="00C45A06"/>
    <w:rsid w:val="00C4617C"/>
    <w:rsid w:val="00C472C2"/>
    <w:rsid w:val="00C47E5B"/>
    <w:rsid w:val="00C50EDC"/>
    <w:rsid w:val="00C5415E"/>
    <w:rsid w:val="00C54F7C"/>
    <w:rsid w:val="00C55CE4"/>
    <w:rsid w:val="00C56F19"/>
    <w:rsid w:val="00C6000B"/>
    <w:rsid w:val="00C61BF1"/>
    <w:rsid w:val="00C61D82"/>
    <w:rsid w:val="00C61E4B"/>
    <w:rsid w:val="00C62951"/>
    <w:rsid w:val="00C641A8"/>
    <w:rsid w:val="00C64BFF"/>
    <w:rsid w:val="00C652C7"/>
    <w:rsid w:val="00C65BF8"/>
    <w:rsid w:val="00C7027A"/>
    <w:rsid w:val="00C704E9"/>
    <w:rsid w:val="00C707C1"/>
    <w:rsid w:val="00C70BC9"/>
    <w:rsid w:val="00C70CE9"/>
    <w:rsid w:val="00C713D1"/>
    <w:rsid w:val="00C7185F"/>
    <w:rsid w:val="00C73D21"/>
    <w:rsid w:val="00C7417E"/>
    <w:rsid w:val="00C75122"/>
    <w:rsid w:val="00C763C9"/>
    <w:rsid w:val="00C77641"/>
    <w:rsid w:val="00C80057"/>
    <w:rsid w:val="00C82232"/>
    <w:rsid w:val="00C826FE"/>
    <w:rsid w:val="00C82913"/>
    <w:rsid w:val="00C913B9"/>
    <w:rsid w:val="00C92316"/>
    <w:rsid w:val="00C92F74"/>
    <w:rsid w:val="00C9476D"/>
    <w:rsid w:val="00C954D4"/>
    <w:rsid w:val="00C964A8"/>
    <w:rsid w:val="00C972B1"/>
    <w:rsid w:val="00C97B54"/>
    <w:rsid w:val="00C97D78"/>
    <w:rsid w:val="00CA21DF"/>
    <w:rsid w:val="00CA2C03"/>
    <w:rsid w:val="00CA2CCE"/>
    <w:rsid w:val="00CA42C5"/>
    <w:rsid w:val="00CA43FD"/>
    <w:rsid w:val="00CA7EF8"/>
    <w:rsid w:val="00CB7C9A"/>
    <w:rsid w:val="00CC1CDC"/>
    <w:rsid w:val="00CC1F5C"/>
    <w:rsid w:val="00CC1FDC"/>
    <w:rsid w:val="00CC2BA2"/>
    <w:rsid w:val="00CC2FDF"/>
    <w:rsid w:val="00CC348F"/>
    <w:rsid w:val="00CC489B"/>
    <w:rsid w:val="00CC7F35"/>
    <w:rsid w:val="00CD1526"/>
    <w:rsid w:val="00CD2BCD"/>
    <w:rsid w:val="00CD3009"/>
    <w:rsid w:val="00CD3922"/>
    <w:rsid w:val="00CD3A4C"/>
    <w:rsid w:val="00CD40C4"/>
    <w:rsid w:val="00CD4D16"/>
    <w:rsid w:val="00CD4DC7"/>
    <w:rsid w:val="00CD751A"/>
    <w:rsid w:val="00CE024A"/>
    <w:rsid w:val="00CE0269"/>
    <w:rsid w:val="00CE0E9E"/>
    <w:rsid w:val="00CE10E9"/>
    <w:rsid w:val="00CE130F"/>
    <w:rsid w:val="00CE245A"/>
    <w:rsid w:val="00CE2910"/>
    <w:rsid w:val="00CE3AE7"/>
    <w:rsid w:val="00CE5393"/>
    <w:rsid w:val="00CF1D6B"/>
    <w:rsid w:val="00CF2616"/>
    <w:rsid w:val="00CF2C83"/>
    <w:rsid w:val="00CF36BE"/>
    <w:rsid w:val="00CF6000"/>
    <w:rsid w:val="00D003F3"/>
    <w:rsid w:val="00D004D3"/>
    <w:rsid w:val="00D0364F"/>
    <w:rsid w:val="00D059D1"/>
    <w:rsid w:val="00D06834"/>
    <w:rsid w:val="00D122D7"/>
    <w:rsid w:val="00D1535B"/>
    <w:rsid w:val="00D15763"/>
    <w:rsid w:val="00D164BB"/>
    <w:rsid w:val="00D222FE"/>
    <w:rsid w:val="00D22D0D"/>
    <w:rsid w:val="00D237CB"/>
    <w:rsid w:val="00D2579D"/>
    <w:rsid w:val="00D261FE"/>
    <w:rsid w:val="00D308ED"/>
    <w:rsid w:val="00D30CD1"/>
    <w:rsid w:val="00D32AFF"/>
    <w:rsid w:val="00D343DA"/>
    <w:rsid w:val="00D35B43"/>
    <w:rsid w:val="00D35EDA"/>
    <w:rsid w:val="00D36867"/>
    <w:rsid w:val="00D36D86"/>
    <w:rsid w:val="00D37EEB"/>
    <w:rsid w:val="00D37F8D"/>
    <w:rsid w:val="00D40AAE"/>
    <w:rsid w:val="00D428AA"/>
    <w:rsid w:val="00D42EDD"/>
    <w:rsid w:val="00D446F3"/>
    <w:rsid w:val="00D46433"/>
    <w:rsid w:val="00D505EE"/>
    <w:rsid w:val="00D50A30"/>
    <w:rsid w:val="00D50A34"/>
    <w:rsid w:val="00D51AAB"/>
    <w:rsid w:val="00D53906"/>
    <w:rsid w:val="00D53EFA"/>
    <w:rsid w:val="00D60BA1"/>
    <w:rsid w:val="00D60C45"/>
    <w:rsid w:val="00D61C68"/>
    <w:rsid w:val="00D620AF"/>
    <w:rsid w:val="00D62868"/>
    <w:rsid w:val="00D636C1"/>
    <w:rsid w:val="00D669A5"/>
    <w:rsid w:val="00D66DF5"/>
    <w:rsid w:val="00D67868"/>
    <w:rsid w:val="00D73D45"/>
    <w:rsid w:val="00D73D99"/>
    <w:rsid w:val="00D74159"/>
    <w:rsid w:val="00D75A02"/>
    <w:rsid w:val="00D769EA"/>
    <w:rsid w:val="00D77510"/>
    <w:rsid w:val="00D8057E"/>
    <w:rsid w:val="00D82AD7"/>
    <w:rsid w:val="00D8319B"/>
    <w:rsid w:val="00D843AE"/>
    <w:rsid w:val="00D84AC7"/>
    <w:rsid w:val="00D85692"/>
    <w:rsid w:val="00D8572C"/>
    <w:rsid w:val="00D86DB4"/>
    <w:rsid w:val="00D90DAB"/>
    <w:rsid w:val="00D9162B"/>
    <w:rsid w:val="00D94A7C"/>
    <w:rsid w:val="00D95896"/>
    <w:rsid w:val="00D97FAA"/>
    <w:rsid w:val="00DA0BC3"/>
    <w:rsid w:val="00DA27DA"/>
    <w:rsid w:val="00DA2B7A"/>
    <w:rsid w:val="00DA3569"/>
    <w:rsid w:val="00DA4703"/>
    <w:rsid w:val="00DA608D"/>
    <w:rsid w:val="00DA61E0"/>
    <w:rsid w:val="00DA6ECA"/>
    <w:rsid w:val="00DA6F81"/>
    <w:rsid w:val="00DA7039"/>
    <w:rsid w:val="00DB1C01"/>
    <w:rsid w:val="00DB2983"/>
    <w:rsid w:val="00DB58B1"/>
    <w:rsid w:val="00DB6556"/>
    <w:rsid w:val="00DB7807"/>
    <w:rsid w:val="00DC03FA"/>
    <w:rsid w:val="00DC0BB4"/>
    <w:rsid w:val="00DC1257"/>
    <w:rsid w:val="00DC1C47"/>
    <w:rsid w:val="00DC2E41"/>
    <w:rsid w:val="00DC345C"/>
    <w:rsid w:val="00DC3DC0"/>
    <w:rsid w:val="00DC3E33"/>
    <w:rsid w:val="00DC4879"/>
    <w:rsid w:val="00DC5B2B"/>
    <w:rsid w:val="00DD0AEA"/>
    <w:rsid w:val="00DD204C"/>
    <w:rsid w:val="00DD318D"/>
    <w:rsid w:val="00DD3DCC"/>
    <w:rsid w:val="00DE0711"/>
    <w:rsid w:val="00DE1D13"/>
    <w:rsid w:val="00DE21A1"/>
    <w:rsid w:val="00DE6A2A"/>
    <w:rsid w:val="00DE7835"/>
    <w:rsid w:val="00DE7C74"/>
    <w:rsid w:val="00DF06C6"/>
    <w:rsid w:val="00DF2E12"/>
    <w:rsid w:val="00DF350B"/>
    <w:rsid w:val="00DF3F0A"/>
    <w:rsid w:val="00DF4E8C"/>
    <w:rsid w:val="00DF508D"/>
    <w:rsid w:val="00DF5105"/>
    <w:rsid w:val="00DF514A"/>
    <w:rsid w:val="00DF6690"/>
    <w:rsid w:val="00DF6804"/>
    <w:rsid w:val="00DF6D77"/>
    <w:rsid w:val="00E02D13"/>
    <w:rsid w:val="00E0358D"/>
    <w:rsid w:val="00E0398A"/>
    <w:rsid w:val="00E03B71"/>
    <w:rsid w:val="00E04323"/>
    <w:rsid w:val="00E0478F"/>
    <w:rsid w:val="00E056ED"/>
    <w:rsid w:val="00E070A2"/>
    <w:rsid w:val="00E10A6F"/>
    <w:rsid w:val="00E110F7"/>
    <w:rsid w:val="00E11404"/>
    <w:rsid w:val="00E13CB5"/>
    <w:rsid w:val="00E14A84"/>
    <w:rsid w:val="00E20DA3"/>
    <w:rsid w:val="00E212AA"/>
    <w:rsid w:val="00E2283A"/>
    <w:rsid w:val="00E23705"/>
    <w:rsid w:val="00E25BEC"/>
    <w:rsid w:val="00E26468"/>
    <w:rsid w:val="00E2656A"/>
    <w:rsid w:val="00E26A68"/>
    <w:rsid w:val="00E26AD0"/>
    <w:rsid w:val="00E3302C"/>
    <w:rsid w:val="00E406CF"/>
    <w:rsid w:val="00E412D0"/>
    <w:rsid w:val="00E42C37"/>
    <w:rsid w:val="00E43BBA"/>
    <w:rsid w:val="00E43DDB"/>
    <w:rsid w:val="00E46D5B"/>
    <w:rsid w:val="00E5006F"/>
    <w:rsid w:val="00E534B9"/>
    <w:rsid w:val="00E53854"/>
    <w:rsid w:val="00E56322"/>
    <w:rsid w:val="00E57AB8"/>
    <w:rsid w:val="00E60982"/>
    <w:rsid w:val="00E62C62"/>
    <w:rsid w:val="00E6386D"/>
    <w:rsid w:val="00E654C1"/>
    <w:rsid w:val="00E65D97"/>
    <w:rsid w:val="00E65F2F"/>
    <w:rsid w:val="00E669B4"/>
    <w:rsid w:val="00E70B30"/>
    <w:rsid w:val="00E71AF9"/>
    <w:rsid w:val="00E71CE9"/>
    <w:rsid w:val="00E72574"/>
    <w:rsid w:val="00E72A5A"/>
    <w:rsid w:val="00E73354"/>
    <w:rsid w:val="00E733AD"/>
    <w:rsid w:val="00E73E88"/>
    <w:rsid w:val="00E75945"/>
    <w:rsid w:val="00E8158E"/>
    <w:rsid w:val="00E82433"/>
    <w:rsid w:val="00E8249C"/>
    <w:rsid w:val="00E84CA6"/>
    <w:rsid w:val="00E87012"/>
    <w:rsid w:val="00E9008F"/>
    <w:rsid w:val="00E9031D"/>
    <w:rsid w:val="00E90BC4"/>
    <w:rsid w:val="00E920D4"/>
    <w:rsid w:val="00E9242D"/>
    <w:rsid w:val="00E95BA7"/>
    <w:rsid w:val="00E97B25"/>
    <w:rsid w:val="00EA0804"/>
    <w:rsid w:val="00EA6446"/>
    <w:rsid w:val="00EA662A"/>
    <w:rsid w:val="00EA78C1"/>
    <w:rsid w:val="00EB05C4"/>
    <w:rsid w:val="00EB27B1"/>
    <w:rsid w:val="00EB2A3D"/>
    <w:rsid w:val="00EB4938"/>
    <w:rsid w:val="00EB5255"/>
    <w:rsid w:val="00EB5C47"/>
    <w:rsid w:val="00EB62C7"/>
    <w:rsid w:val="00EB7F3D"/>
    <w:rsid w:val="00EC0FA7"/>
    <w:rsid w:val="00EC6E78"/>
    <w:rsid w:val="00ED0639"/>
    <w:rsid w:val="00ED23FD"/>
    <w:rsid w:val="00ED268D"/>
    <w:rsid w:val="00ED7EA3"/>
    <w:rsid w:val="00EE0FAB"/>
    <w:rsid w:val="00EE1261"/>
    <w:rsid w:val="00EE16AC"/>
    <w:rsid w:val="00EE2FFD"/>
    <w:rsid w:val="00EE4B27"/>
    <w:rsid w:val="00EE53D4"/>
    <w:rsid w:val="00EE5F87"/>
    <w:rsid w:val="00EE7EA7"/>
    <w:rsid w:val="00EF046C"/>
    <w:rsid w:val="00EF15BA"/>
    <w:rsid w:val="00EF1958"/>
    <w:rsid w:val="00EF4755"/>
    <w:rsid w:val="00EF7135"/>
    <w:rsid w:val="00EF7AB5"/>
    <w:rsid w:val="00EF7F06"/>
    <w:rsid w:val="00F001DD"/>
    <w:rsid w:val="00F01A8F"/>
    <w:rsid w:val="00F027DB"/>
    <w:rsid w:val="00F05756"/>
    <w:rsid w:val="00F12A66"/>
    <w:rsid w:val="00F14053"/>
    <w:rsid w:val="00F14A7A"/>
    <w:rsid w:val="00F16DC7"/>
    <w:rsid w:val="00F170EC"/>
    <w:rsid w:val="00F178F2"/>
    <w:rsid w:val="00F17F21"/>
    <w:rsid w:val="00F21084"/>
    <w:rsid w:val="00F22985"/>
    <w:rsid w:val="00F22991"/>
    <w:rsid w:val="00F22EA2"/>
    <w:rsid w:val="00F24318"/>
    <w:rsid w:val="00F24838"/>
    <w:rsid w:val="00F31031"/>
    <w:rsid w:val="00F3383E"/>
    <w:rsid w:val="00F33D85"/>
    <w:rsid w:val="00F340CF"/>
    <w:rsid w:val="00F3598D"/>
    <w:rsid w:val="00F365EF"/>
    <w:rsid w:val="00F37171"/>
    <w:rsid w:val="00F37199"/>
    <w:rsid w:val="00F37895"/>
    <w:rsid w:val="00F37A6A"/>
    <w:rsid w:val="00F402C2"/>
    <w:rsid w:val="00F40B57"/>
    <w:rsid w:val="00F42D19"/>
    <w:rsid w:val="00F43542"/>
    <w:rsid w:val="00F43A32"/>
    <w:rsid w:val="00F4465E"/>
    <w:rsid w:val="00F44A7E"/>
    <w:rsid w:val="00F44D7B"/>
    <w:rsid w:val="00F465A7"/>
    <w:rsid w:val="00F50B7C"/>
    <w:rsid w:val="00F50C0F"/>
    <w:rsid w:val="00F51990"/>
    <w:rsid w:val="00F53818"/>
    <w:rsid w:val="00F53C67"/>
    <w:rsid w:val="00F53EB3"/>
    <w:rsid w:val="00F53F53"/>
    <w:rsid w:val="00F54801"/>
    <w:rsid w:val="00F550E6"/>
    <w:rsid w:val="00F551DB"/>
    <w:rsid w:val="00F55E78"/>
    <w:rsid w:val="00F563D7"/>
    <w:rsid w:val="00F61E35"/>
    <w:rsid w:val="00F62C18"/>
    <w:rsid w:val="00F63E60"/>
    <w:rsid w:val="00F64845"/>
    <w:rsid w:val="00F651A2"/>
    <w:rsid w:val="00F654E7"/>
    <w:rsid w:val="00F65EB8"/>
    <w:rsid w:val="00F666B9"/>
    <w:rsid w:val="00F703F2"/>
    <w:rsid w:val="00F74345"/>
    <w:rsid w:val="00F753E7"/>
    <w:rsid w:val="00F80A0A"/>
    <w:rsid w:val="00F80C26"/>
    <w:rsid w:val="00F81512"/>
    <w:rsid w:val="00F82B19"/>
    <w:rsid w:val="00F8322D"/>
    <w:rsid w:val="00F85FF4"/>
    <w:rsid w:val="00F87997"/>
    <w:rsid w:val="00F9053E"/>
    <w:rsid w:val="00F908A0"/>
    <w:rsid w:val="00F920EE"/>
    <w:rsid w:val="00F9212D"/>
    <w:rsid w:val="00F935C9"/>
    <w:rsid w:val="00F9460E"/>
    <w:rsid w:val="00F94631"/>
    <w:rsid w:val="00F965DA"/>
    <w:rsid w:val="00FA406A"/>
    <w:rsid w:val="00FA7D43"/>
    <w:rsid w:val="00FB2649"/>
    <w:rsid w:val="00FB2800"/>
    <w:rsid w:val="00FB41B5"/>
    <w:rsid w:val="00FB4949"/>
    <w:rsid w:val="00FB49A3"/>
    <w:rsid w:val="00FB503A"/>
    <w:rsid w:val="00FB516C"/>
    <w:rsid w:val="00FB636F"/>
    <w:rsid w:val="00FB6510"/>
    <w:rsid w:val="00FB7AD0"/>
    <w:rsid w:val="00FC24D5"/>
    <w:rsid w:val="00FC2B00"/>
    <w:rsid w:val="00FC3AAB"/>
    <w:rsid w:val="00FC5345"/>
    <w:rsid w:val="00FC5781"/>
    <w:rsid w:val="00FC5E67"/>
    <w:rsid w:val="00FC74B6"/>
    <w:rsid w:val="00FD0236"/>
    <w:rsid w:val="00FD18F4"/>
    <w:rsid w:val="00FD4106"/>
    <w:rsid w:val="00FD54DB"/>
    <w:rsid w:val="00FD5855"/>
    <w:rsid w:val="00FD5C20"/>
    <w:rsid w:val="00FD5EC1"/>
    <w:rsid w:val="00FD5F71"/>
    <w:rsid w:val="00FD619F"/>
    <w:rsid w:val="00FD6DFB"/>
    <w:rsid w:val="00FD7FB0"/>
    <w:rsid w:val="00FE1DBA"/>
    <w:rsid w:val="00FE1E0D"/>
    <w:rsid w:val="00FF088F"/>
    <w:rsid w:val="00FF3D97"/>
    <w:rsid w:val="00FF3E03"/>
    <w:rsid w:val="00FF6C78"/>
    <w:rsid w:val="00FF7577"/>
    <w:rsid w:val="01290F7E"/>
    <w:rsid w:val="015D1E09"/>
    <w:rsid w:val="017C5739"/>
    <w:rsid w:val="0181650E"/>
    <w:rsid w:val="01CE5C0B"/>
    <w:rsid w:val="01F40F97"/>
    <w:rsid w:val="02046673"/>
    <w:rsid w:val="025755DC"/>
    <w:rsid w:val="02697903"/>
    <w:rsid w:val="0287362E"/>
    <w:rsid w:val="02A11099"/>
    <w:rsid w:val="02BB7252"/>
    <w:rsid w:val="02D667EA"/>
    <w:rsid w:val="02F96569"/>
    <w:rsid w:val="035D4295"/>
    <w:rsid w:val="036720D3"/>
    <w:rsid w:val="03C06CB6"/>
    <w:rsid w:val="03E80687"/>
    <w:rsid w:val="03EA7B21"/>
    <w:rsid w:val="044818B9"/>
    <w:rsid w:val="044E43AA"/>
    <w:rsid w:val="04B31FFC"/>
    <w:rsid w:val="057546C9"/>
    <w:rsid w:val="05967AD2"/>
    <w:rsid w:val="05B63617"/>
    <w:rsid w:val="05E63543"/>
    <w:rsid w:val="05F83EAE"/>
    <w:rsid w:val="06074516"/>
    <w:rsid w:val="0634126D"/>
    <w:rsid w:val="063629F4"/>
    <w:rsid w:val="063E7D85"/>
    <w:rsid w:val="063F305D"/>
    <w:rsid w:val="064847DC"/>
    <w:rsid w:val="06623D24"/>
    <w:rsid w:val="06A74870"/>
    <w:rsid w:val="06BD0B3A"/>
    <w:rsid w:val="07045CBE"/>
    <w:rsid w:val="07293586"/>
    <w:rsid w:val="07295285"/>
    <w:rsid w:val="075E29CB"/>
    <w:rsid w:val="07636392"/>
    <w:rsid w:val="07770C56"/>
    <w:rsid w:val="07D16AAA"/>
    <w:rsid w:val="07F150FE"/>
    <w:rsid w:val="08A9147F"/>
    <w:rsid w:val="08B81EDF"/>
    <w:rsid w:val="092217DD"/>
    <w:rsid w:val="09366E92"/>
    <w:rsid w:val="093A7294"/>
    <w:rsid w:val="09435A5B"/>
    <w:rsid w:val="09800BE0"/>
    <w:rsid w:val="09806D25"/>
    <w:rsid w:val="099F7A3A"/>
    <w:rsid w:val="09BA310E"/>
    <w:rsid w:val="0A263993"/>
    <w:rsid w:val="0A2D3AC2"/>
    <w:rsid w:val="0A3870E3"/>
    <w:rsid w:val="0A7510B5"/>
    <w:rsid w:val="0A955749"/>
    <w:rsid w:val="0AA755DF"/>
    <w:rsid w:val="0ABB43CD"/>
    <w:rsid w:val="0AD5439A"/>
    <w:rsid w:val="0B120D44"/>
    <w:rsid w:val="0B414AD3"/>
    <w:rsid w:val="0BD27BF6"/>
    <w:rsid w:val="0BEE7A45"/>
    <w:rsid w:val="0C3B3C7D"/>
    <w:rsid w:val="0C3C5788"/>
    <w:rsid w:val="0C986A2C"/>
    <w:rsid w:val="0CAB2EAE"/>
    <w:rsid w:val="0D2153BB"/>
    <w:rsid w:val="0D2573DC"/>
    <w:rsid w:val="0D2C4A3E"/>
    <w:rsid w:val="0D3861DB"/>
    <w:rsid w:val="0D621C7D"/>
    <w:rsid w:val="0D65084A"/>
    <w:rsid w:val="0D791741"/>
    <w:rsid w:val="0DAD0FB6"/>
    <w:rsid w:val="0DAE6EDC"/>
    <w:rsid w:val="0DFE6388"/>
    <w:rsid w:val="0E567261"/>
    <w:rsid w:val="0E5C05EF"/>
    <w:rsid w:val="0E73034D"/>
    <w:rsid w:val="0EBB0FCF"/>
    <w:rsid w:val="0EC66095"/>
    <w:rsid w:val="0EC90C7D"/>
    <w:rsid w:val="0EE06E4B"/>
    <w:rsid w:val="0EE92781"/>
    <w:rsid w:val="0F13775A"/>
    <w:rsid w:val="0F5F45FE"/>
    <w:rsid w:val="0F765DC9"/>
    <w:rsid w:val="0F9A112B"/>
    <w:rsid w:val="0FB00ACE"/>
    <w:rsid w:val="0FB72B0C"/>
    <w:rsid w:val="0FCB3854"/>
    <w:rsid w:val="0FE078ED"/>
    <w:rsid w:val="10093A07"/>
    <w:rsid w:val="10604A6E"/>
    <w:rsid w:val="10672A1E"/>
    <w:rsid w:val="106D2F64"/>
    <w:rsid w:val="108B7873"/>
    <w:rsid w:val="10B63710"/>
    <w:rsid w:val="10C569A3"/>
    <w:rsid w:val="10F10820"/>
    <w:rsid w:val="11051E4D"/>
    <w:rsid w:val="111C2F7A"/>
    <w:rsid w:val="11222CCD"/>
    <w:rsid w:val="114157B1"/>
    <w:rsid w:val="115D2F84"/>
    <w:rsid w:val="116415BC"/>
    <w:rsid w:val="11665CA1"/>
    <w:rsid w:val="1168787E"/>
    <w:rsid w:val="117626DD"/>
    <w:rsid w:val="118B0C90"/>
    <w:rsid w:val="118C4243"/>
    <w:rsid w:val="11A92AAF"/>
    <w:rsid w:val="11CA1203"/>
    <w:rsid w:val="125A2B3F"/>
    <w:rsid w:val="1265052E"/>
    <w:rsid w:val="126D2DCB"/>
    <w:rsid w:val="127D05A1"/>
    <w:rsid w:val="12922BA1"/>
    <w:rsid w:val="12D301F3"/>
    <w:rsid w:val="13951726"/>
    <w:rsid w:val="13AE0337"/>
    <w:rsid w:val="13B34400"/>
    <w:rsid w:val="13F10E08"/>
    <w:rsid w:val="14072923"/>
    <w:rsid w:val="1416774C"/>
    <w:rsid w:val="14207149"/>
    <w:rsid w:val="14396509"/>
    <w:rsid w:val="14694385"/>
    <w:rsid w:val="147246E0"/>
    <w:rsid w:val="147A7650"/>
    <w:rsid w:val="14852FC6"/>
    <w:rsid w:val="14DD2C3C"/>
    <w:rsid w:val="15414701"/>
    <w:rsid w:val="15795A6B"/>
    <w:rsid w:val="15F20E8D"/>
    <w:rsid w:val="16087E1D"/>
    <w:rsid w:val="16124C6E"/>
    <w:rsid w:val="163914EC"/>
    <w:rsid w:val="17701D14"/>
    <w:rsid w:val="17735226"/>
    <w:rsid w:val="1800141D"/>
    <w:rsid w:val="180154EA"/>
    <w:rsid w:val="180772D3"/>
    <w:rsid w:val="180A12E7"/>
    <w:rsid w:val="182E0907"/>
    <w:rsid w:val="18633A37"/>
    <w:rsid w:val="189F624C"/>
    <w:rsid w:val="190D3718"/>
    <w:rsid w:val="193E4513"/>
    <w:rsid w:val="195A537E"/>
    <w:rsid w:val="196A3C37"/>
    <w:rsid w:val="19E200ED"/>
    <w:rsid w:val="1A0850C6"/>
    <w:rsid w:val="1A1C14E1"/>
    <w:rsid w:val="1A1C66C0"/>
    <w:rsid w:val="1A2C283E"/>
    <w:rsid w:val="1A42393B"/>
    <w:rsid w:val="1A4E357C"/>
    <w:rsid w:val="1A5C1B3A"/>
    <w:rsid w:val="1AAD45DE"/>
    <w:rsid w:val="1AE479A2"/>
    <w:rsid w:val="1B046F80"/>
    <w:rsid w:val="1B083691"/>
    <w:rsid w:val="1B14030B"/>
    <w:rsid w:val="1B3267B5"/>
    <w:rsid w:val="1B40161D"/>
    <w:rsid w:val="1B441859"/>
    <w:rsid w:val="1B5A401C"/>
    <w:rsid w:val="1B6606B1"/>
    <w:rsid w:val="1B8C0BE4"/>
    <w:rsid w:val="1BCE1808"/>
    <w:rsid w:val="1C5953C2"/>
    <w:rsid w:val="1C5E7925"/>
    <w:rsid w:val="1CB6160C"/>
    <w:rsid w:val="1CCB0E1A"/>
    <w:rsid w:val="1CFD070F"/>
    <w:rsid w:val="1D4538C2"/>
    <w:rsid w:val="1D49138D"/>
    <w:rsid w:val="1D5F6196"/>
    <w:rsid w:val="1D6132A5"/>
    <w:rsid w:val="1D72568A"/>
    <w:rsid w:val="1D8E56D5"/>
    <w:rsid w:val="1E1005F2"/>
    <w:rsid w:val="1E771D29"/>
    <w:rsid w:val="1E7A43DA"/>
    <w:rsid w:val="1E7F0F20"/>
    <w:rsid w:val="1E9B35BD"/>
    <w:rsid w:val="1EBD25B6"/>
    <w:rsid w:val="1F0E3FB6"/>
    <w:rsid w:val="1F66756C"/>
    <w:rsid w:val="1F894A07"/>
    <w:rsid w:val="1FE7539E"/>
    <w:rsid w:val="20211FF7"/>
    <w:rsid w:val="20671BE0"/>
    <w:rsid w:val="206A51C4"/>
    <w:rsid w:val="207C7882"/>
    <w:rsid w:val="20963CB8"/>
    <w:rsid w:val="20A81A1B"/>
    <w:rsid w:val="20B07FB6"/>
    <w:rsid w:val="20B646FB"/>
    <w:rsid w:val="20F26546"/>
    <w:rsid w:val="213B74B1"/>
    <w:rsid w:val="215A2310"/>
    <w:rsid w:val="21BC4A0B"/>
    <w:rsid w:val="21CD1E84"/>
    <w:rsid w:val="21DE318A"/>
    <w:rsid w:val="21EF5B80"/>
    <w:rsid w:val="22045F51"/>
    <w:rsid w:val="221E0F01"/>
    <w:rsid w:val="222A671E"/>
    <w:rsid w:val="222F5D36"/>
    <w:rsid w:val="2231076F"/>
    <w:rsid w:val="22576990"/>
    <w:rsid w:val="22AC34CB"/>
    <w:rsid w:val="22EE3CD2"/>
    <w:rsid w:val="22F47480"/>
    <w:rsid w:val="231C7A73"/>
    <w:rsid w:val="233730B8"/>
    <w:rsid w:val="233E1D44"/>
    <w:rsid w:val="23B94652"/>
    <w:rsid w:val="23DE1C48"/>
    <w:rsid w:val="240210CD"/>
    <w:rsid w:val="245E4322"/>
    <w:rsid w:val="24785E59"/>
    <w:rsid w:val="248D67A7"/>
    <w:rsid w:val="24BF09F7"/>
    <w:rsid w:val="24DB33F5"/>
    <w:rsid w:val="252D53FE"/>
    <w:rsid w:val="25320FB6"/>
    <w:rsid w:val="253944F4"/>
    <w:rsid w:val="2589316F"/>
    <w:rsid w:val="259E3D7C"/>
    <w:rsid w:val="25C74149"/>
    <w:rsid w:val="25EC2D81"/>
    <w:rsid w:val="25FB762A"/>
    <w:rsid w:val="260770CA"/>
    <w:rsid w:val="26344D52"/>
    <w:rsid w:val="266876DA"/>
    <w:rsid w:val="26C15924"/>
    <w:rsid w:val="26D7485F"/>
    <w:rsid w:val="27026E56"/>
    <w:rsid w:val="27335AE5"/>
    <w:rsid w:val="27356E82"/>
    <w:rsid w:val="275742CB"/>
    <w:rsid w:val="277057A2"/>
    <w:rsid w:val="27892F2D"/>
    <w:rsid w:val="27C034B9"/>
    <w:rsid w:val="27C93FFC"/>
    <w:rsid w:val="27CA646E"/>
    <w:rsid w:val="283F16EC"/>
    <w:rsid w:val="28C6058C"/>
    <w:rsid w:val="28F13457"/>
    <w:rsid w:val="29206EB8"/>
    <w:rsid w:val="292A1F26"/>
    <w:rsid w:val="29305EB0"/>
    <w:rsid w:val="29595666"/>
    <w:rsid w:val="29713AED"/>
    <w:rsid w:val="29874881"/>
    <w:rsid w:val="29A3424B"/>
    <w:rsid w:val="29C25353"/>
    <w:rsid w:val="29E325E0"/>
    <w:rsid w:val="29F77F12"/>
    <w:rsid w:val="2A0E150A"/>
    <w:rsid w:val="2A452503"/>
    <w:rsid w:val="2A772800"/>
    <w:rsid w:val="2B1A7FE9"/>
    <w:rsid w:val="2B2B58C3"/>
    <w:rsid w:val="2B4503D5"/>
    <w:rsid w:val="2B687CE6"/>
    <w:rsid w:val="2B710DDE"/>
    <w:rsid w:val="2BA601B7"/>
    <w:rsid w:val="2BA936A8"/>
    <w:rsid w:val="2BBA4592"/>
    <w:rsid w:val="2C1524B8"/>
    <w:rsid w:val="2C315A5A"/>
    <w:rsid w:val="2C481165"/>
    <w:rsid w:val="2C4B1C25"/>
    <w:rsid w:val="2CD903AA"/>
    <w:rsid w:val="2D2751EC"/>
    <w:rsid w:val="2D306A77"/>
    <w:rsid w:val="2D315EDC"/>
    <w:rsid w:val="2D552206"/>
    <w:rsid w:val="2D77161E"/>
    <w:rsid w:val="2D9E56F5"/>
    <w:rsid w:val="2E667F96"/>
    <w:rsid w:val="2E8226AB"/>
    <w:rsid w:val="2EC21707"/>
    <w:rsid w:val="2ECA2DFE"/>
    <w:rsid w:val="2ED4627A"/>
    <w:rsid w:val="2EF92D34"/>
    <w:rsid w:val="2F840D8D"/>
    <w:rsid w:val="2FD065E6"/>
    <w:rsid w:val="2FD96870"/>
    <w:rsid w:val="30255F14"/>
    <w:rsid w:val="303B5E5F"/>
    <w:rsid w:val="30580BC9"/>
    <w:rsid w:val="30C01CF2"/>
    <w:rsid w:val="30D35F2D"/>
    <w:rsid w:val="30E232F7"/>
    <w:rsid w:val="30F674AB"/>
    <w:rsid w:val="31083063"/>
    <w:rsid w:val="311B2634"/>
    <w:rsid w:val="311E2ED7"/>
    <w:rsid w:val="31246334"/>
    <w:rsid w:val="313047C4"/>
    <w:rsid w:val="315619EE"/>
    <w:rsid w:val="315C449C"/>
    <w:rsid w:val="31654706"/>
    <w:rsid w:val="31707FAA"/>
    <w:rsid w:val="31B82709"/>
    <w:rsid w:val="31D05482"/>
    <w:rsid w:val="32400B34"/>
    <w:rsid w:val="324C0EC8"/>
    <w:rsid w:val="325A1C81"/>
    <w:rsid w:val="32655B11"/>
    <w:rsid w:val="328E2FEE"/>
    <w:rsid w:val="329E6876"/>
    <w:rsid w:val="32D54D2A"/>
    <w:rsid w:val="333015F2"/>
    <w:rsid w:val="334B6320"/>
    <w:rsid w:val="33580147"/>
    <w:rsid w:val="33D934D4"/>
    <w:rsid w:val="33FE2F6A"/>
    <w:rsid w:val="34025C22"/>
    <w:rsid w:val="3403482B"/>
    <w:rsid w:val="340E07E5"/>
    <w:rsid w:val="34235BF7"/>
    <w:rsid w:val="3432696A"/>
    <w:rsid w:val="34375F2B"/>
    <w:rsid w:val="343D6AC5"/>
    <w:rsid w:val="343F71DE"/>
    <w:rsid w:val="34503FFD"/>
    <w:rsid w:val="345908A3"/>
    <w:rsid w:val="34815262"/>
    <w:rsid w:val="34AC6A44"/>
    <w:rsid w:val="358C5FA8"/>
    <w:rsid w:val="35B80168"/>
    <w:rsid w:val="35C15DF1"/>
    <w:rsid w:val="35D168AC"/>
    <w:rsid w:val="35F17C7D"/>
    <w:rsid w:val="36074A7F"/>
    <w:rsid w:val="368A544A"/>
    <w:rsid w:val="36923549"/>
    <w:rsid w:val="36B75FBF"/>
    <w:rsid w:val="36BD0C45"/>
    <w:rsid w:val="370E09E1"/>
    <w:rsid w:val="376C42DB"/>
    <w:rsid w:val="377B226B"/>
    <w:rsid w:val="377B55A4"/>
    <w:rsid w:val="377D4336"/>
    <w:rsid w:val="3786176F"/>
    <w:rsid w:val="378A0D88"/>
    <w:rsid w:val="378C567A"/>
    <w:rsid w:val="37CA161C"/>
    <w:rsid w:val="37E00298"/>
    <w:rsid w:val="381B6A0D"/>
    <w:rsid w:val="38381696"/>
    <w:rsid w:val="38537F32"/>
    <w:rsid w:val="387F04B1"/>
    <w:rsid w:val="38B302F9"/>
    <w:rsid w:val="38F12CD3"/>
    <w:rsid w:val="38F94775"/>
    <w:rsid w:val="39181E96"/>
    <w:rsid w:val="392971ED"/>
    <w:rsid w:val="39325651"/>
    <w:rsid w:val="39331B9A"/>
    <w:rsid w:val="39A62869"/>
    <w:rsid w:val="3A2E5ADC"/>
    <w:rsid w:val="3A31781C"/>
    <w:rsid w:val="3A371E07"/>
    <w:rsid w:val="3A374EA9"/>
    <w:rsid w:val="3A872856"/>
    <w:rsid w:val="3AA45B52"/>
    <w:rsid w:val="3AD008A0"/>
    <w:rsid w:val="3AF348CF"/>
    <w:rsid w:val="3B3763D1"/>
    <w:rsid w:val="3B62499A"/>
    <w:rsid w:val="3B7034B4"/>
    <w:rsid w:val="3BBD2E24"/>
    <w:rsid w:val="3BCD32A7"/>
    <w:rsid w:val="3BE954DD"/>
    <w:rsid w:val="3C0C5227"/>
    <w:rsid w:val="3C2F6E1E"/>
    <w:rsid w:val="3C4C74AC"/>
    <w:rsid w:val="3C4F64BA"/>
    <w:rsid w:val="3C7174C9"/>
    <w:rsid w:val="3CAE69CC"/>
    <w:rsid w:val="3CDA245A"/>
    <w:rsid w:val="3D1E06B7"/>
    <w:rsid w:val="3D2B6D23"/>
    <w:rsid w:val="3D653C21"/>
    <w:rsid w:val="3D86558C"/>
    <w:rsid w:val="3E81091D"/>
    <w:rsid w:val="3EDA0523"/>
    <w:rsid w:val="3EF656C2"/>
    <w:rsid w:val="3FB9238D"/>
    <w:rsid w:val="3FCC4CD1"/>
    <w:rsid w:val="3FE9418F"/>
    <w:rsid w:val="3FFF5D84"/>
    <w:rsid w:val="407A6407"/>
    <w:rsid w:val="4090394E"/>
    <w:rsid w:val="409A51D7"/>
    <w:rsid w:val="40AB0497"/>
    <w:rsid w:val="40BE46D6"/>
    <w:rsid w:val="414A3B2A"/>
    <w:rsid w:val="414B50FD"/>
    <w:rsid w:val="416A16B2"/>
    <w:rsid w:val="41867D1E"/>
    <w:rsid w:val="41DD6D76"/>
    <w:rsid w:val="4200449D"/>
    <w:rsid w:val="423A3BCC"/>
    <w:rsid w:val="42413F8A"/>
    <w:rsid w:val="424E57D2"/>
    <w:rsid w:val="4262770F"/>
    <w:rsid w:val="428803B3"/>
    <w:rsid w:val="42B26C49"/>
    <w:rsid w:val="42B43C54"/>
    <w:rsid w:val="42CB1623"/>
    <w:rsid w:val="43081845"/>
    <w:rsid w:val="431A7338"/>
    <w:rsid w:val="43282193"/>
    <w:rsid w:val="433856A1"/>
    <w:rsid w:val="433A6FE6"/>
    <w:rsid w:val="43480868"/>
    <w:rsid w:val="4350713C"/>
    <w:rsid w:val="436653E0"/>
    <w:rsid w:val="439C5E09"/>
    <w:rsid w:val="43A7231A"/>
    <w:rsid w:val="43C4431A"/>
    <w:rsid w:val="43D74983"/>
    <w:rsid w:val="43F64047"/>
    <w:rsid w:val="445769C9"/>
    <w:rsid w:val="447B4676"/>
    <w:rsid w:val="447F414C"/>
    <w:rsid w:val="44841EA5"/>
    <w:rsid w:val="4488789C"/>
    <w:rsid w:val="448E07FB"/>
    <w:rsid w:val="44B951CC"/>
    <w:rsid w:val="44C67F95"/>
    <w:rsid w:val="44CD14E0"/>
    <w:rsid w:val="44DB2592"/>
    <w:rsid w:val="44EE5B0C"/>
    <w:rsid w:val="44F20B0B"/>
    <w:rsid w:val="452E5F4C"/>
    <w:rsid w:val="45612018"/>
    <w:rsid w:val="458946E9"/>
    <w:rsid w:val="45A47C0E"/>
    <w:rsid w:val="46403B66"/>
    <w:rsid w:val="46577FD6"/>
    <w:rsid w:val="46934C99"/>
    <w:rsid w:val="4698326B"/>
    <w:rsid w:val="46D955A7"/>
    <w:rsid w:val="46E53F93"/>
    <w:rsid w:val="46EE732F"/>
    <w:rsid w:val="47133957"/>
    <w:rsid w:val="472E6246"/>
    <w:rsid w:val="474E3B4F"/>
    <w:rsid w:val="47572E16"/>
    <w:rsid w:val="478C6C93"/>
    <w:rsid w:val="47A07E0C"/>
    <w:rsid w:val="4833339D"/>
    <w:rsid w:val="48474822"/>
    <w:rsid w:val="4870272E"/>
    <w:rsid w:val="489708CC"/>
    <w:rsid w:val="489D4C67"/>
    <w:rsid w:val="48E22EC4"/>
    <w:rsid w:val="494055B9"/>
    <w:rsid w:val="494F4E40"/>
    <w:rsid w:val="4955513E"/>
    <w:rsid w:val="497004D0"/>
    <w:rsid w:val="497A3655"/>
    <w:rsid w:val="49816143"/>
    <w:rsid w:val="49817A41"/>
    <w:rsid w:val="49AA7640"/>
    <w:rsid w:val="49DC7715"/>
    <w:rsid w:val="4A023139"/>
    <w:rsid w:val="4A382541"/>
    <w:rsid w:val="4A473FA2"/>
    <w:rsid w:val="4A7241E7"/>
    <w:rsid w:val="4A7B576F"/>
    <w:rsid w:val="4AE434AB"/>
    <w:rsid w:val="4AEA4CF4"/>
    <w:rsid w:val="4AF561A9"/>
    <w:rsid w:val="4B3605BD"/>
    <w:rsid w:val="4B3D4C26"/>
    <w:rsid w:val="4B4D5A2E"/>
    <w:rsid w:val="4B6B5BD4"/>
    <w:rsid w:val="4C4A0649"/>
    <w:rsid w:val="4C625F50"/>
    <w:rsid w:val="4C7521F1"/>
    <w:rsid w:val="4C7E5ECA"/>
    <w:rsid w:val="4C845CBC"/>
    <w:rsid w:val="4C876AA5"/>
    <w:rsid w:val="4C8A7685"/>
    <w:rsid w:val="4CE63211"/>
    <w:rsid w:val="4D0E00FB"/>
    <w:rsid w:val="4D176606"/>
    <w:rsid w:val="4D2724D7"/>
    <w:rsid w:val="4DEC4FB0"/>
    <w:rsid w:val="4DEC6847"/>
    <w:rsid w:val="4E075D8A"/>
    <w:rsid w:val="4E182773"/>
    <w:rsid w:val="4EC00FAD"/>
    <w:rsid w:val="4ECA0294"/>
    <w:rsid w:val="4EF56198"/>
    <w:rsid w:val="4F1C5402"/>
    <w:rsid w:val="4F5A3772"/>
    <w:rsid w:val="4F6D68D9"/>
    <w:rsid w:val="4F8250AE"/>
    <w:rsid w:val="4F843B50"/>
    <w:rsid w:val="4F9843DC"/>
    <w:rsid w:val="4FC62A8C"/>
    <w:rsid w:val="4FD74E04"/>
    <w:rsid w:val="4FE20F0D"/>
    <w:rsid w:val="4FE51552"/>
    <w:rsid w:val="4FF65D82"/>
    <w:rsid w:val="502D2C76"/>
    <w:rsid w:val="50504C4B"/>
    <w:rsid w:val="50560A9D"/>
    <w:rsid w:val="505D746E"/>
    <w:rsid w:val="509C6E7C"/>
    <w:rsid w:val="50DD469C"/>
    <w:rsid w:val="514A3AE1"/>
    <w:rsid w:val="5162104E"/>
    <w:rsid w:val="516C206A"/>
    <w:rsid w:val="51802E28"/>
    <w:rsid w:val="51B96085"/>
    <w:rsid w:val="51D71163"/>
    <w:rsid w:val="522A0C67"/>
    <w:rsid w:val="523379DC"/>
    <w:rsid w:val="524A176D"/>
    <w:rsid w:val="526652D9"/>
    <w:rsid w:val="529201D8"/>
    <w:rsid w:val="529C0D73"/>
    <w:rsid w:val="53635A03"/>
    <w:rsid w:val="538E62CB"/>
    <w:rsid w:val="538F768F"/>
    <w:rsid w:val="53A039CC"/>
    <w:rsid w:val="53A1505A"/>
    <w:rsid w:val="53DA4EC3"/>
    <w:rsid w:val="54063E08"/>
    <w:rsid w:val="543437E8"/>
    <w:rsid w:val="54CF4016"/>
    <w:rsid w:val="54EC37EF"/>
    <w:rsid w:val="54F73313"/>
    <w:rsid w:val="54F80955"/>
    <w:rsid w:val="54FD3E2A"/>
    <w:rsid w:val="551805BE"/>
    <w:rsid w:val="551E34D6"/>
    <w:rsid w:val="553F1BAF"/>
    <w:rsid w:val="555170A7"/>
    <w:rsid w:val="5587536D"/>
    <w:rsid w:val="559B174B"/>
    <w:rsid w:val="55A30B41"/>
    <w:rsid w:val="55BA005C"/>
    <w:rsid w:val="55CE0CF4"/>
    <w:rsid w:val="55DD4210"/>
    <w:rsid w:val="55EE3A15"/>
    <w:rsid w:val="561C35B1"/>
    <w:rsid w:val="568333C4"/>
    <w:rsid w:val="56B22A9C"/>
    <w:rsid w:val="56C7635D"/>
    <w:rsid w:val="57145AF1"/>
    <w:rsid w:val="572C3859"/>
    <w:rsid w:val="5776145A"/>
    <w:rsid w:val="57A156F2"/>
    <w:rsid w:val="57AF2ABD"/>
    <w:rsid w:val="57B72A76"/>
    <w:rsid w:val="57C3426C"/>
    <w:rsid w:val="57CE1F93"/>
    <w:rsid w:val="58035889"/>
    <w:rsid w:val="58831FCD"/>
    <w:rsid w:val="588743D1"/>
    <w:rsid w:val="5887701A"/>
    <w:rsid w:val="58FA6C2B"/>
    <w:rsid w:val="593C0CC6"/>
    <w:rsid w:val="59B572DF"/>
    <w:rsid w:val="59C0439F"/>
    <w:rsid w:val="59C17263"/>
    <w:rsid w:val="5A015014"/>
    <w:rsid w:val="5A10452E"/>
    <w:rsid w:val="5A1420CD"/>
    <w:rsid w:val="5A3411D7"/>
    <w:rsid w:val="5A887440"/>
    <w:rsid w:val="5A8D1895"/>
    <w:rsid w:val="5ABE2233"/>
    <w:rsid w:val="5AC000C0"/>
    <w:rsid w:val="5B3242F4"/>
    <w:rsid w:val="5B700A7E"/>
    <w:rsid w:val="5B906FB2"/>
    <w:rsid w:val="5BA210F8"/>
    <w:rsid w:val="5BDD5DE1"/>
    <w:rsid w:val="5BDF5D95"/>
    <w:rsid w:val="5BFE7528"/>
    <w:rsid w:val="5C297A87"/>
    <w:rsid w:val="5C876268"/>
    <w:rsid w:val="5D3D56BF"/>
    <w:rsid w:val="5D6E1172"/>
    <w:rsid w:val="5D8E2FDD"/>
    <w:rsid w:val="5DAF4183"/>
    <w:rsid w:val="5DC866D4"/>
    <w:rsid w:val="5DCC28DE"/>
    <w:rsid w:val="5DD90F38"/>
    <w:rsid w:val="5E2467F1"/>
    <w:rsid w:val="5ECA4844"/>
    <w:rsid w:val="5EE66E12"/>
    <w:rsid w:val="5EF05EE3"/>
    <w:rsid w:val="5F17346F"/>
    <w:rsid w:val="5F1A2B43"/>
    <w:rsid w:val="5F2813F9"/>
    <w:rsid w:val="5F9F5996"/>
    <w:rsid w:val="5FB837BB"/>
    <w:rsid w:val="60017E5F"/>
    <w:rsid w:val="6017749F"/>
    <w:rsid w:val="60221AE5"/>
    <w:rsid w:val="60354078"/>
    <w:rsid w:val="603718EF"/>
    <w:rsid w:val="603A66E3"/>
    <w:rsid w:val="60597E16"/>
    <w:rsid w:val="60B46758"/>
    <w:rsid w:val="60BB127F"/>
    <w:rsid w:val="60CC405A"/>
    <w:rsid w:val="61262FCB"/>
    <w:rsid w:val="61657FD6"/>
    <w:rsid w:val="618941DC"/>
    <w:rsid w:val="61B769C4"/>
    <w:rsid w:val="61E215D8"/>
    <w:rsid w:val="621B3775"/>
    <w:rsid w:val="621D7687"/>
    <w:rsid w:val="622B67B3"/>
    <w:rsid w:val="62364782"/>
    <w:rsid w:val="62515496"/>
    <w:rsid w:val="625C12B1"/>
    <w:rsid w:val="62684EE6"/>
    <w:rsid w:val="626C555C"/>
    <w:rsid w:val="626E50AF"/>
    <w:rsid w:val="62751FFF"/>
    <w:rsid w:val="63533494"/>
    <w:rsid w:val="63762A7E"/>
    <w:rsid w:val="6394356A"/>
    <w:rsid w:val="63C61B2C"/>
    <w:rsid w:val="63D40BE9"/>
    <w:rsid w:val="63FA6DDF"/>
    <w:rsid w:val="64102431"/>
    <w:rsid w:val="64347268"/>
    <w:rsid w:val="649B5DBE"/>
    <w:rsid w:val="64A5243A"/>
    <w:rsid w:val="64F531DE"/>
    <w:rsid w:val="650252C6"/>
    <w:rsid w:val="650A3FB0"/>
    <w:rsid w:val="651F5183"/>
    <w:rsid w:val="652E0C40"/>
    <w:rsid w:val="65373578"/>
    <w:rsid w:val="654948CE"/>
    <w:rsid w:val="657A6506"/>
    <w:rsid w:val="65B25E52"/>
    <w:rsid w:val="65E75397"/>
    <w:rsid w:val="65EF3842"/>
    <w:rsid w:val="66B62397"/>
    <w:rsid w:val="66BF0724"/>
    <w:rsid w:val="66ED1085"/>
    <w:rsid w:val="67040FB4"/>
    <w:rsid w:val="6717241F"/>
    <w:rsid w:val="671F124A"/>
    <w:rsid w:val="672E39B5"/>
    <w:rsid w:val="67381478"/>
    <w:rsid w:val="675420FF"/>
    <w:rsid w:val="67566ACC"/>
    <w:rsid w:val="675A65EF"/>
    <w:rsid w:val="676601F6"/>
    <w:rsid w:val="677A33C6"/>
    <w:rsid w:val="679D472E"/>
    <w:rsid w:val="681F6961"/>
    <w:rsid w:val="684C0F45"/>
    <w:rsid w:val="68610A2F"/>
    <w:rsid w:val="687A4A6F"/>
    <w:rsid w:val="68805514"/>
    <w:rsid w:val="68A620B7"/>
    <w:rsid w:val="68C71539"/>
    <w:rsid w:val="68CC1DDA"/>
    <w:rsid w:val="68D60E4B"/>
    <w:rsid w:val="68F121E3"/>
    <w:rsid w:val="6905255B"/>
    <w:rsid w:val="69147B83"/>
    <w:rsid w:val="6916229D"/>
    <w:rsid w:val="691B7A41"/>
    <w:rsid w:val="69316E2F"/>
    <w:rsid w:val="694E2071"/>
    <w:rsid w:val="69766163"/>
    <w:rsid w:val="697A3B33"/>
    <w:rsid w:val="6986527F"/>
    <w:rsid w:val="69B93686"/>
    <w:rsid w:val="69D44760"/>
    <w:rsid w:val="69DB5849"/>
    <w:rsid w:val="69E30460"/>
    <w:rsid w:val="69E96013"/>
    <w:rsid w:val="6A045CF1"/>
    <w:rsid w:val="6A157C9F"/>
    <w:rsid w:val="6A1707C7"/>
    <w:rsid w:val="6A2323DD"/>
    <w:rsid w:val="6A2A0A42"/>
    <w:rsid w:val="6A340D25"/>
    <w:rsid w:val="6A3B2317"/>
    <w:rsid w:val="6A520EC7"/>
    <w:rsid w:val="6AF87E20"/>
    <w:rsid w:val="6B291F20"/>
    <w:rsid w:val="6B322639"/>
    <w:rsid w:val="6B5D332C"/>
    <w:rsid w:val="6B9423A1"/>
    <w:rsid w:val="6BBE4DA4"/>
    <w:rsid w:val="6BCD756D"/>
    <w:rsid w:val="6BDA7FBA"/>
    <w:rsid w:val="6BF66612"/>
    <w:rsid w:val="6C0B610A"/>
    <w:rsid w:val="6C636C38"/>
    <w:rsid w:val="6CAF47AF"/>
    <w:rsid w:val="6CBD43CA"/>
    <w:rsid w:val="6D0E3719"/>
    <w:rsid w:val="6D31409B"/>
    <w:rsid w:val="6D447863"/>
    <w:rsid w:val="6D663438"/>
    <w:rsid w:val="6D7E78DA"/>
    <w:rsid w:val="6DB34098"/>
    <w:rsid w:val="6DB545B6"/>
    <w:rsid w:val="6DB8130B"/>
    <w:rsid w:val="6DBD675B"/>
    <w:rsid w:val="6DE02FB4"/>
    <w:rsid w:val="6E325D93"/>
    <w:rsid w:val="6E514CED"/>
    <w:rsid w:val="6E613110"/>
    <w:rsid w:val="6E791766"/>
    <w:rsid w:val="6EB563D5"/>
    <w:rsid w:val="6EC67D54"/>
    <w:rsid w:val="6ED92677"/>
    <w:rsid w:val="6EF554A2"/>
    <w:rsid w:val="6F114433"/>
    <w:rsid w:val="6F225983"/>
    <w:rsid w:val="6F506195"/>
    <w:rsid w:val="6F653065"/>
    <w:rsid w:val="6F930E24"/>
    <w:rsid w:val="6FED07B9"/>
    <w:rsid w:val="6FFC5590"/>
    <w:rsid w:val="706D1DD0"/>
    <w:rsid w:val="70856B87"/>
    <w:rsid w:val="70D527EE"/>
    <w:rsid w:val="71025639"/>
    <w:rsid w:val="715B5300"/>
    <w:rsid w:val="719721EE"/>
    <w:rsid w:val="71A02380"/>
    <w:rsid w:val="71D27F8A"/>
    <w:rsid w:val="71D30342"/>
    <w:rsid w:val="723040B0"/>
    <w:rsid w:val="723304F9"/>
    <w:rsid w:val="72553024"/>
    <w:rsid w:val="72871CA8"/>
    <w:rsid w:val="72AB14FA"/>
    <w:rsid w:val="72CD74C0"/>
    <w:rsid w:val="73122968"/>
    <w:rsid w:val="731F5D5E"/>
    <w:rsid w:val="7323696A"/>
    <w:rsid w:val="73C51AD5"/>
    <w:rsid w:val="74166BCF"/>
    <w:rsid w:val="741E793C"/>
    <w:rsid w:val="74220495"/>
    <w:rsid w:val="745E3944"/>
    <w:rsid w:val="748219C8"/>
    <w:rsid w:val="74A05951"/>
    <w:rsid w:val="74A0760B"/>
    <w:rsid w:val="74A52E74"/>
    <w:rsid w:val="74B562AA"/>
    <w:rsid w:val="74FE360F"/>
    <w:rsid w:val="75B62C87"/>
    <w:rsid w:val="75CA0CCD"/>
    <w:rsid w:val="760D574D"/>
    <w:rsid w:val="7635099D"/>
    <w:rsid w:val="765D3A06"/>
    <w:rsid w:val="7693198F"/>
    <w:rsid w:val="76F00A90"/>
    <w:rsid w:val="776B4E1E"/>
    <w:rsid w:val="777377CE"/>
    <w:rsid w:val="77762421"/>
    <w:rsid w:val="778046CC"/>
    <w:rsid w:val="77840895"/>
    <w:rsid w:val="77B56B1F"/>
    <w:rsid w:val="780F09F4"/>
    <w:rsid w:val="782F590F"/>
    <w:rsid w:val="783F2590"/>
    <w:rsid w:val="784D567F"/>
    <w:rsid w:val="78A90480"/>
    <w:rsid w:val="78FE5CD7"/>
    <w:rsid w:val="78FE7F26"/>
    <w:rsid w:val="79443741"/>
    <w:rsid w:val="795F5F6E"/>
    <w:rsid w:val="7977760A"/>
    <w:rsid w:val="79AF15E5"/>
    <w:rsid w:val="79DB58BD"/>
    <w:rsid w:val="7A364017"/>
    <w:rsid w:val="7A3F7FAA"/>
    <w:rsid w:val="7A6B15C4"/>
    <w:rsid w:val="7A8265E1"/>
    <w:rsid w:val="7A8A510F"/>
    <w:rsid w:val="7A922379"/>
    <w:rsid w:val="7B017645"/>
    <w:rsid w:val="7B090C03"/>
    <w:rsid w:val="7B185C39"/>
    <w:rsid w:val="7B686D42"/>
    <w:rsid w:val="7B841746"/>
    <w:rsid w:val="7B976DD6"/>
    <w:rsid w:val="7BF6550F"/>
    <w:rsid w:val="7C1D0372"/>
    <w:rsid w:val="7C1E59E5"/>
    <w:rsid w:val="7C551236"/>
    <w:rsid w:val="7C5B0937"/>
    <w:rsid w:val="7C6C5AC7"/>
    <w:rsid w:val="7CC6544B"/>
    <w:rsid w:val="7CCC3C8B"/>
    <w:rsid w:val="7CD43E42"/>
    <w:rsid w:val="7CDC794A"/>
    <w:rsid w:val="7D0239FF"/>
    <w:rsid w:val="7D225B41"/>
    <w:rsid w:val="7D5E40CD"/>
    <w:rsid w:val="7D9046C1"/>
    <w:rsid w:val="7DCD56F2"/>
    <w:rsid w:val="7E4D6D10"/>
    <w:rsid w:val="7E727EA5"/>
    <w:rsid w:val="7E750DD1"/>
    <w:rsid w:val="7E845424"/>
    <w:rsid w:val="7EC479A5"/>
    <w:rsid w:val="7EDD66A3"/>
    <w:rsid w:val="7F001CE7"/>
    <w:rsid w:val="7F6A0143"/>
    <w:rsid w:val="7FC1112C"/>
    <w:rsid w:val="7FD8389E"/>
    <w:rsid w:val="7FDF5943"/>
    <w:rsid w:val="7FE47E50"/>
    <w:rsid w:val="BFFF6A3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nhideWhenUsed="0" w:uiPriority="0" w:semiHidden="0" w:name="Body Text First Indent"/>
    <w:lsdException w:qFormat="1"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440" w:lineRule="exact"/>
      <w:ind w:firstLine="480" w:firstLineChars="200"/>
      <w:jc w:val="both"/>
    </w:pPr>
    <w:rPr>
      <w:rFonts w:ascii="Times New Roman" w:hAnsi="Times New Roman" w:eastAsia="宋体" w:cs="Times New Roman"/>
      <w:kern w:val="2"/>
      <w:sz w:val="24"/>
      <w:szCs w:val="24"/>
      <w:lang w:val="en-US" w:eastAsia="zh-CN" w:bidi="ar-SA"/>
    </w:rPr>
  </w:style>
  <w:style w:type="paragraph" w:styleId="3">
    <w:name w:val="heading 1"/>
    <w:basedOn w:val="1"/>
    <w:next w:val="1"/>
    <w:link w:val="124"/>
    <w:qFormat/>
    <w:uiPriority w:val="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link w:val="41"/>
    <w:unhideWhenUsed/>
    <w:qFormat/>
    <w:uiPriority w:val="9"/>
    <w:pPr>
      <w:keepNext/>
      <w:keepLines/>
      <w:spacing w:before="260" w:after="260" w:line="416" w:lineRule="auto"/>
      <w:outlineLvl w:val="1"/>
    </w:pPr>
    <w:rPr>
      <w:rFonts w:ascii="Calibri Light" w:hAnsi="Calibri Light" w:eastAsia="宋体" w:cs="Times New Roman"/>
      <w:b/>
      <w:bCs/>
      <w:sz w:val="32"/>
      <w:szCs w:val="32"/>
    </w:rPr>
  </w:style>
  <w:style w:type="paragraph" w:styleId="5">
    <w:name w:val="heading 3"/>
    <w:basedOn w:val="1"/>
    <w:next w:val="1"/>
    <w:unhideWhenUsed/>
    <w:qFormat/>
    <w:uiPriority w:val="0"/>
    <w:pPr>
      <w:keepNext/>
      <w:keepLines/>
      <w:tabs>
        <w:tab w:val="left" w:pos="-108"/>
      </w:tabs>
      <w:adjustRightInd w:val="0"/>
      <w:spacing w:beforeLines="0" w:afterLines="0"/>
      <w:ind w:firstLine="459"/>
      <w:outlineLvl w:val="2"/>
    </w:pPr>
    <w:rPr>
      <w:rFonts w:hint="default"/>
      <w:kern w:val="0"/>
      <w:sz w:val="24"/>
      <w:szCs w:val="24"/>
    </w:rPr>
  </w:style>
  <w:style w:type="character" w:default="1" w:styleId="30">
    <w:name w:val="Default Paragraph Font"/>
    <w:unhideWhenUsed/>
    <w:qFormat/>
    <w:uiPriority w:val="1"/>
  </w:style>
  <w:style w:type="table" w:default="1" w:styleId="2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macro"/>
    <w:link w:val="40"/>
    <w:unhideWhenUsed/>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6">
    <w:name w:val="Normal Indent"/>
    <w:basedOn w:val="1"/>
    <w:next w:val="1"/>
    <w:link w:val="42"/>
    <w:unhideWhenUsed/>
    <w:qFormat/>
    <w:uiPriority w:val="99"/>
    <w:pPr>
      <w:spacing w:line="360" w:lineRule="auto"/>
      <w:ind w:firstLine="420"/>
    </w:pPr>
    <w:rPr>
      <w:sz w:val="24"/>
      <w:szCs w:val="20"/>
    </w:rPr>
  </w:style>
  <w:style w:type="paragraph" w:styleId="7">
    <w:name w:val="caption"/>
    <w:basedOn w:val="1"/>
    <w:next w:val="1"/>
    <w:unhideWhenUsed/>
    <w:qFormat/>
    <w:uiPriority w:val="35"/>
    <w:pPr>
      <w:jc w:val="center"/>
    </w:pPr>
    <w:rPr>
      <w:rFonts w:eastAsia="黑体"/>
      <w:szCs w:val="20"/>
    </w:rPr>
  </w:style>
  <w:style w:type="paragraph" w:styleId="8">
    <w:name w:val="annotation text"/>
    <w:basedOn w:val="1"/>
    <w:link w:val="43"/>
    <w:unhideWhenUsed/>
    <w:qFormat/>
    <w:uiPriority w:val="99"/>
    <w:pPr>
      <w:jc w:val="left"/>
    </w:pPr>
    <w:rPr>
      <w:kern w:val="0"/>
      <w:sz w:val="24"/>
      <w:szCs w:val="20"/>
    </w:rPr>
  </w:style>
  <w:style w:type="paragraph" w:styleId="9">
    <w:name w:val="Body Text"/>
    <w:basedOn w:val="1"/>
    <w:next w:val="1"/>
    <w:link w:val="44"/>
    <w:unhideWhenUsed/>
    <w:qFormat/>
    <w:uiPriority w:val="99"/>
    <w:pPr>
      <w:widowControl/>
      <w:adjustRightInd w:val="0"/>
      <w:snapToGrid w:val="0"/>
      <w:spacing w:line="360" w:lineRule="auto"/>
      <w:ind w:firstLine="200" w:firstLineChars="200"/>
    </w:pPr>
    <w:rPr>
      <w:kern w:val="0"/>
      <w:sz w:val="24"/>
      <w:szCs w:val="20"/>
    </w:rPr>
  </w:style>
  <w:style w:type="paragraph" w:styleId="10">
    <w:name w:val="Body Text Indent"/>
    <w:basedOn w:val="1"/>
    <w:next w:val="11"/>
    <w:link w:val="45"/>
    <w:unhideWhenUsed/>
    <w:qFormat/>
    <w:uiPriority w:val="99"/>
    <w:pPr>
      <w:spacing w:after="120"/>
      <w:ind w:left="420" w:leftChars="200"/>
    </w:pPr>
    <w:rPr>
      <w:kern w:val="0"/>
      <w:sz w:val="24"/>
      <w:szCs w:val="20"/>
    </w:rPr>
  </w:style>
  <w:style w:type="paragraph" w:styleId="11">
    <w:name w:val="envelope return"/>
    <w:basedOn w:val="1"/>
    <w:qFormat/>
    <w:uiPriority w:val="0"/>
    <w:pPr>
      <w:snapToGrid w:val="0"/>
    </w:pPr>
    <w:rPr>
      <w:rFonts w:ascii="Arial" w:hAnsi="Arial" w:eastAsia="宋体" w:cs="Arial"/>
    </w:rPr>
  </w:style>
  <w:style w:type="paragraph" w:styleId="12">
    <w:name w:val="Plain Text"/>
    <w:basedOn w:val="1"/>
    <w:next w:val="1"/>
    <w:qFormat/>
    <w:uiPriority w:val="0"/>
    <w:pPr>
      <w:spacing w:line="240" w:lineRule="auto"/>
      <w:ind w:firstLine="0" w:firstLineChars="0"/>
    </w:pPr>
    <w:rPr>
      <w:rFonts w:ascii="宋体"/>
      <w:sz w:val="21"/>
      <w:szCs w:val="20"/>
    </w:rPr>
  </w:style>
  <w:style w:type="paragraph" w:styleId="13">
    <w:name w:val="Date"/>
    <w:basedOn w:val="1"/>
    <w:next w:val="1"/>
    <w:link w:val="47"/>
    <w:unhideWhenUsed/>
    <w:qFormat/>
    <w:uiPriority w:val="99"/>
    <w:pPr>
      <w:ind w:left="100" w:leftChars="2500"/>
    </w:pPr>
    <w:rPr>
      <w:kern w:val="0"/>
      <w:sz w:val="24"/>
      <w:szCs w:val="20"/>
    </w:rPr>
  </w:style>
  <w:style w:type="paragraph" w:styleId="14">
    <w:name w:val="Body Text Indent 2"/>
    <w:basedOn w:val="1"/>
    <w:next w:val="1"/>
    <w:qFormat/>
    <w:uiPriority w:val="0"/>
    <w:pPr>
      <w:adjustRightInd w:val="0"/>
      <w:ind w:firstLine="540"/>
      <w:textAlignment w:val="baseline"/>
    </w:pPr>
    <w:rPr>
      <w:rFonts w:ascii="宋体"/>
      <w:kern w:val="0"/>
      <w:szCs w:val="20"/>
    </w:rPr>
  </w:style>
  <w:style w:type="paragraph" w:styleId="15">
    <w:name w:val="Balloon Text"/>
    <w:basedOn w:val="1"/>
    <w:link w:val="48"/>
    <w:unhideWhenUsed/>
    <w:qFormat/>
    <w:uiPriority w:val="99"/>
    <w:rPr>
      <w:kern w:val="0"/>
      <w:sz w:val="18"/>
      <w:szCs w:val="20"/>
    </w:rPr>
  </w:style>
  <w:style w:type="paragraph" w:styleId="16">
    <w:name w:val="footer"/>
    <w:basedOn w:val="1"/>
    <w:link w:val="49"/>
    <w:unhideWhenUsed/>
    <w:qFormat/>
    <w:uiPriority w:val="99"/>
    <w:pPr>
      <w:tabs>
        <w:tab w:val="center" w:pos="4153"/>
        <w:tab w:val="right" w:pos="8306"/>
      </w:tabs>
      <w:snapToGrid w:val="0"/>
      <w:jc w:val="left"/>
    </w:pPr>
    <w:rPr>
      <w:kern w:val="0"/>
      <w:sz w:val="18"/>
      <w:szCs w:val="20"/>
    </w:rPr>
  </w:style>
  <w:style w:type="paragraph" w:styleId="17">
    <w:name w:val="header"/>
    <w:basedOn w:val="1"/>
    <w:next w:val="18"/>
    <w:link w:val="46"/>
    <w:unhideWhenUsed/>
    <w:qFormat/>
    <w:uiPriority w:val="99"/>
    <w:pPr>
      <w:pBdr>
        <w:bottom w:val="single" w:color="auto" w:sz="6" w:space="1"/>
      </w:pBdr>
      <w:tabs>
        <w:tab w:val="center" w:pos="4153"/>
        <w:tab w:val="right" w:pos="8306"/>
      </w:tabs>
      <w:snapToGrid w:val="0"/>
      <w:jc w:val="center"/>
    </w:pPr>
    <w:rPr>
      <w:kern w:val="0"/>
      <w:sz w:val="18"/>
      <w:szCs w:val="20"/>
    </w:rPr>
  </w:style>
  <w:style w:type="paragraph" w:customStyle="1" w:styleId="18">
    <w:name w:val="样式5"/>
    <w:basedOn w:val="19"/>
    <w:qFormat/>
    <w:uiPriority w:val="0"/>
    <w:pPr>
      <w:snapToGrid w:val="0"/>
      <w:spacing w:line="360" w:lineRule="auto"/>
      <w:ind w:firstLine="510"/>
    </w:pPr>
    <w:rPr>
      <w:sz w:val="24"/>
    </w:rPr>
  </w:style>
  <w:style w:type="paragraph" w:customStyle="1" w:styleId="19">
    <w:name w:val="font5"/>
    <w:basedOn w:val="1"/>
    <w:qFormat/>
    <w:uiPriority w:val="0"/>
    <w:pPr>
      <w:widowControl/>
      <w:adjustRightInd w:val="0"/>
      <w:snapToGrid w:val="0"/>
      <w:spacing w:before="100" w:beforeAutospacing="1" w:after="100" w:afterAutospacing="1" w:line="520" w:lineRule="atLeast"/>
      <w:jc w:val="left"/>
    </w:pPr>
    <w:rPr>
      <w:rFonts w:hint="eastAsia" w:ascii="宋体" w:hAnsi="宋体" w:cs="Arial Unicode MS"/>
      <w:kern w:val="0"/>
      <w:sz w:val="18"/>
      <w:szCs w:val="18"/>
    </w:rPr>
  </w:style>
  <w:style w:type="paragraph" w:styleId="20">
    <w:name w:val="toc 1"/>
    <w:basedOn w:val="1"/>
    <w:next w:val="1"/>
    <w:semiHidden/>
    <w:unhideWhenUsed/>
    <w:qFormat/>
    <w:uiPriority w:val="39"/>
  </w:style>
  <w:style w:type="paragraph" w:styleId="21">
    <w:name w:val="index heading"/>
    <w:basedOn w:val="1"/>
    <w:next w:val="22"/>
    <w:qFormat/>
    <w:uiPriority w:val="0"/>
    <w:rPr>
      <w:rFonts w:ascii="Arial" w:hAnsi="Arial" w:eastAsia="宋体" w:cs="Arial"/>
      <w:b/>
      <w:bCs/>
    </w:rPr>
  </w:style>
  <w:style w:type="paragraph" w:styleId="22">
    <w:name w:val="index 1"/>
    <w:basedOn w:val="1"/>
    <w:next w:val="1"/>
    <w:qFormat/>
    <w:uiPriority w:val="0"/>
    <w:pPr>
      <w:ind w:left="210" w:hanging="210"/>
      <w:jc w:val="center"/>
    </w:pPr>
    <w:rPr>
      <w:rFonts w:ascii="Times New Roman" w:hAnsi="Times New Roman" w:eastAsia="宋体" w:cs="Times New Roman"/>
      <w:szCs w:val="21"/>
    </w:rPr>
  </w:style>
  <w:style w:type="paragraph" w:styleId="23">
    <w:name w:val="List"/>
    <w:basedOn w:val="1"/>
    <w:qFormat/>
    <w:uiPriority w:val="0"/>
    <w:pPr>
      <w:ind w:left="200" w:hanging="200" w:hangingChars="200"/>
    </w:pPr>
  </w:style>
  <w:style w:type="paragraph" w:styleId="24">
    <w:name w:val="Normal (Web)"/>
    <w:basedOn w:val="1"/>
    <w:link w:val="50"/>
    <w:unhideWhenUsed/>
    <w:qFormat/>
    <w:uiPriority w:val="0"/>
    <w:pPr>
      <w:widowControl/>
      <w:spacing w:before="100" w:beforeAutospacing="1" w:after="100" w:afterAutospacing="1"/>
      <w:jc w:val="left"/>
    </w:pPr>
    <w:rPr>
      <w:rFonts w:ascii="宋体" w:hAnsi="宋体"/>
      <w:kern w:val="0"/>
      <w:sz w:val="24"/>
      <w:szCs w:val="20"/>
    </w:rPr>
  </w:style>
  <w:style w:type="paragraph" w:styleId="25">
    <w:name w:val="annotation subject"/>
    <w:basedOn w:val="8"/>
    <w:next w:val="8"/>
    <w:link w:val="51"/>
    <w:unhideWhenUsed/>
    <w:qFormat/>
    <w:uiPriority w:val="99"/>
    <w:rPr>
      <w:b/>
      <w:sz w:val="24"/>
      <w:szCs w:val="20"/>
    </w:rPr>
  </w:style>
  <w:style w:type="paragraph" w:styleId="26">
    <w:name w:val="Body Text First Indent"/>
    <w:basedOn w:val="9"/>
    <w:next w:val="1"/>
    <w:qFormat/>
    <w:uiPriority w:val="0"/>
    <w:pPr>
      <w:tabs>
        <w:tab w:val="left" w:pos="1260"/>
      </w:tabs>
      <w:spacing w:after="120" w:afterLines="0"/>
      <w:ind w:firstLine="420" w:firstLineChars="100"/>
      <w:jc w:val="both"/>
      <w:outlineLvl w:val="9"/>
    </w:pPr>
    <w:rPr>
      <w:rFonts w:eastAsia="宋体"/>
    </w:rPr>
  </w:style>
  <w:style w:type="paragraph" w:styleId="27">
    <w:name w:val="Body Text First Indent 2"/>
    <w:basedOn w:val="10"/>
    <w:next w:val="1"/>
    <w:link w:val="52"/>
    <w:unhideWhenUsed/>
    <w:qFormat/>
    <w:uiPriority w:val="99"/>
    <w:pPr>
      <w:ind w:firstLine="420" w:firstLineChars="200"/>
    </w:pPr>
    <w:rPr>
      <w:kern w:val="2"/>
      <w:sz w:val="21"/>
      <w:szCs w:val="24"/>
    </w:rPr>
  </w:style>
  <w:style w:type="table" w:styleId="29">
    <w:name w:val="Table Grid"/>
    <w:basedOn w:val="28"/>
    <w:qFormat/>
    <w:uiPriority w:val="39"/>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basedOn w:val="30"/>
    <w:qFormat/>
    <w:uiPriority w:val="22"/>
    <w:rPr>
      <w:b/>
    </w:rPr>
  </w:style>
  <w:style w:type="character" w:styleId="32">
    <w:name w:val="page number"/>
    <w:basedOn w:val="30"/>
    <w:unhideWhenUsed/>
    <w:qFormat/>
    <w:uiPriority w:val="99"/>
  </w:style>
  <w:style w:type="character" w:styleId="33">
    <w:name w:val="Emphasis"/>
    <w:basedOn w:val="30"/>
    <w:qFormat/>
    <w:uiPriority w:val="20"/>
    <w:rPr>
      <w:i/>
    </w:rPr>
  </w:style>
  <w:style w:type="character" w:styleId="34">
    <w:name w:val="Hyperlink"/>
    <w:unhideWhenUsed/>
    <w:qFormat/>
    <w:uiPriority w:val="99"/>
    <w:rPr>
      <w:color w:val="0000FF"/>
      <w:u w:val="single"/>
    </w:rPr>
  </w:style>
  <w:style w:type="character" w:styleId="35">
    <w:name w:val="annotation reference"/>
    <w:unhideWhenUsed/>
    <w:qFormat/>
    <w:uiPriority w:val="99"/>
    <w:rPr>
      <w:sz w:val="21"/>
    </w:rPr>
  </w:style>
  <w:style w:type="paragraph" w:customStyle="1" w:styleId="36">
    <w:name w:val="Default1"/>
    <w:basedOn w:val="23"/>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7">
    <w:name w:val="表头"/>
    <w:basedOn w:val="7"/>
    <w:next w:val="1"/>
    <w:qFormat/>
    <w:uiPriority w:val="0"/>
    <w:pPr>
      <w:spacing w:line="360" w:lineRule="auto"/>
      <w:ind w:firstLine="0" w:firstLineChars="0"/>
      <w:jc w:val="center"/>
    </w:pPr>
    <w:rPr>
      <w:rFonts w:ascii="Times New Roman" w:hAnsi="Times New Roman" w:eastAsia="宋体"/>
      <w:b/>
      <w:sz w:val="21"/>
    </w:rPr>
  </w:style>
  <w:style w:type="paragraph" w:customStyle="1" w:styleId="38">
    <w:name w:val="Default"/>
    <w:basedOn w:val="39"/>
    <w:next w:val="27"/>
    <w:qForma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39">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character" w:customStyle="1" w:styleId="40">
    <w:name w:val="宏文本 Char"/>
    <w:link w:val="2"/>
    <w:qFormat/>
    <w:uiPriority w:val="0"/>
    <w:rPr>
      <w:rFonts w:ascii="Courier New" w:hAnsi="Courier New" w:cs="Courier New"/>
      <w:kern w:val="2"/>
      <w:sz w:val="24"/>
      <w:szCs w:val="24"/>
    </w:rPr>
  </w:style>
  <w:style w:type="character" w:customStyle="1" w:styleId="41">
    <w:name w:val="标题 2 Char"/>
    <w:link w:val="4"/>
    <w:qFormat/>
    <w:uiPriority w:val="0"/>
    <w:rPr>
      <w:rFonts w:ascii="Calibri Light" w:hAnsi="Calibri Light" w:eastAsia="宋体" w:cs="Times New Roman"/>
      <w:b/>
      <w:bCs/>
      <w:kern w:val="2"/>
      <w:sz w:val="32"/>
      <w:szCs w:val="32"/>
    </w:rPr>
  </w:style>
  <w:style w:type="character" w:customStyle="1" w:styleId="42">
    <w:name w:val="正文缩进 Char"/>
    <w:link w:val="6"/>
    <w:qFormat/>
    <w:uiPriority w:val="0"/>
    <w:rPr>
      <w:kern w:val="2"/>
      <w:sz w:val="24"/>
    </w:rPr>
  </w:style>
  <w:style w:type="character" w:customStyle="1" w:styleId="43">
    <w:name w:val="批注文字 Char"/>
    <w:link w:val="8"/>
    <w:qFormat/>
    <w:locked/>
    <w:uiPriority w:val="0"/>
    <w:rPr>
      <w:rFonts w:ascii="Times New Roman" w:hAnsi="Times New Roman" w:eastAsia="宋体"/>
      <w:sz w:val="24"/>
    </w:rPr>
  </w:style>
  <w:style w:type="character" w:customStyle="1" w:styleId="44">
    <w:name w:val="正文文本 Char"/>
    <w:basedOn w:val="30"/>
    <w:link w:val="9"/>
    <w:qFormat/>
    <w:locked/>
    <w:uiPriority w:val="0"/>
    <w:rPr>
      <w:sz w:val="24"/>
    </w:rPr>
  </w:style>
  <w:style w:type="character" w:customStyle="1" w:styleId="45">
    <w:name w:val="正文文本缩进 Char"/>
    <w:link w:val="10"/>
    <w:semiHidden/>
    <w:qFormat/>
    <w:locked/>
    <w:uiPriority w:val="0"/>
    <w:rPr>
      <w:rFonts w:ascii="Times New Roman" w:hAnsi="Times New Roman" w:eastAsia="宋体"/>
      <w:sz w:val="24"/>
    </w:rPr>
  </w:style>
  <w:style w:type="character" w:customStyle="1" w:styleId="46">
    <w:name w:val="页眉 Char"/>
    <w:basedOn w:val="30"/>
    <w:link w:val="17"/>
    <w:qFormat/>
    <w:locked/>
    <w:uiPriority w:val="99"/>
    <w:rPr>
      <w:sz w:val="18"/>
    </w:rPr>
  </w:style>
  <w:style w:type="character" w:customStyle="1" w:styleId="47">
    <w:name w:val="日期 Char"/>
    <w:link w:val="13"/>
    <w:qFormat/>
    <w:locked/>
    <w:uiPriority w:val="0"/>
    <w:rPr>
      <w:rFonts w:ascii="Times New Roman" w:hAnsi="Times New Roman" w:eastAsia="宋体"/>
      <w:sz w:val="24"/>
    </w:rPr>
  </w:style>
  <w:style w:type="character" w:customStyle="1" w:styleId="48">
    <w:name w:val="批注框文本 Char"/>
    <w:basedOn w:val="30"/>
    <w:link w:val="15"/>
    <w:semiHidden/>
    <w:qFormat/>
    <w:locked/>
    <w:uiPriority w:val="0"/>
    <w:rPr>
      <w:rFonts w:ascii="Times New Roman" w:hAnsi="Times New Roman" w:eastAsia="宋体"/>
      <w:sz w:val="18"/>
    </w:rPr>
  </w:style>
  <w:style w:type="character" w:customStyle="1" w:styleId="49">
    <w:name w:val="页脚 Char"/>
    <w:basedOn w:val="30"/>
    <w:link w:val="16"/>
    <w:qFormat/>
    <w:locked/>
    <w:uiPriority w:val="99"/>
    <w:rPr>
      <w:sz w:val="18"/>
    </w:rPr>
  </w:style>
  <w:style w:type="character" w:customStyle="1" w:styleId="50">
    <w:name w:val="普通(网站) Char"/>
    <w:link w:val="24"/>
    <w:qFormat/>
    <w:locked/>
    <w:uiPriority w:val="0"/>
    <w:rPr>
      <w:rFonts w:ascii="宋体" w:hAnsi="宋体" w:eastAsia="宋体"/>
      <w:sz w:val="24"/>
    </w:rPr>
  </w:style>
  <w:style w:type="character" w:customStyle="1" w:styleId="51">
    <w:name w:val="批注主题 Char"/>
    <w:link w:val="25"/>
    <w:semiHidden/>
    <w:qFormat/>
    <w:locked/>
    <w:uiPriority w:val="0"/>
    <w:rPr>
      <w:rFonts w:ascii="Times New Roman" w:hAnsi="Times New Roman" w:eastAsia="宋体"/>
      <w:b/>
      <w:kern w:val="2"/>
      <w:sz w:val="24"/>
    </w:rPr>
  </w:style>
  <w:style w:type="character" w:customStyle="1" w:styleId="52">
    <w:name w:val="正文首行缩进 2 Char"/>
    <w:link w:val="27"/>
    <w:qFormat/>
    <w:uiPriority w:val="0"/>
    <w:rPr>
      <w:rFonts w:ascii="Times New Roman" w:hAnsi="Times New Roman" w:eastAsia="宋体"/>
      <w:kern w:val="2"/>
      <w:sz w:val="21"/>
      <w:szCs w:val="24"/>
    </w:rPr>
  </w:style>
  <w:style w:type="paragraph" w:customStyle="1" w:styleId="53">
    <w:name w:val="表格内文本-居中"/>
    <w:basedOn w:val="1"/>
    <w:qFormat/>
    <w:uiPriority w:val="0"/>
    <w:pPr>
      <w:spacing w:line="360" w:lineRule="exact"/>
      <w:ind w:firstLine="0" w:firstLineChars="0"/>
      <w:jc w:val="center"/>
    </w:pPr>
    <w:rPr>
      <w:color w:val="auto"/>
      <w:sz w:val="21"/>
    </w:rPr>
  </w:style>
  <w:style w:type="paragraph" w:customStyle="1" w:styleId="54">
    <w:name w:val="表格标题"/>
    <w:basedOn w:val="55"/>
    <w:qFormat/>
    <w:uiPriority w:val="0"/>
    <w:pPr>
      <w:tabs>
        <w:tab w:val="left" w:pos="1260"/>
      </w:tabs>
      <w:spacing w:line="360" w:lineRule="exact"/>
      <w:ind w:firstLine="0" w:firstLineChars="0"/>
      <w:jc w:val="center"/>
    </w:pPr>
    <w:rPr>
      <w:rFonts w:eastAsia="宋体"/>
      <w:bCs/>
      <w:color w:val="auto"/>
      <w:spacing w:val="-6"/>
    </w:rPr>
  </w:style>
  <w:style w:type="paragraph" w:customStyle="1" w:styleId="55">
    <w:name w:val="正文-玉山县业务用房"/>
    <w:basedOn w:val="1"/>
    <w:qFormat/>
    <w:uiPriority w:val="99"/>
    <w:pPr>
      <w:autoSpaceDE w:val="0"/>
      <w:autoSpaceDN w:val="0"/>
      <w:adjustRightInd w:val="0"/>
      <w:ind w:firstLine="560"/>
    </w:pPr>
    <w:rPr>
      <w:rFonts w:eastAsia="宋体" w:cs="Times New Roman"/>
      <w:kern w:val="0"/>
      <w:sz w:val="24"/>
      <w:szCs w:val="28"/>
    </w:rPr>
  </w:style>
  <w:style w:type="paragraph" w:customStyle="1" w:styleId="56">
    <w:name w:val="表格"/>
    <w:basedOn w:val="57"/>
    <w:next w:val="1"/>
    <w:link w:val="58"/>
    <w:qFormat/>
    <w:uiPriority w:val="0"/>
    <w:pPr>
      <w:adjustRightInd w:val="0"/>
      <w:snapToGrid w:val="0"/>
      <w:spacing w:line="360" w:lineRule="exact"/>
      <w:ind w:firstLine="0" w:firstLineChars="0"/>
      <w:jc w:val="center"/>
    </w:pPr>
    <w:rPr>
      <w:kern w:val="0"/>
    </w:rPr>
  </w:style>
  <w:style w:type="paragraph" w:customStyle="1" w:styleId="57">
    <w:name w:val="表格内表格正文"/>
    <w:basedOn w:val="1"/>
    <w:qFormat/>
    <w:uiPriority w:val="0"/>
    <w:pPr>
      <w:spacing w:line="240" w:lineRule="auto"/>
      <w:ind w:firstLine="0"/>
      <w:jc w:val="center"/>
    </w:pPr>
    <w:rPr>
      <w:spacing w:val="0"/>
      <w:sz w:val="21"/>
      <w:szCs w:val="21"/>
    </w:rPr>
  </w:style>
  <w:style w:type="character" w:customStyle="1" w:styleId="58">
    <w:name w:val="表格 Char"/>
    <w:link w:val="56"/>
    <w:qFormat/>
    <w:locked/>
    <w:uiPriority w:val="0"/>
    <w:rPr>
      <w:rFonts w:ascii="Times New Roman" w:hAnsi="Times New Roman" w:eastAsia="宋体"/>
      <w:sz w:val="21"/>
      <w:szCs w:val="21"/>
    </w:rPr>
  </w:style>
  <w:style w:type="paragraph" w:customStyle="1" w:styleId="59">
    <w:name w:val="表标题"/>
    <w:basedOn w:val="60"/>
    <w:next w:val="60"/>
    <w:qFormat/>
    <w:uiPriority w:val="0"/>
    <w:pPr>
      <w:spacing w:line="440" w:lineRule="exact"/>
      <w:ind w:firstLine="0" w:firstLineChars="0"/>
      <w:jc w:val="center"/>
    </w:pPr>
    <w:rPr>
      <w:rFonts w:ascii="Times New Roman" w:hAnsi="Times New Roman" w:eastAsia="宋体" w:cs="Times New Roman"/>
      <w:sz w:val="24"/>
      <w:szCs w:val="24"/>
    </w:rPr>
  </w:style>
  <w:style w:type="paragraph" w:customStyle="1" w:styleId="60">
    <w:name w:val="正文文字"/>
    <w:basedOn w:val="61"/>
    <w:qFormat/>
    <w:uiPriority w:val="99"/>
    <w:pPr>
      <w:spacing w:after="119" w:line="351" w:lineRule="atLeast"/>
      <w:ind w:firstLine="419"/>
      <w:textAlignment w:val="baseline"/>
    </w:pPr>
    <w:rPr>
      <w:color w:val="000000"/>
      <w:kern w:val="0"/>
      <w:szCs w:val="20"/>
      <w:u w:val="none" w:color="000000"/>
    </w:rPr>
  </w:style>
  <w:style w:type="paragraph" w:customStyle="1" w:styleId="61">
    <w:name w:val="正文缩进1"/>
    <w:basedOn w:val="1"/>
    <w:qFormat/>
    <w:uiPriority w:val="0"/>
    <w:pPr>
      <w:ind w:firstLine="420" w:firstLineChars="200"/>
    </w:pPr>
    <w:rPr>
      <w:rFonts w:ascii="Times New Roman" w:hAnsi="Times New Roman" w:eastAsia="仿宋_GB2312" w:cs="Times New Roman"/>
      <w:sz w:val="28"/>
    </w:rPr>
  </w:style>
  <w:style w:type="paragraph" w:customStyle="1" w:styleId="62">
    <w:name w:val="报告正文"/>
    <w:basedOn w:val="1"/>
    <w:link w:val="63"/>
    <w:qFormat/>
    <w:uiPriority w:val="0"/>
    <w:pPr>
      <w:spacing w:line="360" w:lineRule="auto"/>
      <w:ind w:firstLine="480" w:firstLineChars="200"/>
      <w:textAlignment w:val="baseline"/>
    </w:pPr>
    <w:rPr>
      <w:kern w:val="0"/>
      <w:sz w:val="24"/>
      <w:szCs w:val="21"/>
    </w:rPr>
  </w:style>
  <w:style w:type="character" w:customStyle="1" w:styleId="63">
    <w:name w:val="报告正文 Char"/>
    <w:link w:val="62"/>
    <w:qFormat/>
    <w:uiPriority w:val="0"/>
    <w:rPr>
      <w:sz w:val="24"/>
      <w:szCs w:val="21"/>
    </w:rPr>
  </w:style>
  <w:style w:type="paragraph" w:customStyle="1" w:styleId="64">
    <w:name w:val="样式1"/>
    <w:basedOn w:val="21"/>
    <w:qFormat/>
    <w:uiPriority w:val="0"/>
    <w:pPr>
      <w:spacing w:line="360" w:lineRule="auto"/>
      <w:ind w:firstLine="425"/>
    </w:pPr>
    <w:rPr>
      <w:rFonts w:ascii="Times New Roman" w:hAnsi="Times New Roman" w:eastAsia="宋体" w:cs="Times New Roman"/>
      <w:kern w:val="44"/>
    </w:rPr>
  </w:style>
  <w:style w:type="paragraph" w:customStyle="1" w:styleId="65">
    <w:name w:val="Date1"/>
    <w:basedOn w:val="1"/>
    <w:next w:val="1"/>
    <w:qFormat/>
    <w:uiPriority w:val="0"/>
    <w:pPr>
      <w:adjustRightInd w:val="0"/>
      <w:jc w:val="left"/>
      <w:textAlignment w:val="baseline"/>
    </w:pPr>
    <w:rPr>
      <w:rFonts w:ascii="宋体" w:hAnsi="宋体"/>
      <w:szCs w:val="20"/>
    </w:rPr>
  </w:style>
  <w:style w:type="paragraph" w:customStyle="1" w:styleId="66">
    <w:name w:val="Normal_14_0"/>
    <w:qFormat/>
    <w:uiPriority w:val="0"/>
    <w:pPr>
      <w:spacing w:before="120" w:after="240"/>
      <w:jc w:val="both"/>
    </w:pPr>
    <w:rPr>
      <w:rFonts w:ascii="Times New Roman" w:hAnsi="Times New Roman" w:eastAsia="Calibri" w:cs="Times New Roman"/>
      <w:sz w:val="22"/>
      <w:szCs w:val="22"/>
      <w:lang w:val="ru-RU" w:eastAsia="en-US" w:bidi="ar-SA"/>
    </w:rPr>
  </w:style>
  <w:style w:type="paragraph" w:customStyle="1" w:styleId="67">
    <w:name w:val="常用正文样式"/>
    <w:qFormat/>
    <w:uiPriority w:val="0"/>
    <w:pPr>
      <w:widowControl w:val="0"/>
      <w:spacing w:line="360" w:lineRule="auto"/>
      <w:ind w:firstLine="454"/>
      <w:jc w:val="both"/>
    </w:pPr>
    <w:rPr>
      <w:rFonts w:ascii="宋体" w:hAnsi="新宋体" w:eastAsia="仿宋_GB2312" w:cs="宋体"/>
      <w:kern w:val="2"/>
      <w:sz w:val="24"/>
      <w:szCs w:val="24"/>
      <w:lang w:val="en-US" w:eastAsia="zh-CN" w:bidi="ar-SA"/>
    </w:rPr>
  </w:style>
  <w:style w:type="character" w:customStyle="1" w:styleId="68">
    <w:name w:val="页脚 字符"/>
    <w:basedOn w:val="30"/>
    <w:qFormat/>
    <w:uiPriority w:val="99"/>
  </w:style>
  <w:style w:type="character" w:customStyle="1" w:styleId="69">
    <w:name w:val="正文文本 字符1"/>
    <w:semiHidden/>
    <w:qFormat/>
    <w:uiPriority w:val="0"/>
    <w:rPr>
      <w:rFonts w:ascii="Times New Roman" w:hAnsi="Times New Roman" w:eastAsia="宋体"/>
      <w:sz w:val="24"/>
    </w:rPr>
  </w:style>
  <w:style w:type="character" w:customStyle="1" w:styleId="70">
    <w:name w:val="日期 字符"/>
    <w:semiHidden/>
    <w:qFormat/>
    <w:uiPriority w:val="0"/>
    <w:rPr>
      <w:rFonts w:ascii="Times New Roman" w:hAnsi="Times New Roman" w:eastAsia="宋体"/>
      <w:sz w:val="24"/>
    </w:rPr>
  </w:style>
  <w:style w:type="character" w:customStyle="1" w:styleId="71">
    <w:name w:val="批注文字 字符1"/>
    <w:semiHidden/>
    <w:qFormat/>
    <w:uiPriority w:val="0"/>
    <w:rPr>
      <w:rFonts w:ascii="Times New Roman" w:hAnsi="Times New Roman" w:eastAsia="宋体"/>
      <w:sz w:val="24"/>
    </w:rPr>
  </w:style>
  <w:style w:type="paragraph" w:customStyle="1" w:styleId="72">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3">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74">
    <w:name w:val="正文22222222222222222222"/>
    <w:basedOn w:val="1"/>
    <w:link w:val="75"/>
    <w:qFormat/>
    <w:uiPriority w:val="0"/>
    <w:pPr>
      <w:spacing w:line="440" w:lineRule="exact"/>
      <w:ind w:firstLine="200" w:firstLineChars="200"/>
    </w:pPr>
    <w:rPr>
      <w:color w:val="000000"/>
    </w:rPr>
  </w:style>
  <w:style w:type="character" w:customStyle="1" w:styleId="75">
    <w:name w:val="正文22222222222222222222 Char"/>
    <w:link w:val="74"/>
    <w:qFormat/>
    <w:uiPriority w:val="0"/>
    <w:rPr>
      <w:rFonts w:eastAsia="宋体"/>
      <w:color w:val="000000"/>
      <w:kern w:val="2"/>
      <w:sz w:val="24"/>
      <w:szCs w:val="24"/>
    </w:rPr>
  </w:style>
  <w:style w:type="paragraph" w:customStyle="1" w:styleId="76">
    <w:name w:val="表内容"/>
    <w:basedOn w:val="6"/>
    <w:qFormat/>
    <w:uiPriority w:val="0"/>
    <w:pPr>
      <w:spacing w:line="240" w:lineRule="auto"/>
      <w:ind w:firstLine="0"/>
    </w:pPr>
    <w:rPr>
      <w:rFonts w:eastAsia="宋体" w:cs="宋体"/>
      <w:color w:val="000000"/>
      <w:sz w:val="18"/>
    </w:rPr>
  </w:style>
  <w:style w:type="paragraph" w:customStyle="1" w:styleId="77">
    <w:name w:val="图表标题"/>
    <w:basedOn w:val="9"/>
    <w:qFormat/>
    <w:uiPriority w:val="0"/>
    <w:pPr>
      <w:spacing w:line="440" w:lineRule="exact"/>
      <w:ind w:firstLine="0" w:firstLineChars="0"/>
      <w:jc w:val="center"/>
    </w:pPr>
    <w:rPr>
      <w:rFonts w:cs="Times New Roman"/>
      <w:szCs w:val="24"/>
    </w:rPr>
  </w:style>
  <w:style w:type="paragraph" w:customStyle="1" w:styleId="78">
    <w:name w:val="图表标题1111111111111111111111111111"/>
    <w:basedOn w:val="9"/>
    <w:qFormat/>
    <w:uiPriority w:val="0"/>
    <w:pPr>
      <w:spacing w:line="440" w:lineRule="exact"/>
      <w:ind w:firstLine="0" w:firstLineChars="0"/>
      <w:jc w:val="center"/>
    </w:pPr>
    <w:rPr>
      <w:rFonts w:ascii="Times New Roman" w:hAnsi="Times New Roman" w:eastAsia="宋体" w:cs="Times New Roman"/>
      <w:sz w:val="24"/>
      <w:szCs w:val="24"/>
    </w:rPr>
  </w:style>
  <w:style w:type="paragraph" w:customStyle="1" w:styleId="79">
    <w:name w:val="正文文本222222"/>
    <w:qFormat/>
    <w:uiPriority w:val="0"/>
    <w:pPr>
      <w:spacing w:line="440" w:lineRule="exact"/>
      <w:ind w:firstLine="200" w:firstLineChars="200"/>
    </w:pPr>
    <w:rPr>
      <w:rFonts w:ascii="Times New Roman" w:hAnsi="Times New Roman" w:eastAsia="宋体" w:cs="Times New Roman"/>
      <w:sz w:val="24"/>
      <w:szCs w:val="24"/>
      <w:lang w:val="en-US" w:eastAsia="zh-CN" w:bidi="ar-SA"/>
    </w:rPr>
  </w:style>
  <w:style w:type="character" w:customStyle="1" w:styleId="80">
    <w:name w:val="正文1 Char"/>
    <w:link w:val="81"/>
    <w:qFormat/>
    <w:uiPriority w:val="0"/>
    <w:rPr>
      <w:rFonts w:ascii="宋体"/>
      <w:sz w:val="24"/>
    </w:rPr>
  </w:style>
  <w:style w:type="paragraph" w:customStyle="1" w:styleId="81">
    <w:name w:val="正文1"/>
    <w:link w:val="80"/>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character" w:customStyle="1" w:styleId="82">
    <w:name w:val="表格中文字 Char"/>
    <w:link w:val="83"/>
    <w:qFormat/>
    <w:locked/>
    <w:uiPriority w:val="0"/>
    <w:rPr>
      <w:kern w:val="18"/>
      <w:sz w:val="21"/>
      <w:szCs w:val="21"/>
    </w:rPr>
  </w:style>
  <w:style w:type="paragraph" w:customStyle="1" w:styleId="83">
    <w:name w:val="表格中文字"/>
    <w:basedOn w:val="1"/>
    <w:link w:val="82"/>
    <w:qFormat/>
    <w:uiPriority w:val="0"/>
    <w:pPr>
      <w:adjustRightInd w:val="0"/>
      <w:snapToGrid w:val="0"/>
      <w:jc w:val="center"/>
    </w:pPr>
    <w:rPr>
      <w:kern w:val="18"/>
      <w:szCs w:val="21"/>
    </w:rPr>
  </w:style>
  <w:style w:type="paragraph" w:customStyle="1" w:styleId="84">
    <w:name w:val=" Char Char Char Char Char Char"/>
    <w:basedOn w:val="1"/>
    <w:next w:val="2"/>
    <w:qFormat/>
    <w:uiPriority w:val="0"/>
    <w:rPr>
      <w:sz w:val="24"/>
    </w:rPr>
  </w:style>
  <w:style w:type="paragraph" w:customStyle="1" w:styleId="85">
    <w:name w:val="报告书表格"/>
    <w:basedOn w:val="1"/>
    <w:qFormat/>
    <w:uiPriority w:val="0"/>
    <w:pPr>
      <w:adjustRightInd w:val="0"/>
      <w:spacing w:before="60" w:after="60" w:line="240" w:lineRule="atLeast"/>
      <w:jc w:val="center"/>
      <w:textAlignment w:val="baseline"/>
    </w:pPr>
    <w:rPr>
      <w:kern w:val="0"/>
      <w:szCs w:val="20"/>
    </w:rPr>
  </w:style>
  <w:style w:type="character" w:customStyle="1" w:styleId="86">
    <w:name w:val="正文01 Char"/>
    <w:link w:val="87"/>
    <w:qFormat/>
    <w:uiPriority w:val="0"/>
    <w:rPr>
      <w:kern w:val="2"/>
      <w:sz w:val="24"/>
    </w:rPr>
  </w:style>
  <w:style w:type="paragraph" w:customStyle="1" w:styleId="87">
    <w:name w:val="正文01"/>
    <w:basedOn w:val="6"/>
    <w:link w:val="86"/>
    <w:qFormat/>
    <w:uiPriority w:val="0"/>
    <w:pPr>
      <w:ind w:firstLine="480" w:firstLineChars="200"/>
    </w:pPr>
  </w:style>
  <w:style w:type="character" w:customStyle="1" w:styleId="88">
    <w:name w:val="表格001 Char"/>
    <w:link w:val="89"/>
    <w:qFormat/>
    <w:uiPriority w:val="0"/>
    <w:rPr>
      <w:kern w:val="2"/>
      <w:sz w:val="24"/>
    </w:rPr>
  </w:style>
  <w:style w:type="paragraph" w:customStyle="1" w:styleId="89">
    <w:name w:val="表格001"/>
    <w:basedOn w:val="1"/>
    <w:link w:val="88"/>
    <w:qFormat/>
    <w:uiPriority w:val="0"/>
    <w:pPr>
      <w:spacing w:line="560" w:lineRule="exact"/>
      <w:ind w:firstLine="643" w:firstLineChars="200"/>
      <w:jc w:val="center"/>
    </w:pPr>
    <w:rPr>
      <w:sz w:val="24"/>
      <w:szCs w:val="20"/>
    </w:rPr>
  </w:style>
  <w:style w:type="paragraph" w:customStyle="1" w:styleId="90">
    <w:name w:val="D表内1磅"/>
    <w:basedOn w:val="1"/>
    <w:qFormat/>
    <w:uiPriority w:val="0"/>
    <w:pPr>
      <w:spacing w:before="20" w:after="20"/>
      <w:jc w:val="center"/>
    </w:pPr>
    <w:rPr>
      <w:szCs w:val="21"/>
    </w:rPr>
  </w:style>
  <w:style w:type="paragraph" w:customStyle="1" w:styleId="91">
    <w:name w:val="A表内"/>
    <w:basedOn w:val="1"/>
    <w:next w:val="1"/>
    <w:qFormat/>
    <w:uiPriority w:val="0"/>
    <w:pPr>
      <w:spacing w:line="0" w:lineRule="atLeast"/>
      <w:jc w:val="center"/>
    </w:pPr>
    <w:rPr>
      <w:rFonts w:ascii="Calibri" w:hAnsi="Calibri" w:cs="宋体"/>
      <w:szCs w:val="22"/>
    </w:rPr>
  </w:style>
  <w:style w:type="paragraph" w:customStyle="1" w:styleId="92">
    <w:name w:val="文章正文"/>
    <w:basedOn w:val="1"/>
    <w:qFormat/>
    <w:uiPriority w:val="0"/>
    <w:pPr>
      <w:spacing w:line="360" w:lineRule="auto"/>
      <w:ind w:firstLine="200" w:firstLineChars="200"/>
    </w:pPr>
    <w:rPr>
      <w:sz w:val="24"/>
      <w:szCs w:val="22"/>
    </w:rPr>
  </w:style>
  <w:style w:type="paragraph" w:styleId="93">
    <w:name w:val="List Paragraph"/>
    <w:basedOn w:val="1"/>
    <w:link w:val="94"/>
    <w:qFormat/>
    <w:uiPriority w:val="34"/>
    <w:pPr>
      <w:ind w:firstLine="420" w:firstLineChars="200"/>
    </w:pPr>
    <w:rPr>
      <w:rFonts w:ascii="Calibri" w:hAnsi="Calibri"/>
      <w:sz w:val="24"/>
      <w:szCs w:val="22"/>
    </w:rPr>
  </w:style>
  <w:style w:type="character" w:customStyle="1" w:styleId="94">
    <w:name w:val="列出段落 Char"/>
    <w:link w:val="93"/>
    <w:qFormat/>
    <w:uiPriority w:val="34"/>
    <w:rPr>
      <w:rFonts w:ascii="Calibri" w:hAnsi="Calibri"/>
      <w:kern w:val="2"/>
      <w:sz w:val="24"/>
      <w:szCs w:val="22"/>
    </w:rPr>
  </w:style>
  <w:style w:type="paragraph" w:customStyle="1" w:styleId="95">
    <w:name w:val="表格内容自定"/>
    <w:basedOn w:val="1"/>
    <w:semiHidden/>
    <w:qFormat/>
    <w:uiPriority w:val="0"/>
    <w:pPr>
      <w:spacing w:line="280" w:lineRule="exact"/>
      <w:jc w:val="center"/>
    </w:pPr>
    <w:rPr>
      <w:kern w:val="0"/>
      <w:sz w:val="18"/>
      <w:szCs w:val="21"/>
    </w:rPr>
  </w:style>
  <w:style w:type="character" w:customStyle="1" w:styleId="96">
    <w:name w:val="表格正文 Char1"/>
    <w:link w:val="97"/>
    <w:qFormat/>
    <w:uiPriority w:val="0"/>
    <w:rPr>
      <w:rFonts w:ascii="宋体" w:hAnsi="宋体"/>
      <w:snapToGrid/>
      <w:spacing w:val="4"/>
      <w:kern w:val="2"/>
      <w:sz w:val="21"/>
    </w:rPr>
  </w:style>
  <w:style w:type="paragraph" w:customStyle="1" w:styleId="97">
    <w:name w:val="表格正文"/>
    <w:basedOn w:val="1"/>
    <w:next w:val="1"/>
    <w:link w:val="96"/>
    <w:qFormat/>
    <w:uiPriority w:val="0"/>
    <w:pPr>
      <w:adjustRightInd w:val="0"/>
      <w:snapToGrid w:val="0"/>
      <w:jc w:val="center"/>
      <w:textAlignment w:val="baseline"/>
    </w:pPr>
    <w:rPr>
      <w:rFonts w:ascii="宋体" w:hAnsi="宋体"/>
      <w:snapToGrid w:val="0"/>
      <w:spacing w:val="4"/>
      <w:szCs w:val="20"/>
    </w:rPr>
  </w:style>
  <w:style w:type="character" w:customStyle="1" w:styleId="98">
    <w:name w:val="word_break3"/>
    <w:basedOn w:val="30"/>
    <w:qFormat/>
    <w:uiPriority w:val="0"/>
  </w:style>
  <w:style w:type="paragraph" w:customStyle="1" w:styleId="99">
    <w:name w:val="样式 图表标题2222222222222"/>
    <w:qFormat/>
    <w:uiPriority w:val="0"/>
    <w:pPr>
      <w:jc w:val="center"/>
    </w:pPr>
    <w:rPr>
      <w:rFonts w:ascii="黑体" w:hAnsi="黑体" w:eastAsia="黑体" w:cs="宋体"/>
      <w:sz w:val="21"/>
      <w:u w:val="none" w:color="000000"/>
      <w:lang w:val="en-US" w:eastAsia="zh-CN" w:bidi="ar-SA"/>
    </w:rPr>
  </w:style>
  <w:style w:type="paragraph" w:customStyle="1" w:styleId="100">
    <w:name w:val="无样式"/>
    <w:basedOn w:val="1"/>
    <w:link w:val="101"/>
    <w:qFormat/>
    <w:uiPriority w:val="0"/>
    <w:pPr>
      <w:widowControl/>
      <w:adjustRightInd w:val="0"/>
      <w:snapToGrid w:val="0"/>
      <w:spacing w:line="360" w:lineRule="auto"/>
      <w:ind w:firstLine="200" w:firstLineChars="200"/>
    </w:pPr>
    <w:rPr>
      <w:sz w:val="24"/>
      <w:szCs w:val="22"/>
    </w:rPr>
  </w:style>
  <w:style w:type="character" w:customStyle="1" w:styleId="101">
    <w:name w:val="无样式 字符"/>
    <w:link w:val="100"/>
    <w:qFormat/>
    <w:uiPriority w:val="0"/>
    <w:rPr>
      <w:kern w:val="2"/>
      <w:sz w:val="24"/>
      <w:szCs w:val="22"/>
    </w:rPr>
  </w:style>
  <w:style w:type="character" w:customStyle="1" w:styleId="102">
    <w:name w:val="font11"/>
    <w:basedOn w:val="30"/>
    <w:qFormat/>
    <w:uiPriority w:val="0"/>
    <w:rPr>
      <w:rFonts w:hint="eastAsia" w:ascii="宋体" w:hAnsi="宋体" w:eastAsia="宋体" w:cs="宋体"/>
      <w:color w:val="000000"/>
      <w:sz w:val="18"/>
      <w:szCs w:val="18"/>
      <w:u w:val="none"/>
    </w:rPr>
  </w:style>
  <w:style w:type="character" w:customStyle="1" w:styleId="103">
    <w:name w:val="font01"/>
    <w:basedOn w:val="30"/>
    <w:qFormat/>
    <w:uiPriority w:val="0"/>
    <w:rPr>
      <w:rFonts w:hint="default" w:ascii="Times New Roman" w:hAnsi="Times New Roman" w:cs="Times New Roman"/>
      <w:color w:val="000000"/>
      <w:sz w:val="18"/>
      <w:szCs w:val="18"/>
      <w:u w:val="none"/>
    </w:rPr>
  </w:style>
  <w:style w:type="paragraph" w:customStyle="1" w:styleId="104">
    <w:name w:val="表格文本（KH）"/>
    <w:basedOn w:val="83"/>
    <w:qFormat/>
    <w:uiPriority w:val="0"/>
    <w:pPr>
      <w:widowControl w:val="0"/>
      <w:textAlignment w:val="center"/>
    </w:pPr>
  </w:style>
  <w:style w:type="paragraph" w:styleId="105">
    <w:name w:val="No Spacing"/>
    <w:qFormat/>
    <w:uiPriority w:val="0"/>
    <w:pPr>
      <w:numPr>
        <w:ilvl w:val="5"/>
        <w:numId w:val="1"/>
      </w:numPr>
      <w:jc w:val="center"/>
    </w:pPr>
    <w:rPr>
      <w:rFonts w:ascii="Times New Roman" w:hAnsi="Times New Roman" w:eastAsia="宋体" w:cs="Times New Roman"/>
      <w:b/>
      <w:sz w:val="24"/>
      <w:szCs w:val="22"/>
      <w:lang w:val="en-US" w:eastAsia="zh-CN" w:bidi="ar-SA"/>
    </w:rPr>
  </w:style>
  <w:style w:type="paragraph" w:customStyle="1" w:styleId="106">
    <w:name w:val="表格内"/>
    <w:basedOn w:val="1"/>
    <w:qFormat/>
    <w:uiPriority w:val="0"/>
    <w:pPr>
      <w:ind w:firstLine="0" w:firstLineChars="0"/>
      <w:jc w:val="center"/>
    </w:pPr>
    <w:rPr>
      <w:bCs/>
      <w:sz w:val="20"/>
      <w:szCs w:val="21"/>
    </w:rPr>
  </w:style>
  <w:style w:type="paragraph" w:customStyle="1" w:styleId="107">
    <w:name w:val="05F凡式正文"/>
    <w:basedOn w:val="1"/>
    <w:qFormat/>
    <w:uiPriority w:val="0"/>
    <w:pPr>
      <w:spacing w:line="360" w:lineRule="auto"/>
      <w:ind w:firstLine="720" w:firstLineChars="200"/>
    </w:pPr>
    <w:rPr>
      <w:kern w:val="0"/>
      <w:sz w:val="24"/>
      <w:szCs w:val="20"/>
    </w:rPr>
  </w:style>
  <w:style w:type="paragraph" w:customStyle="1" w:styleId="108">
    <w:name w:val="表格内文字"/>
    <w:basedOn w:val="37"/>
    <w:qFormat/>
    <w:uiPriority w:val="0"/>
    <w:pPr>
      <w:snapToGrid w:val="0"/>
    </w:pPr>
    <w:rPr>
      <w:b w:val="0"/>
      <w:sz w:val="21"/>
    </w:rPr>
  </w:style>
  <w:style w:type="paragraph" w:customStyle="1" w:styleId="109">
    <w:name w:val="D表内"/>
    <w:basedOn w:val="110"/>
    <w:next w:val="1"/>
    <w:qFormat/>
    <w:uiPriority w:val="0"/>
    <w:pPr>
      <w:widowControl w:val="0"/>
      <w:snapToGrid w:val="0"/>
      <w:spacing w:before="0" w:after="0"/>
      <w:ind w:firstLine="0" w:firstLineChars="0"/>
    </w:pPr>
    <w:rPr>
      <w:rFonts w:ascii="Times New Roman" w:hAnsi="Times New Roman" w:eastAsia="宋体" w:cs="Times New Roman"/>
      <w:szCs w:val="18"/>
    </w:rPr>
  </w:style>
  <w:style w:type="paragraph" w:customStyle="1" w:styleId="110">
    <w:name w:val="图表"/>
    <w:basedOn w:val="1"/>
    <w:qFormat/>
    <w:uiPriority w:val="0"/>
    <w:pPr>
      <w:spacing w:before="120" w:after="120" w:line="240" w:lineRule="auto"/>
      <w:ind w:firstLine="200" w:firstLineChars="200"/>
      <w:jc w:val="center"/>
    </w:pPr>
    <w:rPr>
      <w:rFonts w:ascii="Times New Roman" w:hAnsi="Times New Roman" w:eastAsia="宋体" w:cs="Times New Roman"/>
      <w:color w:val="000000"/>
      <w:kern w:val="2"/>
      <w:sz w:val="21"/>
      <w:szCs w:val="21"/>
    </w:rPr>
  </w:style>
  <w:style w:type="paragraph" w:customStyle="1" w:styleId="111">
    <w:name w:val="【】表头"/>
    <w:basedOn w:val="1"/>
    <w:next w:val="91"/>
    <w:qFormat/>
    <w:uiPriority w:val="0"/>
    <w:pPr>
      <w:numPr>
        <w:ilvl w:val="5"/>
        <w:numId w:val="2"/>
      </w:numPr>
      <w:adjustRightInd w:val="0"/>
      <w:snapToGrid w:val="0"/>
      <w:spacing w:line="440" w:lineRule="exact"/>
      <w:ind w:left="0" w:firstLineChars="0"/>
      <w:jc w:val="center"/>
      <w:outlineLvl w:val="9"/>
    </w:pPr>
    <w:rPr>
      <w:rFonts w:ascii="Times New Roman" w:hAnsi="Times New Roman" w:eastAsia="宋体"/>
      <w:b/>
    </w:rPr>
  </w:style>
  <w:style w:type="paragraph" w:customStyle="1" w:styleId="112">
    <w:name w:val="六表内容"/>
    <w:basedOn w:val="1"/>
    <w:qFormat/>
    <w:uiPriority w:val="0"/>
    <w:pPr>
      <w:spacing w:line="340" w:lineRule="exact"/>
      <w:jc w:val="center"/>
    </w:pPr>
    <w:rPr>
      <w:rFonts w:ascii="Calibri" w:hAnsi="Calibri"/>
      <w:szCs w:val="21"/>
    </w:rPr>
  </w:style>
  <w:style w:type="table" w:customStyle="1" w:styleId="113">
    <w:name w:val="Table Normal"/>
    <w:unhideWhenUsed/>
    <w:qFormat/>
    <w:uiPriority w:val="0"/>
    <w:tblPr>
      <w:tblCellMar>
        <w:top w:w="0" w:type="dxa"/>
        <w:left w:w="0" w:type="dxa"/>
        <w:bottom w:w="0" w:type="dxa"/>
        <w:right w:w="0" w:type="dxa"/>
      </w:tblCellMar>
    </w:tblPr>
  </w:style>
  <w:style w:type="paragraph" w:customStyle="1" w:styleId="114">
    <w:name w:val="Table Paragraph"/>
    <w:basedOn w:val="1"/>
    <w:qFormat/>
    <w:uiPriority w:val="1"/>
    <w:rPr>
      <w:rFonts w:ascii="宋体" w:hAnsi="宋体" w:eastAsia="宋体" w:cs="宋体"/>
      <w:lang w:val="en-US" w:eastAsia="zh-CN" w:bidi="ar-SA"/>
    </w:rPr>
  </w:style>
  <w:style w:type="paragraph" w:customStyle="1" w:styleId="115">
    <w:name w:val="环评正文"/>
    <w:basedOn w:val="1"/>
    <w:qFormat/>
    <w:uiPriority w:val="0"/>
    <w:pPr>
      <w:spacing w:line="360" w:lineRule="auto"/>
    </w:pPr>
    <w:rPr>
      <w:rFonts w:ascii="宋体" w:hAnsi="宋体" w:cs="宋体"/>
    </w:rPr>
  </w:style>
  <w:style w:type="paragraph" w:customStyle="1" w:styleId="116">
    <w:name w:val="标题1.1"/>
    <w:basedOn w:val="1"/>
    <w:unhideWhenUsed/>
    <w:qFormat/>
    <w:uiPriority w:val="0"/>
    <w:pPr>
      <w:adjustRightInd w:val="0"/>
      <w:snapToGrid w:val="0"/>
      <w:spacing w:beforeLines="0" w:afterLines="0" w:line="360" w:lineRule="auto"/>
      <w:jc w:val="left"/>
    </w:pPr>
    <w:rPr>
      <w:rFonts w:hint="eastAsia"/>
      <w:color w:val="000000"/>
      <w:sz w:val="24"/>
      <w:szCs w:val="24"/>
    </w:rPr>
  </w:style>
  <w:style w:type="paragraph" w:customStyle="1" w:styleId="117">
    <w:name w:val="样式 标题 2 + 三号1"/>
    <w:basedOn w:val="4"/>
    <w:next w:val="1"/>
    <w:unhideWhenUsed/>
    <w:qFormat/>
    <w:uiPriority w:val="99"/>
    <w:pPr>
      <w:keepLines w:val="0"/>
      <w:numPr>
        <w:ilvl w:val="1"/>
        <w:numId w:val="3"/>
      </w:numPr>
      <w:tabs>
        <w:tab w:val="left" w:pos="718"/>
      </w:tabs>
      <w:spacing w:beforeLines="0" w:afterLines="0" w:line="480" w:lineRule="auto"/>
      <w:ind w:left="718" w:hanging="576"/>
      <w:jc w:val="left"/>
    </w:pPr>
    <w:rPr>
      <w:rFonts w:hint="eastAsia" w:ascii="宋体" w:hAnsi="宋体" w:eastAsia="宋体"/>
      <w:kern w:val="0"/>
      <w:sz w:val="32"/>
      <w:szCs w:val="32"/>
    </w:rPr>
  </w:style>
  <w:style w:type="paragraph" w:customStyle="1" w:styleId="118">
    <w:name w:val="xl26"/>
    <w:basedOn w:val="1"/>
    <w:unhideWhenUsed/>
    <w:qFormat/>
    <w:uiPriority w:val="0"/>
    <w:pPr>
      <w:widowControl/>
      <w:pBdr>
        <w:left w:val="single" w:color="auto" w:sz="4" w:space="0"/>
        <w:bottom w:val="single" w:color="auto" w:sz="4" w:space="0"/>
        <w:right w:val="single" w:color="auto" w:sz="4" w:space="0"/>
      </w:pBdr>
      <w:spacing w:before="100" w:beforeLines="0" w:beforeAutospacing="1" w:after="100" w:afterLines="0" w:afterAutospacing="1"/>
      <w:jc w:val="center"/>
    </w:pPr>
    <w:rPr>
      <w:rFonts w:hint="eastAsia" w:ascii="宋体" w:hAnsi="宋体"/>
      <w:kern w:val="0"/>
      <w:sz w:val="21"/>
      <w:szCs w:val="21"/>
    </w:rPr>
  </w:style>
  <w:style w:type="paragraph" w:customStyle="1" w:styleId="119">
    <w:name w:val="ZH表格内字体"/>
    <w:basedOn w:val="1"/>
    <w:autoRedefine/>
    <w:qFormat/>
    <w:uiPriority w:val="0"/>
    <w:pPr>
      <w:spacing w:line="360" w:lineRule="exact"/>
      <w:jc w:val="center"/>
    </w:pPr>
    <w:rPr>
      <w:rFonts w:ascii="Times New Roman" w:hAnsi="Times New Roman" w:eastAsia="宋体"/>
      <w:sz w:val="21"/>
      <w:szCs w:val="21"/>
    </w:rPr>
  </w:style>
  <w:style w:type="paragraph" w:customStyle="1" w:styleId="120">
    <w:name w:val="正本文字"/>
    <w:basedOn w:val="1"/>
    <w:autoRedefine/>
    <w:qFormat/>
    <w:uiPriority w:val="0"/>
    <w:pPr>
      <w:adjustRightInd w:val="0"/>
      <w:snapToGrid w:val="0"/>
      <w:spacing w:line="360" w:lineRule="auto"/>
      <w:ind w:firstLine="200" w:firstLineChars="200"/>
      <w:jc w:val="left"/>
    </w:pPr>
    <w:rPr>
      <w:rFonts w:cs="宋体"/>
      <w:kern w:val="18"/>
      <w:sz w:val="24"/>
    </w:rPr>
  </w:style>
  <w:style w:type="paragraph" w:customStyle="1" w:styleId="121">
    <w:name w:val="0正文"/>
    <w:basedOn w:val="122"/>
    <w:autoRedefine/>
    <w:qFormat/>
    <w:uiPriority w:val="0"/>
    <w:pPr>
      <w:ind w:firstLine="480"/>
    </w:pPr>
  </w:style>
  <w:style w:type="paragraph" w:customStyle="1" w:styleId="122">
    <w:name w:val="B正文"/>
    <w:basedOn w:val="1"/>
    <w:autoRedefine/>
    <w:qFormat/>
    <w:uiPriority w:val="0"/>
    <w:pPr>
      <w:spacing w:line="360" w:lineRule="auto"/>
      <w:ind w:firstLine="200" w:firstLineChars="200"/>
    </w:pPr>
    <w:rPr>
      <w:kern w:val="0"/>
      <w:sz w:val="24"/>
    </w:rPr>
  </w:style>
  <w:style w:type="paragraph" w:customStyle="1" w:styleId="123">
    <w:name w:val="ZH表头"/>
    <w:basedOn w:val="1"/>
    <w:qFormat/>
    <w:uiPriority w:val="0"/>
    <w:pPr>
      <w:spacing w:beforeLines="50" w:line="360" w:lineRule="auto"/>
      <w:jc w:val="center"/>
    </w:pPr>
    <w:rPr>
      <w:b/>
    </w:rPr>
  </w:style>
  <w:style w:type="character" w:customStyle="1" w:styleId="124">
    <w:name w:val="标题 1 Char"/>
    <w:link w:val="3"/>
    <w:qFormat/>
    <w:uiPriority w:val="9"/>
    <w:rPr>
      <w:rFonts w:eastAsia="黑体"/>
      <w:b/>
      <w:bCs/>
      <w:color w:val="000000"/>
      <w:kern w:val="44"/>
      <w:sz w:val="30"/>
      <w:szCs w:val="30"/>
    </w:rPr>
  </w:style>
  <w:style w:type="paragraph" w:customStyle="1" w:styleId="125">
    <w:name w:val="默认段落字体 Para Char Char Char Char"/>
    <w:basedOn w:val="1"/>
    <w:qFormat/>
    <w:uiPriority w:val="0"/>
    <w:rPr>
      <w:sz w:val="24"/>
    </w:rPr>
  </w:style>
  <w:style w:type="character" w:customStyle="1" w:styleId="126">
    <w:name w:val="正文文本 (2) Exact"/>
    <w:basedOn w:val="127"/>
    <w:unhideWhenUsed/>
    <w:qFormat/>
    <w:uiPriority w:val="99"/>
    <w:rPr>
      <w:rFonts w:hint="eastAsia"/>
      <w:sz w:val="34"/>
    </w:rPr>
  </w:style>
  <w:style w:type="character" w:customStyle="1" w:styleId="127">
    <w:name w:val="正文文本 (2)_"/>
    <w:basedOn w:val="30"/>
    <w:link w:val="128"/>
    <w:unhideWhenUsed/>
    <w:qFormat/>
    <w:uiPriority w:val="99"/>
    <w:rPr>
      <w:rFonts w:ascii="宋体" w:eastAsia="宋体" w:cs="宋体"/>
      <w:color w:val="auto"/>
      <w:sz w:val="22"/>
      <w:szCs w:val="22"/>
      <w:lang w:val="en-US"/>
    </w:rPr>
  </w:style>
  <w:style w:type="paragraph" w:customStyle="1" w:styleId="128">
    <w:name w:val="正文文本 (2)1"/>
    <w:basedOn w:val="1"/>
    <w:link w:val="127"/>
    <w:qFormat/>
    <w:uiPriority w:val="0"/>
    <w:pPr>
      <w:shd w:val="clear" w:color="auto" w:fill="FFFFFF"/>
      <w:spacing w:after="660" w:line="395" w:lineRule="exact"/>
      <w:ind w:hanging="260"/>
      <w:jc w:val="distribute"/>
    </w:pPr>
    <w:rPr>
      <w:rFonts w:ascii="宋体" w:eastAsia="宋体" w:cs="宋体"/>
      <w:color w:val="auto"/>
      <w:sz w:val="22"/>
      <w:szCs w:val="22"/>
      <w:lang w:val="en-US"/>
    </w:rPr>
  </w:style>
  <w:style w:type="paragraph" w:customStyle="1" w:styleId="129">
    <w:name w:val="!!!11"/>
    <w:basedOn w:val="1"/>
    <w:link w:val="130"/>
    <w:qFormat/>
    <w:uiPriority w:val="0"/>
    <w:pPr>
      <w:jc w:val="both"/>
    </w:pPr>
    <w:rPr>
      <w:rFonts w:ascii="Times New Roman" w:hAnsi="Times New Roman" w:eastAsia="宋体" w:cs="Times New Roman"/>
      <w:bCs/>
      <w:color w:val="auto"/>
    </w:rPr>
  </w:style>
  <w:style w:type="character" w:customStyle="1" w:styleId="130">
    <w:name w:val="!!!11 Char"/>
    <w:link w:val="129"/>
    <w:qFormat/>
    <w:uiPriority w:val="0"/>
    <w:rPr>
      <w:rFonts w:ascii="Times New Roman" w:hAnsi="Times New Roman" w:eastAsia="宋体" w:cs="Times New Roman"/>
      <w:bCs/>
      <w:color w:val="auto"/>
    </w:rPr>
  </w:style>
  <w:style w:type="paragraph" w:customStyle="1" w:styleId="131">
    <w:name w:val="样式7"/>
    <w:basedOn w:val="54"/>
    <w:qFormat/>
    <w:uiPriority w:val="0"/>
    <w:pPr>
      <w:numPr>
        <w:ilvl w:val="0"/>
        <w:numId w:val="4"/>
      </w:numPr>
      <w:spacing w:line="240" w:lineRule="auto"/>
      <w:ind w:firstLine="0"/>
    </w:pPr>
    <w:rPr>
      <w:rFonts w:ascii="Times New Roman" w:hAnsi="Times New Roman" w:eastAsia="宋体"/>
      <w:b/>
      <w:sz w:val="24"/>
    </w:rPr>
  </w:style>
  <w:style w:type="paragraph" w:customStyle="1" w:styleId="132">
    <w:name w:val="1111表格文字"/>
    <w:basedOn w:val="133"/>
    <w:qFormat/>
    <w:uiPriority w:val="0"/>
    <w:rPr>
      <w:rFonts w:ascii="Times New Roman" w:hAnsi="Times New Roman" w:eastAsia="宋体"/>
    </w:rPr>
  </w:style>
  <w:style w:type="paragraph" w:customStyle="1" w:styleId="133">
    <w:name w:val="D图表"/>
    <w:basedOn w:val="110"/>
    <w:autoRedefine/>
    <w:qFormat/>
    <w:uiPriority w:val="0"/>
    <w:pPr>
      <w:adjustRightInd w:val="0"/>
      <w:snapToGrid w:val="0"/>
      <w:spacing w:after="0" w:line="240" w:lineRule="auto"/>
    </w:pPr>
    <w:rPr>
      <w:rFonts w:ascii="Times New Roman" w:hAnsi="Times New Roman" w:eastAsia="宋体"/>
    </w:rPr>
  </w:style>
  <w:style w:type="paragraph" w:customStyle="1" w:styleId="134">
    <w:name w:val="表格2025.4.30"/>
    <w:basedOn w:val="135"/>
    <w:autoRedefine/>
    <w:qFormat/>
    <w:uiPriority w:val="0"/>
    <w:pPr>
      <w:spacing w:line="240" w:lineRule="auto"/>
      <w:ind w:firstLine="0" w:firstLineChars="0"/>
      <w:jc w:val="center"/>
    </w:pPr>
    <w:rPr>
      <w:b w:val="0"/>
      <w:color w:val="FF0000"/>
      <w:sz w:val="21"/>
    </w:rPr>
  </w:style>
  <w:style w:type="paragraph" w:customStyle="1" w:styleId="135">
    <w:name w:val="标题一"/>
    <w:basedOn w:val="1"/>
    <w:autoRedefine/>
    <w:qFormat/>
    <w:uiPriority w:val="0"/>
    <w:pPr>
      <w:spacing w:line="360" w:lineRule="auto"/>
      <w:ind w:firstLine="200" w:firstLineChars="200"/>
      <w:outlineLvl w:val="0"/>
    </w:pPr>
    <w:rPr>
      <w:b/>
      <w:sz w:val="24"/>
    </w:rPr>
  </w:style>
  <w:style w:type="paragraph" w:customStyle="1" w:styleId="136">
    <w:name w:val="正文  2025.4.30"/>
    <w:basedOn w:val="1"/>
    <w:autoRedefine/>
    <w:qFormat/>
    <w:uiPriority w:val="0"/>
    <w:pPr>
      <w:adjustRightInd w:val="0"/>
      <w:snapToGrid w:val="0"/>
      <w:spacing w:line="360" w:lineRule="auto"/>
      <w:ind w:firstLine="480" w:firstLineChars="200"/>
    </w:pPr>
    <w:rPr>
      <w:color w:val="EE0000"/>
      <w:sz w:val="24"/>
    </w:rPr>
  </w:style>
  <w:style w:type="paragraph" w:customStyle="1" w:styleId="137">
    <w:name w:val="正文样式2"/>
    <w:basedOn w:val="1"/>
    <w:autoRedefine/>
    <w:qFormat/>
    <w:uiPriority w:val="0"/>
    <w:pPr>
      <w:spacing w:line="360" w:lineRule="auto"/>
      <w:ind w:firstLine="480" w:firstLineChars="200"/>
    </w:pPr>
    <w:rPr>
      <w:color w:val="000000"/>
      <w:sz w:val="24"/>
    </w:rPr>
  </w:style>
  <w:style w:type="paragraph" w:customStyle="1" w:styleId="138">
    <w:name w:val="表格格式"/>
    <w:basedOn w:val="3"/>
    <w:autoRedefine/>
    <w:qFormat/>
    <w:uiPriority w:val="0"/>
    <w:pPr>
      <w:spacing w:before="0" w:after="0" w:line="360" w:lineRule="auto"/>
      <w:jc w:val="center"/>
      <w:outlineLvl w:val="9"/>
    </w:pPr>
    <w:rPr>
      <w:rFonts w:eastAsia="宋体"/>
      <w:color w:val="auto"/>
      <w:sz w:val="24"/>
      <w:szCs w:val="20"/>
    </w:rPr>
  </w:style>
  <w:style w:type="paragraph" w:customStyle="1" w:styleId="139">
    <w:name w:val="Table Text"/>
    <w:basedOn w:val="1"/>
    <w:semiHidden/>
    <w:qFormat/>
    <w:uiPriority w:val="0"/>
    <w:rPr>
      <w:rFonts w:ascii="宋体" w:hAnsi="宋体" w:eastAsia="宋体" w:cs="宋体"/>
      <w:sz w:val="24"/>
      <w:szCs w:val="24"/>
      <w:lang w:val="en-US" w:eastAsia="en-US" w:bidi="ar-SA"/>
    </w:rPr>
  </w:style>
  <w:style w:type="paragraph" w:customStyle="1" w:styleId="140">
    <w:name w:val="！表格内容"/>
    <w:basedOn w:val="1"/>
    <w:next w:val="1"/>
    <w:qFormat/>
    <w:uiPriority w:val="0"/>
    <w:pPr>
      <w:kinsoku w:val="0"/>
      <w:overflowPunct w:val="0"/>
      <w:adjustRightInd/>
      <w:snapToGrid/>
      <w:spacing w:line="240" w:lineRule="auto"/>
      <w:ind w:firstLine="0" w:firstLineChars="0"/>
      <w:jc w:val="center"/>
    </w:pPr>
    <w:rPr>
      <w:snapToGrid w:val="0"/>
      <w:kern w:val="0"/>
      <w:sz w:val="21"/>
      <w:szCs w:val="21"/>
    </w:rPr>
  </w:style>
  <w:style w:type="paragraph" w:customStyle="1" w:styleId="141">
    <w:name w:val="【】正文"/>
    <w:basedOn w:val="142"/>
    <w:qFormat/>
    <w:uiPriority w:val="0"/>
    <w:pPr>
      <w:adjustRightInd w:val="0"/>
      <w:snapToGrid w:val="0"/>
      <w:spacing w:line="360" w:lineRule="auto"/>
    </w:pPr>
    <w:rPr>
      <w:rFonts w:ascii="Times New Roman" w:hAnsi="Times New Roman" w:eastAsia="宋体"/>
      <w:snapToGrid w:val="0"/>
      <w:kern w:val="0"/>
      <w:szCs w:val="24"/>
      <w:lang w:val="en-US"/>
    </w:rPr>
  </w:style>
  <w:style w:type="paragraph" w:customStyle="1" w:styleId="142">
    <w:name w:val="A0正文"/>
    <w:basedOn w:val="1"/>
    <w:qFormat/>
    <w:uiPriority w:val="0"/>
    <w:pPr>
      <w:adjustRightInd/>
      <w:snapToGrid/>
      <w:spacing w:line="560" w:lineRule="exact"/>
      <w:ind w:firstLine="200"/>
    </w:pPr>
    <w:rPr>
      <w:rFonts w:cs="宋体"/>
      <w:szCs w:val="20"/>
      <w:lang w:val="zh-CN"/>
    </w:rPr>
  </w:style>
  <w:style w:type="paragraph" w:customStyle="1" w:styleId="143">
    <w:name w:val="样式9"/>
    <w:basedOn w:val="1"/>
    <w:next w:val="1"/>
    <w:qFormat/>
    <w:uiPriority w:val="0"/>
    <w:pPr>
      <w:numPr>
        <w:ilvl w:val="0"/>
        <w:numId w:val="5"/>
      </w:numPr>
      <w:adjustRightInd w:val="0"/>
      <w:snapToGrid w:val="0"/>
      <w:spacing w:line="240" w:lineRule="auto"/>
      <w:ind w:firstLine="0" w:firstLineChars="0"/>
      <w:jc w:val="center"/>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8" Type="http://schemas.openxmlformats.org/officeDocument/2006/relationships/fontTable" Target="fontTable.xml"/><Relationship Id="rId67" Type="http://schemas.microsoft.com/office/2006/relationships/keyMapCustomizations" Target="customizations.xml"/><Relationship Id="rId66" Type="http://schemas.openxmlformats.org/officeDocument/2006/relationships/customXml" Target="../customXml/item2.xml"/><Relationship Id="rId65" Type="http://schemas.openxmlformats.org/officeDocument/2006/relationships/numbering" Target="numbering.xml"/><Relationship Id="rId64" Type="http://schemas.openxmlformats.org/officeDocument/2006/relationships/customXml" Target="../customXml/item1.xml"/><Relationship Id="rId63" Type="http://schemas.openxmlformats.org/officeDocument/2006/relationships/image" Target="media/image33.png"/><Relationship Id="rId62" Type="http://schemas.openxmlformats.org/officeDocument/2006/relationships/image" Target="media/image32.wmf"/><Relationship Id="rId61" Type="http://schemas.openxmlformats.org/officeDocument/2006/relationships/oleObject" Target="embeddings/oleObject22.bin"/><Relationship Id="rId60" Type="http://schemas.openxmlformats.org/officeDocument/2006/relationships/image" Target="media/image31.png"/><Relationship Id="rId6" Type="http://schemas.openxmlformats.org/officeDocument/2006/relationships/footer" Target="footer2.xml"/><Relationship Id="rId59" Type="http://schemas.openxmlformats.org/officeDocument/2006/relationships/image" Target="media/image30.wmf"/><Relationship Id="rId58" Type="http://schemas.openxmlformats.org/officeDocument/2006/relationships/oleObject" Target="embeddings/oleObject21.bin"/><Relationship Id="rId57" Type="http://schemas.openxmlformats.org/officeDocument/2006/relationships/image" Target="media/image29.wmf"/><Relationship Id="rId56" Type="http://schemas.openxmlformats.org/officeDocument/2006/relationships/oleObject" Target="embeddings/oleObject20.bin"/><Relationship Id="rId55" Type="http://schemas.openxmlformats.org/officeDocument/2006/relationships/image" Target="media/image28.wmf"/><Relationship Id="rId54" Type="http://schemas.openxmlformats.org/officeDocument/2006/relationships/oleObject" Target="embeddings/oleObject19.bin"/><Relationship Id="rId53" Type="http://schemas.openxmlformats.org/officeDocument/2006/relationships/oleObject" Target="embeddings/oleObject18.bin"/><Relationship Id="rId52" Type="http://schemas.openxmlformats.org/officeDocument/2006/relationships/image" Target="media/image27.wmf"/><Relationship Id="rId51" Type="http://schemas.openxmlformats.org/officeDocument/2006/relationships/oleObject" Target="embeddings/oleObject17.bin"/><Relationship Id="rId50" Type="http://schemas.openxmlformats.org/officeDocument/2006/relationships/oleObject" Target="embeddings/oleObject16.bin"/><Relationship Id="rId5" Type="http://schemas.openxmlformats.org/officeDocument/2006/relationships/footer" Target="footer1.xml"/><Relationship Id="rId49" Type="http://schemas.openxmlformats.org/officeDocument/2006/relationships/image" Target="media/image26.wmf"/><Relationship Id="rId48" Type="http://schemas.openxmlformats.org/officeDocument/2006/relationships/oleObject" Target="embeddings/oleObject15.bin"/><Relationship Id="rId47" Type="http://schemas.openxmlformats.org/officeDocument/2006/relationships/oleObject" Target="embeddings/oleObject14.bin"/><Relationship Id="rId46" Type="http://schemas.openxmlformats.org/officeDocument/2006/relationships/image" Target="media/image25.wmf"/><Relationship Id="rId45" Type="http://schemas.openxmlformats.org/officeDocument/2006/relationships/oleObject" Target="embeddings/oleObject13.bin"/><Relationship Id="rId44" Type="http://schemas.openxmlformats.org/officeDocument/2006/relationships/image" Target="media/image24.wmf"/><Relationship Id="rId43" Type="http://schemas.openxmlformats.org/officeDocument/2006/relationships/oleObject" Target="embeddings/oleObject12.bin"/><Relationship Id="rId42" Type="http://schemas.openxmlformats.org/officeDocument/2006/relationships/oleObject" Target="embeddings/oleObject11.bin"/><Relationship Id="rId41" Type="http://schemas.openxmlformats.org/officeDocument/2006/relationships/image" Target="media/image23.wmf"/><Relationship Id="rId40" Type="http://schemas.openxmlformats.org/officeDocument/2006/relationships/oleObject" Target="embeddings/oleObject10.bin"/><Relationship Id="rId4" Type="http://schemas.openxmlformats.org/officeDocument/2006/relationships/endnotes" Target="endnotes.xml"/><Relationship Id="rId39" Type="http://schemas.openxmlformats.org/officeDocument/2006/relationships/image" Target="media/image22.wmf"/><Relationship Id="rId38" Type="http://schemas.openxmlformats.org/officeDocument/2006/relationships/oleObject" Target="embeddings/oleObject9.bin"/><Relationship Id="rId37" Type="http://schemas.openxmlformats.org/officeDocument/2006/relationships/oleObject" Target="embeddings/oleObject8.bin"/><Relationship Id="rId36" Type="http://schemas.openxmlformats.org/officeDocument/2006/relationships/image" Target="media/image21.wmf"/><Relationship Id="rId35" Type="http://schemas.openxmlformats.org/officeDocument/2006/relationships/oleObject" Target="embeddings/oleObject7.bin"/><Relationship Id="rId34" Type="http://schemas.openxmlformats.org/officeDocument/2006/relationships/image" Target="media/image20.wmf"/><Relationship Id="rId33" Type="http://schemas.openxmlformats.org/officeDocument/2006/relationships/oleObject" Target="embeddings/oleObject6.bin"/><Relationship Id="rId32" Type="http://schemas.openxmlformats.org/officeDocument/2006/relationships/image" Target="media/image19.wmf"/><Relationship Id="rId31" Type="http://schemas.openxmlformats.org/officeDocument/2006/relationships/oleObject" Target="embeddings/oleObject5.bin"/><Relationship Id="rId30" Type="http://schemas.openxmlformats.org/officeDocument/2006/relationships/image" Target="media/image18.wmf"/><Relationship Id="rId3" Type="http://schemas.openxmlformats.org/officeDocument/2006/relationships/footnotes" Target="footnotes.xml"/><Relationship Id="rId29" Type="http://schemas.openxmlformats.org/officeDocument/2006/relationships/oleObject" Target="embeddings/oleObject4.bin"/><Relationship Id="rId28" Type="http://schemas.openxmlformats.org/officeDocument/2006/relationships/image" Target="media/image17.wmf"/><Relationship Id="rId27" Type="http://schemas.openxmlformats.org/officeDocument/2006/relationships/oleObject" Target="embeddings/oleObject3.bin"/><Relationship Id="rId26" Type="http://schemas.openxmlformats.org/officeDocument/2006/relationships/image" Target="media/image16.wmf"/><Relationship Id="rId25" Type="http://schemas.openxmlformats.org/officeDocument/2006/relationships/oleObject" Target="embeddings/oleObject2.bin"/><Relationship Id="rId24" Type="http://schemas.openxmlformats.org/officeDocument/2006/relationships/image" Target="media/image15.wmf"/><Relationship Id="rId23" Type="http://schemas.openxmlformats.org/officeDocument/2006/relationships/oleObject" Target="embeddings/oleObject1.bin"/><Relationship Id="rId22" Type="http://schemas.openxmlformats.org/officeDocument/2006/relationships/image" Target="media/image14.png"/><Relationship Id="rId21" Type="http://schemas.openxmlformats.org/officeDocument/2006/relationships/image" Target="media/image13.png"/><Relationship Id="rId20" Type="http://schemas.openxmlformats.org/officeDocument/2006/relationships/image" Target="media/image12.wmf"/><Relationship Id="rId2" Type="http://schemas.openxmlformats.org/officeDocument/2006/relationships/settings" Target="settings.xml"/><Relationship Id="rId19" Type="http://schemas.openxmlformats.org/officeDocument/2006/relationships/image" Target="media/image11.jpe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jpeg"/><Relationship Id="rId15" Type="http://schemas.openxmlformats.org/officeDocument/2006/relationships/image" Target="media/image7.jpe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extobjs>
    <extobj name="F360BE8B-6686-4F3D-AEAF-501FE73E4058-1">
      <extobjdata type="F360BE8B-6686-4F3D-AEAF-501FE73E4058" data="ewoJIkZpbGVDb250ZW50IiA6ICJVRXNEQkJRQUFBQUlBSGg1bWx1SmxnaGVzUUVBQU9jREFBQU1BQUFBWkc5amRXMWxiblF1ZUcxc2haTlJiNXN3RklYZkorMC9XSDRuTlJDU0VNR3FqTFJkcFhTdHl0bytXL2dDVnNDdWpPblNUZnZ2cytrVUdqZlJlRURpZklkais5N3I1SHpYTnVnRlZNZWxTTEUvSVJpQktDVGpva3B4cjB0dmdjKy9mUDZVckdYUnR5QTB1czFUL01RRlJrYTU2amxMOFcrSXkzaEI0NWxIb3puMXBxUWczcUx3UTIvT0tBdERDak1helA1ZzlMaGZKWmlRU1l4TkxES1BqYzZrS0huMVR4akVYRGE5Tm03MG1PS0krUGpNZ1RlMDIxcEdEc25ETTZNYTdtZ0YzMmtMMW5DNTJ1UVh6dSsxL0htbE9MUDR4LzNERVhyZk42Qk9ZM3R1YUxpQTB4YTdoYThLNlBhNDVWWlZxMTdMRFgyVnZUNXVhZHYvT3pheTJHWnZSZnFJcnlzaEZheWh6SVRPOVd0enFoeDczNlVVK29Ubm9vRkNLMTdRSmxPeTYvWnhZL21UTTdlUFNhN05LUEdtTzZqTm00YnVxSzdOSkV5ZHloM1E2YnR3Snl0WkZacS9ESTIrRmd4MnpsNnMzbGx0SEp4ay9jd0haUkpFbzVnWENrQThjYWJyQWNZQmNlRTM0RlU5MU1VbmkvZHJORlNYVXJXV01PaTJJOGxNM3pXd3RYbFpHSkFnOG9qdmtRQ1JlQm1TWlRoM3ZIS1l0Vis3ZXRSdnpCVXN1UlBpQjE0d1EzNjA5UDNsTlA1Z1BrZ1orakZjV2ZQeEYxQkxBd1FVQUFBQUNBQjRlWnBiNHk4cjlad2lBQUExa3dJQUR3QUFBSEJoWjJWekwzQmhaMlV4TG5odGJPMWRXM01jeDNWK1QxWCtBd3Ara1JKaU1IMlpucGtxTUNvU0JDbW1TQW9oUVluTTI0cGNrbXNCV05SaUtZdDVrcTJ5NDloV1lwZFlVdXpJSlN1bFdLdzgySlFpUllwZHR2K01BRkwvSWozM1cwOVA5MXdXTTR0RFBRZzczZE9udTZmNzlQbk9yVGRlZW10dmQrWE44ZXh3TXQwL3U0b01jM1Zsdkg5bmVuZXlmLy9zNnMyZGkydk82a3QvOTlkL3RiRTl1ajlldVh5QlZ6RjVsWjFIQitPenE5NnoxWlZyb3ozKzk3Y2ZmN21HVmxmK2NUcmRPN3RxR282MXVuSnpmekkvdTdxM3Q3cXlQUnR2anc3R3M3T3J2QTV2YllYLzgxdmNuazBQRHNNSC9zUFhKbmZuRDFaZTVXUVF4b2FGVjlmVHBTK1BKL2NmelAxaXk3RU5taTMxNk1YdlkyUVdTNVAzc1d0bmk3M2VuSitOUjIvSWV4QlhTNXF5WFdMWUpzclZtODdtczlIRXIzRHgzSlViVzluaWN3L24weHVUZnhwN3hUdlhiMjZWRUxreXZ1ZTNZSmFVNzB3UHZPSzFQUEdvL0hvOFhTVVZ6ay9uOCttZW9NYU5PN1BwN3U0dG43aEJiWnVaVkZUaGRsREJOaTFpNXlwY21rM3VuaC9mbit6ZkVvd2dMcnhkT29PdnpPNWZtTXpHZCtaOFlXWTd1TEdlWHpvYlYwYVBwZy9uNmRmLy91SGV3ZFhwM2JHQXVGZDBZLzVvdDdRcy9EQXNXM1R0NGQ3clY4WnZqbmNGciszdFhSMTlkenJ6VjFheGFMSWZGT1dYSkIvaXErUFpoY25oWFBRaUwzMTVXbEY2N3ZEUUszUnkyK1RneHAxUk1Eekx6QmZ4dlhpSHR4bk9xbWtVS25DS2dwbmJXTS9Nc1VmLzRtUzhlOWVydlR0NnRITGp3ZlI3MncrbTgybTAzbGV1K1NzOC91a1hiazhQdlVaWC9FM0dKNFNQYWlYWVNYeTZ6YkRTbGNuK09LcTRNMzVyenVkb1B1RURpcHJLVFlQZkRaOSt1SmNDTmhVeHBxTlAzenY2K2J2QnI1dG5WNzMvcmE1YzNCM2REOXFmekhmSGdvYjl4bDhkN1Q3MHA0SHpzck9yTjNhdVo2YktyM0p4dWo5ZnVUamFtK3crT3J0NmRjSTN4ZUdVNzluYkl6NnExWlZnQXZoblg5bWM3azQ1Ky9zTzlmOWxwM3c5R29UU3dIQThzRSsrZVA3eDQzaGcva2dHUFRJV255WHZQUG4yZ3lmeHlDNk1EMGF6K2Q1NGZ6N0E0WVdyM3h1ZkhZMXZhMjgwMlkySEYvNGE4c2ljZUUxKzlWL2YvT25EWjQrL2ZQNzdYOGNEZkkzdjZ2MitMODNrUWNqUjhvenVNT2FFRnllN3V4ZW5zNzNSUEpTRHJubkRpNHZQWDdvNG0rN3RQQmp2alhQbjF2WnNzaisvTVo0L1BGaTVPT0VINzQwSDQvRThuc2hBZFBMRnE1QTllakpNekI0OWlTVWxVbm1pd2RYUmpCK2h3Vmo5b3o3OWdNc0c2Wi9CU1o5NkV2ZUs4M1V1L3FYbnhuOFNmdEhuNy96cytKZS9qM25xNWYwM0o0ZVQxNVBQdDNKbGV1ZU5hQmY3QTR4K25PTkg5NXRKdmZPak8yL2NuMDBmN3QrTkt0ellIeDJJeEo4MCthUFBmdUNKbFNIaks2TWVIVEVpOHNHdk5QV3d0b0M4ZjhnbGs3RVJmRVNQT0VtWTA5dS9ldmI0U2VZUThxdjVpODAvakVsMk9IN3AxcjE3WEpUeGlna1RGSHZIbkY4b0tOdWM3dS96ZDRQR0xacnFyRjhjL2JwNk5la3Q5UmJFYUxML3VyZFB6YWpucjA3bW85M0ovSkdrNzlTVzlwMmFrcjRMQzI4ODRISi9yblJqUGV4cjlEdW9GT3dscjdYenUveXJoa3VPaTRVci9rZUpUejdPRmE3ei9vejI3Ky9HNkNONWtPbkJiTFIvZUkvdjFEd0RTV1Q4bkZqbGx5YWlQY0hGMG5NZW1hSUk2SmRkMmc3Rlhad1RsK05TWDk1MVhiTWc3d1lyZjNvbmFzR1RocTU3OGhrSFVsZno0bm1xc3Q4Z1lwbktnbDVmM0owY0NBVHh1T3kyUUtoZEY4M2Z4dFhKNFowc0V2QytYc2dQLytIaDVNNGJWMGVIYjNqd3lTcndkam5uVEViR0JjQ2dXcTRrTG4xdExFWTJtVXFiSXg4ZDhXTm5YbDVwZXpTZmoyZjdJWDhUVnZPQnlyblpiUG85djVZWkhUSEZUK3hYMzlxL3ExN1pIeXFmRmVsOHJKZE95RWF3TjhzbmkzK2N1N3dybmp3di9QYnJKUTFzcktjK2EyWlA4ZjE1bUcvRlp3RVpxWHVILzdYMTFueThmemNpTGVwZDJRYU5LMlEycXJmRVVjbHVpTi9JYk43a2plS1dpTitRYk9pNHppWGxiWmw1UlcxenhxL2t0di9GZ0JzYU84anc1K0Z2dkNZcVhvNHBwbDRPcGtUKzlzNWI4MEMya3dsZWZrMGhWMGphaWRqM3lxdm5kaWYzdWFpeHllWDI4U3hBY3NGeUN2aURKNktNWHI4eG4vSkQyQkV1RDcvQitHajZ6cjE3eVBYK0t4L0U1b1BSYkhTSFUxdTVmTXNuVUNVam9rUkdyR3A3bXpkOWZ6WTZlQkMxZmVQQTI1V2h3QmFPbFhvaXl0MkxrOW5oM0svRGYzaHlXdlQzOVVDUzgxOGUzUm1mSC9OWkhDZS96OTJiZThlY1pCa0c0dHZoU3RBb0RhVSsvNjhkYng1cEpPZVY4WnY0RzVXVStlVUhCeXZid1JnM2I1WHMzRXo5K1VGVThmajlwOTkrL3VIeDB5ODIxdWNITWhMckIyWEZmSDJKdXhjVStHdXJ3TVJ5cndRUE1pTHRwZkYwYnp5ZlRjWUYzaFdXUEJLUnZEYjFlWE1wYitBVnZFVWdxYkM1T3owYzM1VWNWTmVtSHBxU2t2QUVWVWtMVjZkdmpuZW1aZE5aY3VqSDVZS0RQeTViTDIzYVA3Y3FpQ3F6YkdrWFNnbTEzd1dGQTZOaGY2cSt3OG4zUU9zemJLd0xOay84TU5scm9UQWhFdmY5dnlOUkh3dEUvZTNaOU03NDhEQ1NLNDYvL1A2ekp6L1ZsZkpOcVpUUEJLVktVajdGanJqVW4wcG0yNVZTdnFVajVSTnpjVksrcitpK01KcVBpckw1NjVkOWZpWUFPSjdlbzZTY3J5QkJpeHViMjFNTzJRczhPWGdjZnZMdE9ZclZEOEdpRVF1VGt2VzlvVGgvNndIaGl1N2dXQjlSMlozSzc1djBUaVNjSzNXSEJOMGhDdDN4WlpVS2Z0anVYTkdnYzdUZHVXS21sRThLK2hZOXlnZ0ZIcFROdi9ySzY5L2xlTWpyckkvamM0czQ5OGJHMXB0andmTDFuMTZZQmNhNVFKRFBiN3JDaTJVdzJrTFZLUHJHZEhkeVZ6aXhhZWs1K0NlWXJLUTlBT0s3VlZOYW1GWmtJb2Q2bXk5V3BQR1B4b2x4NE0zYmNiMlZPcjduS2FHUlpkMWhrdVBWb3c3SVA2cVFPYncxa1g4RmU0amYwRUwrU3V3cGZrV05pY2F2NUVTQzJzaWZtSUQ4QWZtZkFQSi85dmlqYi83dzZiUEhUd0Q4SnhYNkFmNlZHYWlLYU9WWGJLZ1gwT3BQSjNxQlZsRndXMFNWWnI2Wk9xVDlsYkFRdlFEcFNpOWdDUUIzRzNvQml3aE9YRDM3bjIxNVVnUG9CcFpYTjZEd2haUCtMVVE3d0xkRGI3VURXck1GK2dIUUQ0Qis0SlRvQnhTNGx2OUd4L29CUlFZVnYxUmZReEJRQWgwQjZBaXluZWk3anVENVgzNysvTS92UGYvVGI1Ly8rVWRIUC9yOCtJc1BRRitRcWRBVGZZRXFRMTJVdmtDclA2QXZhSzhISGF5RXJ2UUZvWk8wMTN5a05XQUNyVUdtV2lDUHBCOWw0T2QwWHd4QWs2QTJZanYrVVhydTVzNHI1N2N1WGI2MmZXM25CYjk0WjNUL0RCY3YrZjllTEVwV1NlQmJwQWlvMFFndkNEeU5HWTFmMzdwMlFmbGxJWDJWQmpoU0VzeU1nclpsRGFHZ3ExN1gxNEpabEtsZnpLank3YUR5YmFrMnhxdDc2ZWE1NnhkZU1BVURqcVUwZ29QUkJtTzg5YmRlWDE0VUNqOUZkVTN5M20zdnZkc2w3NlVrdFRYTDF0RGg2S2h3a3VINjBReUNJYWQwT3RXVm95OGVuQnhlZlg5eklaTVl0L3d2SzF4RG9oZVE2SVdHcnVUTVltUkpuY2xwSkcwU2NYVXhSaTJwWEIrakJ1SnRCcU42S2l3L25BWkZDTlVVdUZINVRTMHpQTVVONFNsSmI3K2RyVnM3cjEyK3NQUHlDeUg2ZXJHNEYrTW1Vc0hxVHE2Tmw3Y3VYM3A1UjZVUkxRaTdScEJCcUMzQk9aY1NYcVdDVkZFVG5CcWVGb0JUOVhIcXl2azNvaWNsV3IyWUdpRFgwdm9KY2tXR3RYUWd0UlJpS29QVWNneTZwQjd0dmdUYkloSlV4VDMrNHpnTU5NakR3TS9rWGYrUE9JTCsvajdmZFY3K2lpVEMxVXR5a1pZa1ZRMnVUbGNHVjZmSTkxTG5IQzJxdnhVTnJqYVdTdkFJRWR1d2l4VlNSNVZMdGV5dG1JQzl0WW05dFhyK1dyZTNLbnpocEg4THNiZnkzYUJtYjIxcnRqVHNyVnF6UlJuWVc4SGVDdmJXSVFEYXh2WldCYTdsdjVFNTE5dTN0eW95cVBnbE5VWWF2MUlRRFdyaldJOG00Rml3dHk0Y3RSNjkvOVh4Vno4TmJLeEgvL2FUYjcvLzN2T3Zmbi84azE4Y1BmMTNNTHhtS3ZURThLcktXVlZrTHI5aVE4T3JWbjlPaitGVmFlYWJHVjdiWHdtTGNOUkd5eFhBalRDdDBocEEvUFp5KzJoRC9EYkViNE8rQVBRRm9DL0k5UTdpdHpPdlFQeDJzV09nSzBoMW91KzZnbWVQUHpyKzRvK2dGc2hVNklsYUFPSzM4MTNvcFZvQTRyZkwxQUpXUjJvQkxNL2VYRnN0WUp0RkI4dFVYamZUcll6ZVJnZ1VBMHV0R0tqK3dFbjNGcUVad0FxWkxrOU1NNkF6V2FBYUFOVUFxQVpPaDJwQWhXbjViM1NzR2xEalQvRTc5WFVEUGlGUURvQnlJTnVKdmlzSGpuNzQ3ck4zUG4zMm0vZVAvKzh2UjMvNDdmT243enoveVE5QVY1Q3AwQTlkZ1RKSFhaQ3VRSzgvb0N0b3J3Y2RySVNGNkFwRVVkdXQ2QXFJd05TZnVzUzFidWlCalFRZ0paWVNiQXNyNkFwY0hWMkJBN3FDUnJxQ3l2bnJRRmRROVlHVDdpMUVWeERPZ1lLdW9LWEowdElWcUUrV0RXRUhvQ3NBWGNIcDBCVW9NQzMvamN5WjNvV3VRSVUveGUrb3NkSDRsYnhZVUY5WDRJQ3VBSFFGSjZFcitORzd6eDUvRk1RYUhIM3k3dEhQZi96c3lmOGMvZTVYeCsvL0VyUUhmZGNlcVBKWUZlbkxyOWhRZTZEVm45T2pQVkNhK1diYWcvWlh3dUl5dnlGUitvSjJNNy9STVBQYjlyV2RXeS93YzRFZmNNYVZWemE5NUdsaEhpeHNiSis3bnZrZElnL2pGamxUZUhhYnZDakk0cFBLRkJkZEpoY1N2ZDBoMFNpem5PVVMrUmdSeTVManYyTnk2RXpoMlcxVVJpNmpLcEdPc0RISjJ0bnJVSmpMU0RGNW5SM1hiak43blVXaTFMODYrZXRzWkJtNFZ2NDZ5OWE3aENCZnZSODU3TEJtRGp1K2dOclBZZWU2eTVuQXJpb25YUVo5VjJXN2d3UjI3UVB2cGduc3ZCU1dRMGxnWjFkVUNnOGFKZnlOblVaUi81QzlEckxYOVFTU0k0c2FpQ3dkMW9ZRWR0a2lCVmduNDQvZHdkbEtxaVVjdWFtM1BKTHcyaHAwVzhyV0YrYm1hNWl1VDRCNlhVQzlDMEc5Vmc2Q1dnSUlhcW1pM2lpWVFJNTZtNUpjRk9wZFkwNS9ZQytqcEdiYWRrM1l1MGJvTXFCZUMxQXZvTjVVd2FsR3ZiZ0YwSnNIemgyQlhtb2FMaU1xZG1qRnBPMU5VQy9KZ1diQXZZQjdTM0d2Qm42TVAzRGtkUmR1ZTl6eWJRMnVaTi9qTnBSZDBrWjBFMkJpVStKTEVtOTdUeXBUMnZodVp2UGlKaG92RERzZmR2NkphYnlvYXppZzd3b3JnTDVMbjJxMytxNHlodHk1d2t1VGNLODBYdWtvRVMrMlpWQ0pKbDBxU3pTcEVpVUNtU2FYTzZFRVpKcUVUSk1RSWdJaEloQWlrdXNkWkpyTXZBS1pKb3NkZ3dDUlZDZjZqczIvK2NPblIrOTkvK2pyM3o3Lzh1blNZZlJoeDM5QXBzbENGM29aL3dHWkpxV2VNSmgyN2duRG1BQ0FKMzRybGlpZFJPUmhJbnczOGdmSnYxbmJjOFBVOGRzd3UvRGE4TWFwNjdQaERWL2ZYME5ITmFLakdlbmNWVVB3WlJvNlhEQ0xFV3M1ZlM2cTNDakVJQTU4THZUeEcxZ3E2aHo1alVTZFZ1V01QdDByTFRpZUMrR1pqWTVpbXprR29aVSttOTdnTnpuQU85eWV2MkNlUVdkTUE1dFY3cWVXcmVhY3FkNTJKQU00MkRTb0tNdDBMQWRRVkRBSjFKWUZMR3lZakdnNWNwSk9IRGx0bHhyRXJpRVdNTE9tS3lkbWhrbVFsamRuTHNGSEw3dzVPM0hPSk5oaDl0QmtoUko0QWY2WjRjQUdvdXR0NnFqRlpJNWFQWXRLWEVPT1lUbFlvbTFMWExVSU1peENKVlZUdkkwMHU1Y1lJaFRCWDZzbk91SGpkejk2L3ZZSDRMV1ZxckNzV0dqejRheGFEKzBhR0RHSkVTd1UxTERCWEV1aW5Eem5pOXFHYXhLcmVJMXJYT3Q4d0hnTlJtVXNldFB2bUcwNHBpMmhlTUZ2eXphd0kzRDQ4V3VzbDArQTJ0dzRobTJWTk83WEN1WUdjK1RpV2hJdTZNOE5SeUVNVzJLeHg2OTFQanEva0dsSnpvVmdjdmh4UkZ3SnlXQnlzTVZuaDRpL1IrUFpDWkZPeGVRSVVnSEhOWUo1d1liTDNPbzF3OUdNS1duTG54WmlHOVNobGROQ21JR3NNamQ1OGRBWDVaNlhySGM5bk45OVFLcERVQVh3bCtRTElvSjhRVlVhZ2NaSml0U0p4cW9DdHlMb2xtL2lERG4rdXhBZG1ucldSaHFteGlScnF6S1lmZUoyRFlkRmNyZFdFcWJVdk9xcE1BalJpa2J0bFlGRGxsQXBXbmFDRi9qYWdWaFVpRVZOQ2s2MXJtTklHWmk0M0dtWnBrUnkwZ3hHaFN4TWNZT2c0eGkwamdPeU1HVXFMS3QrUThIV3l5VHNjZGpHM25TTUZ1a3FSa3NVU3BVY2RJZ1YyYUxpVFQ2Q3VMM2t1SEk1UU1jVk1WcVlhc2pwRHRWS2xpcVR6QldFNUdXTTBsS1p3ZGJqdENxL2NkSy9SY1JwVWRXcmZOcWJMSTFBTFkzSjh2WXRSR3BCcEJaRWFnMEEwVGFOMUZMZ1d2NEwyV085L1VndEpmNFV2NkxLUitPWGNxSkJiUlRyNUEzOWdHTWhXaXYvamJwQnJjZWYvOHZ4VjI4ZmYvYWJwUU91d3c3VlV1V2dTcktWWDdNWnB0WHF6K21KMUZLYitVWmQ2R0FsTEM1VXk3UGZkbXdqdG5EZ0tuanU1czRyNTdjdVhiN21tUzBqUzlXWndQNGt0Zm02YnVKOHJObElaTU8xS1pQYmNJbVpjeUxIWjB6RHdaaTZVbU50MERVc045YXF0MTNiS291Um5sbldNRTNUUVowRW5RVjMwR2dhWjlPZldNODRpMHhIenpyckRaMmFQYmtteDB3bkRDYWFSbG9DUmxvdzBxWUxCZzFwTzgwYzJqTWpyY3NNMTJVUzdLaWJNZGdGSTIzWUlCaHBCdzEzdmZ6VlM0ZDB3VVNiTFZLNS94UXRyWTFXQU1KdzV5RE1zNjFXQWFDTVJ5bEplWlRTTTRWbnQybUZveTR5TVJmcEs0RlJDelFqakVldEtQZDkrZlU0SkhkVERTa1NURDBySjZnOHhNWVVhMFBDTllLWW9YVjVURGRKU0JBeWJIMUFtSnBiUFR5NGhpekh3QVAzMXhVanUyanhLV05IZ0lLcGFRWW9DRkN3aDFCd0RXSFhjRXl4RFR1dWVqdnNFb0JCQUlNQUJ0TzFBUXdtTFN3ckdLd2lXc0lZRzlyMXVBQmRoVUZQalBBeWdWL1NhamFxaGlnUUN6QVpyb0M2YmlvNVVpMGdxRTQwdmlUVnRFUTRLRFpMNHVKOUZnMlNWL1VnY1JXMTNUcG14VENKVjUyMFZVUE1XTlU1SklTTVZZQUtoNG9LbVRra1ZPZ1lsazBraVRReUdhc0lzU1VTUXpxVXZjbU5CWUFNQVJuMkJCa0crYW9Rd01PNHdyTENRMGhYQmVtcXVreFhWVFV4a0twcUVhbXFpTld1RXNER2xVb0FKNGZISFFFZWQ5U1ZBQWp4OVZ4bERHNkZacXdEd0ZTbUEwQ216WXpzc2h5NENzQjFhcWdBa09sYXRRekpTNkFCY0VBREFCcUFiTUdwMWdCWUREUUFZZjlCQXdBYWdBVm9BTElUaHpxZXVJNzBEU2pXTjFCUU40UVZRTjBBNm9aY01hZ2JRTjJRUE8rMXVvRVdVcU0xVXpmd1JVTXE4bUJqd1NWVkZyYXJ0QXFZNytrS3JZSlcwN0d6dkcwYmhCYVhVYUkrUU43ZFcyMnBEd3lUYWdVb2Q2VkNzTGlrakltK0VnRzVUazBsZ21GaU1zamJyOUthQkw3RVFKTUFtb1JNd2FuV0pBelBsMEFtTW1RMENkUWhFb2tBZkFtS0hRTk53aEw0RW5Db0FlQStyQURnSHNCOXJoakF2ZExWVjVSVnpnNGcvSVVnL083em1sRzc0bDRvemlPeTExQmh3VFZVeWJQS3U2OFFwaXJLZ0Jab1Jsb0NodmpDUUxaOG1EUkhrcVpJUm5kUnBaNVZYSCtsTXNqR0ZHdHJNaEJ4NGdrNXlhaDZpMCtTYVRuNmlveGtkdlVVR2N6MTZBMHdyTDVhalJFdFAwRWNQdTFDN3dGaDlhRDB5RFk5RUtVSEdaRFN3K2JTcGVPb1JOV3YrV2xTVkJRZUNNTHFnd1pCNFRGb2hRYzJ3SThocXJDc3FnNkZNSE1rUTZMRGpqSlBYNE5GUmNuVjJyZ0dDd2xraU5SSnh3U2xTdGRnTVJhQXJrb3BYaWF2VzZhR3FFNTBaSFdaYUs0Z0pldmVnOVdIZTY2cTU2ZjFXNjRxdjEvU3UwWGNjdVVmbjByWFhMVTFWeHFYWEduTUZUT2wyZmZoanF2NGE4QWRWM0RIMWJEdnVGTGhXZjRibVRPNy9UdXVsTmhUL0lvYUU0MWZ5UjM1dGVGcHpwZ1A4QlR1dDhwL28yN0E2TkhQM24vMitYL0QvVlpKaFg3Y2I2WE1QVlhrS3I5aVE3U3ExWi9UYzhHVjBzdzM2a0VISzJGeDkxdlJRbmE1OWxPck56V1NFb0hKc2cxYmNEczBJMXV3Z3lwYzNDbk5rYU1DcXl4dDFRN2NsR0p0TzdETERNY2hKMjRHdGhrMXJFV2FnYWxqVUlvR2FBYXV0dXBHcTAvMEFnVXpNSmlCVXdYOXdOVmdNNmtqalRXU1FrTyszeit6U2FVZm5iN2RoQTdNYnVLdzRvY0JtMGw2OVlETnBIeUxnczJrckhkZ013R2JDZGhNd0dhU2VRTnNKbUF6QVp2SlNVVXNmdmJ4OGRNdm52M3U0MmQvK2dXWVRjSUtZRFpwM2g4d203VFhnd0daVGVMdEhrSC9RalplZmxKZDUvTEx5RHZESTlramVhQ0ovN0VVL3hNQnhGREMvN1pkOUdkTjQzOUNLdkEvMDhIL2lDME8veThVdUZjUFRBUHdxU2pDRWJLV1hCUGVBV1FTendjZ0dKKzdhQ0lZNy9ydDFoRk1KVFBKdktLMjgrSlhja3lyZmxBU0F3UURDT1lFRU13eWhpQU5HN2ljVEFpU0tyUHVEaWpvZFVIaHFPZ1l1Sng4RHpveGIybzVkWGtlTHkybTc3UVJya2prd1hKSk5WangzbzdVczhxN1FtenZxcENxQzBQYklScDViOW1NR0JnWE5lS3h2eFh6Ymd0cDdjcFE1Qk03K1lTZk5yRU5odlFUZmpMdjBwQjZGNGRhQWNIaEpmeE1lenp4aFFVSlB5SGhaNlpnMExDeWFlNkxNSDN4SUhKZmNJNWlPSWdvSmIvZy9CSFpTRkkxemRxaW03VWhBd1prd0JnMC9BeXY4MWc2Q0FvZW5ibHhRY0pQU1BqWlhjSlBKSVJVY1NYSTk3bTRmSitzKzN5Zm1OR0tLMFdaY1ducmxhdFhMbC9iOGg2SzQ1c1NMWURybXRWYUFLVTJJNUJQcWpLU3lpNGdSWUlMU0N0Q3RCQ3BETkZxVExGK3FzNVEzbFJVUUNES0RKY3psQTZVRUFRamJRVUUvL0RVd0RYMEQvendVZGM5Mk1TZ3JtdjFRLytRenRScEN2VVAwZXBiMUYybkVLSUYyb3BzMHdQUlZxQUJhU3VZYWNpRXFJUWpoZ3hhUlZQaGdLSWliQkFVRlF0UVZDekxMYWNZRkNKaGhXVlZpQ2lZZjRtRXpYVm5ocStrS21QL1RWMEFrR1J2MXlYZXE3aGVBVjRXWlVWZE1GNW1LSU50elRid3NsS2J5bmhaZHBzR0V0eW0wVHlsU1dPS2k4TEwyT29YWGthZUhyZHJ2SXl3TDFuMkRTM3pSYStIbGp1NXp4UFFNcURsYk5PQWxsdEh5NXpyS3FIbGlEMERXZ2EwM0RPMDNKMVpud0IrRFNzQWZ0V24yaTErbFRIa3p2RnJEZUs5d3EvcHZGU3NzN3hVQXUrT052SlNVWXRJb1l2am9JTG50VjhqZFVUYmxxR1RkTEhQeWFrQ0VyUHBIaVN2U25kSDRRc24vVnRJK2lvTDlUZDlsZFpzUVFJclNHRFZiVFEySkxEcVRmaTNBdGZ5MytnNGdaVWlnNHBmcXAvQ0txQUVTYXdXRDk4QnJEY0I2ODkvOStlalQvNzUrT3NmSG4veHdUZGYvK3ZSaDArLy9mVi9CaitmUFg1eS9QU0xwUVB6d3c0UVYrYXNpOHBzcGRVZnlHelZYZzg2V0FtTGl4MW5vdHhXN1JxK0xleFdHTDV6OTFhdzFMMFYwY1VjcVdlVmw0RkVHZ1M1WmJ3Vm9uRThPWlhFa29zMEdyWHQwamcwejV6a1BSdU0yS0dRcFdPVFRuOFdQYU8wNTg0ODhFczJtUERPakdpWlpGN3c1aElNMFJvSUZnelIyVGI3QWw2YkdxS0pPeHhETkVMVVlDcVdhRWxqYVk3bmdoRTZiQkNNMElQR3RjZ3c3YVdEcm1DSHpoWXBvQ1JQYm0wUkh2YktIaXVBVmF3SC9zUzRBMzlpbFRhVi9ZbGxHQXdKTUpqY243Z3g3Rk1pdVNpSDRqVms5c2FiMkNYTXdMV1FtNVk3OFpwRmUrbE9ySEkvb2xtSjlRREZwYVlaVUJ5Z3VCNmlPQnNaWEU2UnlNbEpwakNQUFFPU0F5UjNlcENjRjVnT1NDNnNjSXFSWEU4OWlrczVjdWZ1eExxVSs0NWQ3VmJUU1FmK3ZyVnhJQmFBc3FxRTBvN1ZFQW1xRTQyd3JtVmFJaWdVWTFORVdrd25qWHVRU3ByYWJoMGJJTUYxRTBrekhTVFpseVRTbmNOQ1NDSU55SENveUpBTkNCbDZlVGd0bTBqU2RhYVNTQ09ERUZ1aTdrNnhOVUlCSG9ZTkFqd2NORHdNa2tnRFNFeFZXRmFRQ0hta0lZOTBoM21rS3hjTjVKQmVTQTdwd3JWU3JkdXdiZHVVYXdhSW1RWHAvSGNCcEtlZXRhTVphSWRvckJud0dFNTQrNU5NQStKOTlrMHV1eHh1ejE4d3o2QXpwbUhhVkc3d1ZsUnpLTFZjV3h2Qm1RRTJQS1BKaVhzbFUySzROUzYzU2sram5rNkNuMTdNTUIwZEczZFBYSlBUZWdtK2xNRytEZlp0MEdKazNsdEsrelpuV0JabldFcGFEQ3dSak1DK0xlb1lLREFHcmNBQVQrVlVoV1ZWWGJRUVVWckdHUnZhbWRla0lQNkVLWitFYi9iTzladWRtTGZkSHJobXN3NWNzMVhhVkw4YUtaZDQyUlFrWGphVlV6MHoyMWE0MjZrcHlZVzVacE1RWmZiQU5kc2hkQ0d1MmNoaXZmVE4xcjRZQ1ZJOUEzWk5GNXhxN0dvTktOVXpQMEljSXZQRlN4dmdKZkpNMnFjSVVqMUhEUUoySFRaMnhlNkpHOTdqSVVaSlBrT2VoUmZJczNBYlBFdmFpQmJQcXFpamtSQWd4NnB3RTFhRmdWVUJxem94Vm9WOWx3OVF0SVVWVHJHaXJhK0JKR1hpWS9lQkpKcVVleFZJa2s1S2J4VkNTTnBLU2k5QWVXMGtwYmNZRWwwa2s3cFFpOWl1VVhRb3lpaFVUQTJGU3A5VDBwL1NsUE9WM3kvcDNVSVN6cHRtWlZySkUwczRyekZYa0c0ZTBzMm5WSW1RYmw3UVpsLzBpWTNUelN2d0xQK05qdFBOSzdHbitKWDZ5ZVl0czRINkVGTE5RNnI1RTBIZ1J6Lys5ZkdISDMzN0gxNVcrZVBQZnJOMFVIemdpZVZWZWVpaUVzdHI5UWNTeTdmWGd3NVd3dUlTeTF2ZHU5a3c1SU4ycVIrTFpXZWRTdmp2UXByMzFMUEszUEtoSGtEcXlOSU96VGgraE5rVnJqcE96bS9HS1pKTFBTc25GOTRjVGlwdlpXOU1zWDZ3Q2FYUkoxZDExc0VVZCtHc1l6bXVVU1BZQkdITENhZFhNOVlFWTUrZWhzc09SdjF3MkVubndlZnJYdE5oeHdHSEhYRFlTUlVNR21BM05YNkh2RzhRRGpzWVdRYWlTckVtaUZWajVrQWtJdUN2NHpjSVJ2QUZRUERzeEtHT0o2NGp3STg4NzZDbHcvaGdiczhXS2NCSnlrVXBXVzdiN3FDMEVtVlBVRGRNd2NYZkxYUWdoQTN0ZDZCWEZuaEJySXZaT1FnblZDQk9aZkd5Qk5zaVZCKytJd0dVbG9laCtKMnBEZDJWNk5XUFFiR1JEcXp0SklNQ3hkSGx1VnFRTnBwVlBVRHJWRjhKM0pQRUNXSmdLa2F5QUV5RGFnQk13NEV0R3BpQ1lMVnd3UXJKc29rTk8zdzJGdkVqZ1lJSUJJcnJ2QU1qNzdDSnhJbmtnZVlaaUtYZWZVVEE5Wlc4K3loMkRPWUk1SkRVR2NZY3d4STRBS1lPTEtiajM0Zlk0dno3VkE4WGhLd2xQMTA2Y0M0U3owZWZPUDVKK2ZwZ2JWOGZ2b0hiOS9XcDNKYVpWOVEyWi94S2J2dlhWejB5VUQyQ3I4K2lWWDg1WDUrbFV3SU8yOUhuWkdSVlZhN2RuVFpRcndzS1owYkhqajRuMzROTzRJTmlLSStubGhwVUtBOFdvTEhrNkxjODl3dUJqbmNwQTNrQ0VyUHBIZ1Q2cExzRGdUNFE2QU9CUGdQRTRoRG8weHZ3RDRFK0VPZ0Q0TC9uNFAvNDZ3K08vL2pKOGY5K0RzZy9yTkFQNUE4aFBvVXVRSWpQOEVKOGJOeTlkeEd1Y0JDeVVkWmhoLzh1aEtLa25sWEc5MFQ2QWFtWFVEdEVJeWNvaWh2azRzV0N4TGlsOTlFRWk0ZzJ6TVdyUkxLK0g1UnA2L2hCT1c0bm1YaHRXc01SaXBta2JpNWVvdVVMUldrZmMvSHlGUSs1ZU1HRGF2QWVWQ2NVMmtQellUazlEdTFoekxDbzdENUczZXlXdElsdEhjSjZJS3luSDRDYml3ME03cENKS3B4bWwxQlR3aHc3TksxWGtoVjRRVXJvOXNrVlZZQS9DODZvelc1dHNSdGdUU3lBZlZXWGtWcTRJZFpVSnhyZis0S0xFbUdNREdsNHpVd3JPTTdDT2pET3U5SzNBeHlIWFZzYnhWbW1XL002VU13ME1OeWFkL3dPQThJMVJHUUVPOHdlR2lncjBhNEJLQXNIZGtwQW1UMGdVT1pkOFc3WlJDbmhBa0VHSWJaRVdFaXh0ZkNDVXdCbkFNNEdEYzZPMy8zbytkc2Y4RTNDVHZpaUZJQm9TV2xIRUczejRhemFDdXNhR0RHSi8wZVVSc3RncmlVeHpaM3pjWlhobWtTbUVUc2Y4RjJEVVN6TE9PSjN6RFljVXhaVGVNRnZ5emF3UThzdUJDMmZBTFc1NGNqRUttbmNyeFZtVE9DaXNtdEoyS0EvTjlnMG1QU0swZlBSOFlWTVMzSXdCSk5ERFl1NEVwTEI1R0NMenc0UmY0L0dzMk5WTGhvaW1icGdUckRoTXJkNnZWQ0RtSksyTmdOcmxVRWRXamtsaEJuSUtuRzBLNW1SUmFXM1NOYTZuZ0tBZG02QWRnVWUxUmxyY1RuV3hrMXMxMGdBN2VYSkxScGJycFZJMXJmcllpMjdibkxoYmNzcUFTOXZnNzVwMTV0Y1l0VlJDakE5MDY3SnlaZ25hTndWVzJvNzBRdUFwUmFVQXRtbUlkZEZYS0czaGczY3FtR2pUd2FHZks0TDJ4cGlyZ3RFWk5kWVdaUldoci8xTnM5RjYzRnBLcEdvRzRyRDFJaHVVamtjSVZjSDVPcUFYQjBxT3k5K0JYSjFGRHNHNFRxcFR2UmRRZTBTZzVDbFUwMFBPMVFIa25SQWtvNytKT2tJRVpBSUZhMTRlUjc4eWg1VDlZNHcvcHV6WGM3ZjNPQkhJRnA0dkM2dTVrVklUNE5LL3ArSkRMMnVSd0xoVWhwSVNLT2FBSExVeG9DVDlzTUJKVGtZTkltVWo4S1RDUklxU0hPdWtMdUlvYmlLUTdHYURBV3JmWlUwRVNzaFliNkVYaklOYkNvTUI2dk5XZmJENk00WlZwd3pqeG5XbnpPQ211MUdoWUZrU1pRUGhKZ2wzd1h6NytKZ25MTWlpV2xocGVHUXpKelI5SUNvTGhFSmV5R05xQkR0THhQdTBpVHRURFVSUzQySTA0UUlOZFcyQzVic1N5dW4yeE1UVWx2TXFCRXZvNHJMbWVJbSs1S3FmWDNhYkNoRWNTaTB5VkNZSW90aEpaK2ZMd0FqYnd0UUlDVFpsMDZqNGFpeEdJWktoMk1xRGtlUnphQkdDNDJwY1FCR215dzBwaWJ6c1RJT29ENW5pcElmYTdhaTdScHpwc3MxbVpvMGt6M0ttaEZSbTY4Q2J6WnRoZU9NcWNsTXJKd0xxQzRCUmJuSmJMUnRMRVZaa3pYNU9wYmFuRmwyazcxcHFjNlgwNGdEbUdwVXNtUFIvU3EyR20rMlVaT2gyS3JpSDI3eTdXMDFBU0E3RkcwaVZHMG9XU29sWDhWM3Y0bFVBQnZyMjZQN25tN2cvd0ZRU3dNRUZBQUFBQWdBZUhtYVd5VHcyL2c2QUFBQU9nQUFBQTRBQUFCeVpXeHpMMTl5Wld4ekxuaHRiTE94cjhqTlVTaExMU3JPek0relZUTFVNMUJTU00xTHprL0p6RXUzVlNvdFNkTzFVTEszNCtXeUNVck5TU3dCcWluT3lDd28xZ2VLQUFCUVN3TUVGQUFBQUFnQWVIbWFXeVR3Mi9nNkFBQUFPZ0FBQUJNQUFBQnlaV3h6TDNCaFoyVXhYM0psYkhNdWVHMXNzN0d2eU0xUktFc3RLczdNejdOVk10UXpVRkpJelV2T1Q4bk1TN2RWS2kxSjA3VlFzcmZqNWJJSlNzMUpMQUdxS2M3SUxDaldCNG9BQUZCTEF3UVVBQUFBQ0FCNGVacGJNY2NsS0s4REFBQmpId0FBQ1FBQUFIUm9aVzFsTG5odGJPMVp6VzdUUUJDK0kvRU9xKzI1VFJ3bmRpelpWRzFwUktVR2xTWXFjRFQyT3JIcTJKR3pwUzBuTGp3QUV1b0Jib2dERndvSGJnamVwcFM4QmZ2bk9LNDNVYUwrdDk0OVpEMmUyUm5QTnpQZWpNM2xnMTRBWHFONDRFZWhCWldsTWdRb2RDTFhEenNXM01QZVloMHVQM3I0d0d4M1VROE55QXFRd2EvQXhtTUxxaG9FVCswZXN1RHc3Y2ZURDEraFlFbloxcUlnaWhsdlhVMTQveDc5R0g0K2dxRFZ0ZDFvMzRJTEZhWE14cmc0MjRKSnR4eW1iOFZ4VUlnMXd1NTVkZGNwZXg0VXREcWplY2h3RlQyaHFZeFdWV28xUjB0b09xUHBocUdrc2xVdTYrbElOeEthd21XUnF6dTFoRmJoTkUxM1BaVFFha0xXY1dvcUxNMXFlMVpYWFdLVEt0R3ZqK3ZLMko2MVNSRjhXbDFUczdhWHk2cGh1Rm5iaFgvR2JUZExLVzQ1Tk5lSmx4MThCdm9RN1FOMlY4bmhSeER1bzBZVTkyd01udTM1em03VEh1eGFjREhIeWJnYmZoQUk1dlpobit6Y2lnTGZsYkdtRGdZNzRvSHBnQ0MxbllSekRoUCtmS2thMmUxTlAwUVQ3NDQ0bmlPLzA4VlV1Yktra2FGTGRZM1kxK3crNVcwRU5wN091R1Zqak9LUWVWaHVQMk5kUlIwL1hJbmphQiswL0RmRVUxWElSTXFUUmRaRGR6NEI1Z2ppcWxtd1lBTGplR2hzWnZFZ3NieU5QSExiWUlQblA5bTVOc1dJVW1LRkZNbXBXSms4V0tkanlVc1FhRWJVRUxrZFptbktSbVpwTE1Tdkxmb1JtOFRiZm9oSm9TMVA5L3VWWkVXUkR4bUVrcERQNGxLRS9SMEwrL3d4SU1ONDc4TCsvQWl4TFl0MG1PTU1WSlIzY09WeHJsYm9uTzI0WXhUSEhYQytRSGNSblVsVjBXNUEzYThzcVhRVVdaSEJxYWJUT1Z0VzZFVldnUE5sUlZXbmN6WnYxeWM5WmZHYXVNeUV1QUNJMko2M09pRWFVWWpQZHBlazNsSU1PdVhhYnhQZnRIUFpCZW9seVN2eHJHam5jYkFrM2Rrd0pIVFJvYTFWczkzYzArTnZKMTkrZ254YmJ5VEcyNXQzb1ZTbzg1WUtJVkM5cEZJaFFCWm5IQ1ZiTXlwSnphQTk4MXRjSlNiSDBhZ0xMUmh5a2R0R0I2SVBEY0hPU3VCM1FndXVvWkJnVDF4bHYycmhxTS8vY1BLQVB2bHovTy8zOStHbmQ4TmY3d2tERWVZbThaZnhoQThQQWdyeGJTTGY0Ty9hc2UwUWpXRGpCZDFEQklaQ1ZnMjc1d2VIRm16NlRod05JZytEbC9ZVDVFTWdBRnlZVUJQTUxiSmxKN2I3WGREcVU0VG9kbVEvb1dBamRCdCtQTURKeFRiTkhuWWhQRkJsNUUza1lSa2ladE9PU2RnUGdKQWozRzNxSnZMTFJjaGlOY0k0NnNuaW1oVnVEdFRtUUJvMEtRTmd5OVFkNUlyamtITUl5ZWlPQklCNWdPRHhraW92VEN0TXUzbW1LVE9ZSnYxUGNLKzlkdDJtamQvS1ZqM3hocUt2RWtFVkZISWxWdlNEK1g5UVN3TUVGQUFBQUFnQWVYbWFXeXJvRmZWTE13QUFUamNBQUE0QUFBQjBhSFZ0WW01aGFXd3VhbkJsWjgxNmVWUlQyYmRtRkJWQk1USUlDZ1VwbFVGQWlBT1RERWtwQWdJRnlJeE1VUkdaQkZSRWdvU2taQlFSVXpLV2dLU1lRUWdSSVZBaUpFSUlsRktJekJLRVRDSXl5YjJpNFJaazZGVFAzZXYzMXVyWHIvL29tM1hXeXMwNTY5eXp6LzcyM3QrWGN5WHZKUnpZWGlkN1IzdllsaTFiWUZqcEJ5YVpodG4rYy9jZnV2Nlo1RDg2eHhiSks1amlUdGdZckZCbXl5SFlWc1V0TW9wYkpMMHdCQXkyWmZ0L0dRRDdyOWVXclRMYnR1K1EzU2tudjBzNmdMb1h0bldMak16V2JUTGJ0Mi9iSnUxTmx2YkR0aWx1VnpwNC9QUU9aZmRMc29kdXFKeTQrNmg4NStFenpkMzdQSVlCN1pPWGI2Ykl5YXVxN1QrZ3JxT3JkMFRmd01UVXpOemlsS1h0V1R0N2gzT09UcDVlM2o2K2ZoZjhRNjZFWGcwTGo0aU11eFYvT3dHYmVDYzFMVDBqODE3Vy9keTgvSUxDb3Q4ZUYxZFVWbFhYMU5iVlAzM2Uwa3B0YS8valJVY1BvNWZaMS8vbjZ6Y2pvMlBqRTVQdnAxaGNIdi9qM0tmNXp3dUw0TmUxYjk4RjY5RGZHLy9ZdFFVbTg5OU4vNWQyS1VydDJycHRtOHcyMlgvczJySTE0WjhCaXR1Mkh6eStRK20wdSt5bEc4cUhUdHpkcVhMbVVYbHp0OXpoa3g3QXZzczNoK1ZWdFUyNE91QS9wdjFueS83UERFdjV2N0xzdnh2MlAreGl3WGJMYkpFNlQwWVJob2FKeFVjcTdzUCsvMjZkSkQ0bVhYd0VPOHI5MHNJbHBwV2RnRzV3TUNwUlRpYWJUMko1dFF5NEdpNFF5SVB1Zk5WZmlaOHh3K3lFRHZNZFhxSDNsb2pPdkExUmVFaU9BRlgvakxnWjg2UjFVM0NrdVl3KytkSGk2NXJ4MWJHWUY2VWUrZm14RGU0MzcrYzVlNVZXbEF5L2pybkR4S0pYRUx3azRqWWNja3dZcHRkUHowUzBPR1RpVGlaZnFvUDZlZXZNS09TZUR4Q1NNYXRWOEhIVVE5TitpVW5UQTRnWjM0ckd2aStKbFBvMG5YMG1MbVg1aDRURi9sRFVYdmdLMTEwaDNDcUJwZHpGRWp4ZlRKaVFXRVdDZysxanhxdW1TWnRaMWFJVWRFVFNlOVpTa0hoUXZZUk1YaGZ1Ty9OcFJQdTNDTld0K3crbVdCejEwZmZwTWJ5VWdOWDd1MVl3UHlLQlhhUERoQnFBTEpFZTdzYktGcURIVWRzaFpVRy9kUElrN0JDdkIrc21jSWFlQUVqUEVhRWFsekE5SkxnK1FVV3J6T0s4d2ZtVlliQ3lCNjhBVEtiTXZtSDNhUjBmcDlKbDNDN0pwbjB6aW1paUpzdC9jSzZmL3ViSkdPbmxYWDhmL3JhejNKK21WVnJxVWU3L2xieU52OGVweFhWRFo5RDB3RXpmamJsbzYzS1B4b09XQmZyRER5cWVzZ3hpcUtqZ0MwZmV1dDZxOS9mQnZiVW1uM0gwOTZUTzFqNUFjMm93TFVURzZ0Wmd6R2NTNE8wRzZhMHpWKzg5dW9BZHdlekNYdVh6aUsrRzRCR280NkEyQW00Y0Q1ZkR4bDJZdERZSGt6eGJBTjJITk4xM3BsYWJSTVdsNXhjV2lydmV0bFJDUHl3VjYxWW5Wa2Vhc3krSysraDd4UWVFWjZrUXNRNW5MalU4YlFIZDN1ckRJbVZLWUczRzM5QUg4QU5heGlQaWZTN3gwUTJtWlkrdjBWdlFkNjIxT240Q3JjLy85VHFXSHpBWUdWQVNxekR0VnBtZC9CTzIxbk5Tbk5BaG5TUkYvR1lVNnRQMGdVTkhrVUxsa1lIdUNON3RzYXRBUGtKSkFndkxIS3NHS0lLK0o3ZksxRkI2SGREM20wdDFtdXJzOHlNQnZRdFZOVk9yRWxoclg5cEtyRUlqUG81RHo2SWRFOVhTWTRkWUdCNWNxTHd1YUJjUjQ0ZTJSS0NiMTVldE9HeE43T3dxdDZsKzh6TFd3UlBFbDRDVlluazE4alRXMXhaRWRydXhwam4yT1p4VlJRaGpEKzZyb2ZESWNMOU9NS09XVUlNZDZKNEVXZERWZDNiSUxCc0R5UGlhMFRVdjRMZE9FKzUyMzl3cXJ4Q243OWR2SlJvZUNZVWlGUVluU1MyQ2ZaL0c2cDJMaTlNcWZacmN5WU1CUmNVbld2SlBGZVNIcmZJTTR6enZrL1VFK1MrcVhVenRxK1hsSFMrTnl5TmF4M3pmRnB1bjBDTjNFV1N6azVQNEVsalBpaS9QK2s1QzloVWlacFFRRnVSckI4VWo3MzIzMGY4ZHdCV1I0REVvcTZoZzQ2SnVtc3BFNEtKL1VhWVJDdW1IcldTcTQyNXZPRUxwRlQrM3ExTW5rTXZSWUJSUHJZOTA5eXVXd211QXpQZzgyUXlhR1g1TUF0dU9jNndYb29CUDdSd0pUQmFiTWkrNExxb1RuOEFQK2RBTTNnbDFlT2o5d2pNVFFxUnM5cTNWREZXOExva3hLVDRGWGlrMi9VS09xM1dnTEY0UHNJdlhlemppNk85ZU1NNEtuSHhJdnJCbVovaDlQYkNnZUdMZHVaYmNGZjk1UmQ5aDBudWY2YTJ1S2FhVmkrdmVqY0w3aG4vaHpZVCtRUHNyWkNwYURXVUpmYkx4aWQwbTNBZUY4RmV6ZzQ5bG4yN05QRCtwQTdRemlQS0xzOGZCYlhkTTB3ZG4wcnUrUE4xd3pibmRFVisxUG5IK3creitTNFZmWmpScnp1d3RjT3dyUFRSMzZzMnhOSStYK1ZWaklTb2RiU3pIaE12UjJ0UERPcmMzdGUvRTd3UFlRbE5TUDMzREhySHlXZ0pMbDhDRXlyNFNXTTJCMDZKR01XcXZnOUFLTHBnN29PbEFsTUE0eFkrMStHamdmTThKbTI2dDN5ZWR1MzBkcVVjUFJ3VHAvQmE2am5lQ3Fwb0U0OVV6VlU5cVdRNnRFaGpnalVGK1NSUW5QMTdYT2ZCRDNPVGRMOWRkWlRseUd6S1lYL0VJMEczRnNHS2dMakFZLzRZTytHTDJ2cTczWHp6dXZJTU10b3ZsemwyN1JqRlZPT3c5a2xGZU9jM0NUd2xhSXI1R0REVU0xQytZUlNmRTFRWXMzcmEwWTg2UWdWR2pkeTRjeW9IMzJBYWUyL0ljWjJoYVEzQkFWR0Y5Z0UvU0VyOHIwNWtReTBMcmZMVUgrSzFDQjhpVGkzZ3dLd3RJWUN0dW13NUNpMmZEMzlBN3hEUDAxdFhzVzI0YWtBWlhSUUxiMXhxQXlQSXAyd2JRMDAwSDNSaitSLzJSbVhncHRGMmcwMEFEZDJtaklOZzExT0JFYWNRYnN0TjE1c1ZGaTc3U1VJT0hxQUZsOTdHNUI2Rlc5dGF6YjBkdXVMZ2UwN093anp4K3MxUnp0SDU1c2NmNncrSXhSNiswSzJPakxrNU9DbFo5N3E2RDRwZnVkdnY2L056dFZHRC9hOE1wYk82RFJnV1BSUlhvVVBvdmhGYmYzcUg3N04zZlJGSDg5WjdWYmJqNFpxQ1dFWnRTVE1yb3RPSlFkdU13MENrdVFnbnk1YzZOaVpFUUZkVHdCMTNyT1VqRnlJMk1oa2Jzb28wejR4akU2ZXJLb2FmaU5DN0pCQXk2Mzg5TEtMMTBoWFhUTTRJcThOWFcvYklSZE9UenFrNzE2TzNQczdsM0Fxb0NjOGZKVjBiUzdzUTVuckpnRkx0L3gyUkpZTzJJWlUvQXVjOHlrMEYvSU0xVjhPVjJJSnUzSTI5NytrUURKMWJhM3dydmlZVkIvVCszalY4ckg3djFNc2VXZ1RJRVkvTElGN3JySTliTjFnWEtnZS83TmVmeWdabUExbCtkY3MzbkNjdHEwbkRTL0NmM1EyRWN3a09USVJYOGpEVFJwRk90Nk5PSHhmSUhlUTFCSjVub1ZsTDNrTUtpTCtvQUtQWFg1cWF6OENjQWZTLzZteWl1ejBjdDczT1pFZUIyMzlxR1I0SXZQam96NGQrVTFlaUhtUm84cXR6ZzQ4YkFzS0s0cE9VVmtDak5VZ0Jma0M3cVFJY2lmNkVmK0U2WkRudUZQeEVnZ1dWckhZTWlnQ0ozRU1QWXRRcnB6Uzg3Y3JzTW1hZ0RVQnlvek5zNk14QWw2TnE2ZGtaZFJKMlJ3REtwY0RVc3VyZnQyR0NNRWFWMUFGbURVNUF1WDFWMHowVFQyYmVranc1NHM5ODc5M2ZZdlpxdWVBOS9LSUcxSktUSGZudDJ1UG1uU1ZaTkFlaUtOVTEwbnA1MUdsVE5xejdyTDN6YTA4enFLVmhxcEEwU2V2Q2hQbG85QmVjbTAxYmNGQTErd3huZCtteGZKcU40WkRTdjExVmxKa3lqdzNQK0Z1dEI1SlZGZjBWU1cvbmdLVWRMcS9HS1NzKzhkZkpZanRYbm1mSlRKZ1ZqL3ZtbkpEQUhFODBrVzlBMXN4SkxZcWkvTGVDaEZiQkVwMUhxS2h5YmVYcnMydmRrZVBDNzcwa1c4UXA2RjRhcDBhaW9iQVZQcC9HanhrYXJyU3YyZmJ3a3ErbFQzQmR0eFg2aERySE1Sd0NTUjFweGxNQzJyWXZvMzNMMGVMSE1WVTJjTi9RQ05CVHZPZ2k4ZkNYZURmcjJmdW9BN012cm1HQ0xvRnhVaE5xTk0yOVBaYWJ3M1FBQ1kwanVzOVoyUUFtYllEdENOWkpoekNMQWJaWkZXWFA2eG1SeTF5eEZxRHpLWFJXcTJLRXZ1cjJQdHo2KzZZenZwNmtBSTJJcEMyZzVBeVgxaUkrTFVsRVdFSWtwMW5nM3lhR25aT1Q5am0zbzdTQUlWUUpldFdrZEJIV0pGNDIrcmNRRk5nTnVxWTNmbzExWmkrTHBIcHBXQnRja0cxMkY1anhSYnhYdkV2M2FHZDBrOUFNVFVua3ZBZEpLcU5SVDV1TjRQZXpHYkxkWVU0aHlIcFFWeXlNMi9XWWdkcDhaeXpjTDU4dDdqWlBsMEZ2OUk0dm5hSTk1Y0Uyb0JpTWZIbkQwTzJGLzFGRHRoNmdpWE9ENE1iK3BwOGhpUDl6WmNxM3cycUhscDFQMk43SVR2RStwUk5xZmFPWHJuL2x5SW9GczRMR2VTM1h5ZU5CWjZaOWZQMVJBdmZWQlQ3czZWQ2VwNGJoMTNLWXQvdDNzeVpHREk0MTBEZ2tCdUJPMkRDcDhuWDBTOW9xdFJPY1UrZHpwL0xNdG9TMmpMOEowZGZwbHI0L0w1UlZzZTQ3NmUyMHBaWHIrL0ZHTTZwRzVEQUxwOEV0Uk5hK1FPU3FJbFViTm55ZW1PdGRPRG9Kcllqa1hrM1VQYTlhVnd1RkFRL0VVWWVybVZJQmRTTnl1MDJZRnBzdy94Mkswb3Y1Nm12cTlYV2d0SGRrZ2dUbnVGbVZJWU9CUjhWYkNHaUZZczFFQzZ6NUR2NUl0Z1dYcDh6UU54ZkpyVXI5TDg3VUV4ckF3L3RZdUxRRTNTV3FFTUtNQXI2NW1ha3VyZU93K3Y5K1hmdURTQytvZlk2dk1OZTNDRGVYcW5KSnBiYWUxcXR6MlVFdHNzYmZ5dzdPLzE4d04rWGlkZER4dGZJNjU2ZjM5OGVzZWR5ZXo4NlhCcGErVEdtMHE4clZwVkxYOW5tSk5ZSW5sWDVIdjNWWDhZTEV2N2xQYXA3OFh5SmNzK283UFZYTGhtdmgzTk1VeEhMcU93TkFnZFBzSlhUczB1eHJOTFFuWllpdnBncEhVTHF2ZXVBQkdWYi9SL0wyRDZQWjlyYzhEZ3dlclh5ZkVheFdnOHE3a1JiSmFmWHh1RjU2Y3ZzQzZqVG9Jd3Z0WFdYcjg5V1h2cEtUTmZmaDNFdGdXNFVFQUljZ0U2WDBZTGV3YUg1a2pnWVZrcjhMMU1pblNMMFRXUzg3Vng1V2ZOOEplRGJGZThqRTUzeEZLa1NoemFKSXJsVWM5cWhzbTZxYTA5cnBJOVpuOFFwKzJkdkZOTnVDSmVUL0tJMlZWMGtiUW5LZjA1dGh1eWs2c0xJK1VncHgvWjQwR1d6aWhuN3BBeis0T1FycHBySEpVOEg3UUxRdGx4cXhoUmRCK2dGS2orVU9adjBiZEVCNEJ4c1EvUWpjb09Fc3dObTBGZGZJRDFPNExvalBGR3NubVVWTDRucEI2UEJZVE9EMTFnZEI5R24zWmNHRGdOWmZhMmtvVk5kQmtQZ1RPQkg0NDEzdzZOblpic0UxaVdGbGkwS0dNL1krcWN1Mjk3SzVlVkdCcnZ2bHdNMHhqaE9KNk1tZjM2NjhPeXE1ZWk2N3lmbG1lZENONy9xRGNhWE5FUFBQSWIzWERQazRkamhZb2J3TW4xTWY4aWZzR2swVzk0NldVcTk5eWFETVY5dzE3TFZQdUgvbDk2Ly9jYUFla1M3cEllR05DNTVRaEJDSG81NzdpT21UbTkzVlQzRWtwZ2w1SllQa1JoRzVyOUhJZjRRcEZkQjREL3l6ekpkTHdFY2grRUcyOWhldml5eXhpb2JPRXAyT3JqWDRYTTRHd3pGV2hKeS9aS1dwcE04aHNZdkxjdTF1OXVWL0ZQT2VTUHhPMEwyb2Z5NHJSeFhMdk8yQk9qS0RETlE5N0FzdGFlcDNRSlhEMXA5R1BFbGphay9tV2NmRXVpSWRSdkRDTjliUk52ck94U0pBUHZ4UFR3b3VndDVJckN2c1pxcGI0dktRR2JFUGcyWGVkTnJXUmx1VEJKOVhkY0x6SGc4REEzL1B5RXl1cThpSU1kVWR2ZDl5a2Z2Q3FtQXM5MHVab3dXQlpET1d4Vy9OMXRFWDVOdFhPTjJ2WUxUVlBIS2M1S1hFRkZTVTJJY3dPMGowVEFqelNzaWk5OHdRdWhPSlBmakVxTkRNdFFjQ2Z1RlM5Yk0vZzdtaXViM2cvVlJMbHFOZTVnK3MwS0NDMGxGL1F0VWRrRTlwcVNrQTF3WFhwNXAyWEl2bTBOVHdDME9NbDlPNkNJM0NtLzFCNVNBSnpILzhHVjhLcFBaem5pbXBYRXVJM0hjWHZwRFJTOW9FMDdmSENNdithM1FtcE5RcGRPb0JnQ3ZxdUxqaWZJL1NPRGFsZW12MEJjQkhsekxib3BncFdzd2d4RXBpQzBIcThkUXNZSzBnU1BaVVdOYXQrcGZBT05BTnh3QVVvUUJsRTBwV3RFeHF4U0Uvb0FYdVB0U0ZnTHNDQmFuMEkxZzFjUURWV21ZRzNBbEYwclJlQXM4TklwN1RXbVlETDRxTmpRdlMrMmd3ZE1LeFlHQzBpRTBKSlJQb092REZPSGh5Nmk0NzlBNmNNTm5DSlJKb1MxQk1rSzVZcmtvSldkL1Q3bjUxR0lLS25vejIxODdSdURpRnU4MGZNOUZSa2ZkV1NlWFJ0MEZCSWtnS1ZreEVSYmF5b3JyYllQWkcrMjA2OTRGRHBwZUIwQjlPL0ZqMXpMTy9mTExDb1ArTGtZdlRVL2thSGozUEE0TGtYb3pleTUyNFhkMURuQmcxYzlPUDB0U3ZxMys0cXNQdDYyZERzQS8vTXJlVEZWVDVsWmQ5dTlUUCs0cjZ5azEzakZGUERhWnNBTjRTcVdHV2E5Ym53VVhmZGg0V092S2k0U0liVEdHL3M4ck1jN1l5ZWhEeVhEbnBMUzVmaERkM3VLTEVhY1FVV2JiS1VMbnJZR1UvRDRteDF5Y280VDhpKzBqYjU4S2JkcmZkVmJ0QzU0blhmYUh6QS90eDNuODNVaTM0dG1tanBlTDByUmxwdTlUekIvdDRHOHVVQktmamJDVUpWbjYrcnRpTnFmcDF1R2xKSDJ4RENTSGR2dHpCMUtkWGhnRi80Qm1VRkxnMlRZc2l4RXB2cVd4emtUaWx4ZmhldjZmUmw2TnpJOTJoUDk0ZHZSbGluOU9iaktmZmE3K3hvYmdqM3p4U3F5SWgzeFJxSnMrclpDMm9qbittQTQ0eGE3NFoxVVhIMFdGdkNpUWlVRHRBdlZMVDFBeWJ2M2VvdlZvdFNpR093YUEzbGl4TTFoaUk5RDlxelA5bzdpcnd6R0hYZG5iZTN1bitLOU9jL3dYRDY5aGdmN3dsK1VpTnVsalh3SDR2R2YwMnZWMm00MFBNKytFcWx4V3RYbDdXQm9ndU9ET1U5am5iamFiOFhIUTFWdjMyamJ0elIrWnZ5ZVdobTAzNTY2R1p4d25JbzM4YlZvcld0S3l1QWorak8zbFdQOURmeVhHWmR5NWp2clhXRTIweVFZbFh5V0ZIbTdCRHEyUEtYTDl6MHptbXZ2MXVrZkl4UHVNOGFFaXBQaXVVMXF5QTZKNGVkOGkxTmxJNk95b0xmRDRIU3BkcEtPZUs1QytJVjRmNlJaN2FYTHVrMGRlTG1xS056OXkrMC9ySFg0ZW1SMzJ5Tm52d1Y4aWtvaWMvT3ROWXJYd3JXQjZYMElGTzh5NFhEbG9PaUhNZHdwM2xFTldoQUxHZGJCVG4zYU8wRHZ1U0VtVldTb1R4bXNBR0lFQ3FlL0JsWXo4Q1pseSswVFZxV3ZlQnBKbmlNZm90Vys1bmFNVVoxWG5MV2lKZ25MbFB1MFo4NTlLS3oyZkRPQklERVN4Q3FoQWxtUUNJRGt5VldBTkVNK3IzZ3ZSMEFTVXBtenJhQnZuYzdveW93MkNobW1jWWZFemo5emUxWUF0UHlyUHFudS9XTDZsZFlwQXpxaWpMbTJjT0ZwdFpvak12WTViYk96TXJkejFxanVKRUQrKzQ2cFVkNjZ4bGMvMnZtd3RNNGoyaDlycWlvZFVrbC84ZTVuVFV2ZnNoL1ZqZHY4ZnFJVnc1dm5HSS9HVzBUZThxR29oWUd2REJkdmZrNldZTUFodkJSUlZ4cE9WUWMya1JDUXo3anQ2YVJTc0dPVWowZ3RJZGM2ckI1M3NsNmp1MWp0NXlSY0xkR2lNSW8wK2pzQW8wK3RLc2YxVzlZMnRqbUgxTWVwdDBlaDNwaVN2N0dMc0E4SDFwZWlBZk5CU2RGdjZKTWxuem83WHA5UkUxaGtDZ1hIVWJKSnV6dGRLa2lkUHNTWXRBWk42RlVYbGd2T3IxTUUvVE4vdmdjaUtldm9MbWtIWjlWRXpxWXdvMWNWdmplY0pUbWlBUkd2VGp5VFhQUHFNdnpZeXo4cXU4ckZseW83Q200RE5SSUNXcEFqeVY3NVM1blZlb3JwOUZXK0c2c1F6Y2JjQitDamhEVE9nOXlNZkR3aWVzTExHU0cwSkNMMlNNZVk0VmxDazl5dStBdWJXMmpKbWo0Wi84WVVtVTRLNVRjVkZMang3b1FjSG9iOWhKNHJOYit1bDlwOE5hWUpsWDhxTXpPd2NuMC9aUGVCNFBHZTBmelZXYWNibEpsdDMwSTZpcDVjQ0F1TzM4T0dlWjZJei9TL25oSnJsZmdrc0dqQWtQOU9BdmJkVVhCN0hDU3hlblhUaTMxL2dTTGJ1QXA0YTRFcGttL09KakFhTWRRaVl5WkFKN2JTZ1IvTlEyOXQxTlJtbE8vaUo3U0k5ZzdJRHAzUS93S1RWMWxiaVlsZHBxQ1NmemFYbnBtaTFGdEx5WnpkdmY0dGZnR214M3NYdityWk01OHhwQm4yL1BPTWFOWTlLVWx2Z1FtSSs2UndHQzQ3YUJNTjBKNW1ZSU9KK3pIMHJsdERRMUxZcGtpUG5LbFpETkVTQURXMDNHMlRaQTVFd0dQUnl1RlMxWHNQRGpQMDBzeDZuUkVwbGhIOHlTd1hkMjhMZHlKaVdzbVVtcHgrMDd5OThZN0JlL3lsdVZMYng4cU8rUVhKdi9iL2JlRnFpcVI0NzFNZTdMVG93Yi9tSmp4aGhtTHQyYWRJOW1kaDNmMkhOZk5PZVg1SUw4NG9TUzMzZmhScEw3RFRLMnJXVTZ4VC9vSGo1czM4L0pDVmR3RGRidnRWTTV2K2FkaGNrbUFNNG5sMmIxT0FseFczNC9NRHJ6Q3RCb3gyeG53OXk4RkY5OEpuZXVITmsyRjhjTXJwa2ErdHBBcHdIY1k0ME9Kc1R3NGJFRzluYm1pNzlKN3B5eVBONVRHQ3N2cFBNQWphNGJSQWVJOTZuZHF4em1DL3hLWEJPbktDaXVkeFhKY0NlenF5VTBkd21JS1JIQTEwbXYwS3JySytydW1lSEppYWVEWlNFVERHL1ByNjcvenFuTHI1VndjeXZZZFRPeDJlakluZDJSdHJlcURPNGpNUUJuaFJ4SFVmaW1oaTVUQTdpRmthR2I0YVMwNUtBNW9FRHdhUmNsaDFiaDZkOFVxNHRlWXJmR0R5b3c3YnN2Tm0wYkM4eFBVb2YyUWxVQWdJZ3BkUUJwQ0JadkowMk5TN25sTzJaRVgxUlVlbEtrMkF5OFh4RnJQbnIvSTloNC9SY3BDeVltcXJHMFR3Z0JiM3RBS2VwTkFZUFk2YXNYQzJGRUV3REhxUmVjRnJxWlZyOXJFYU1DU1pWZ20rdUpTTm1ZdkZNQlVpcmpqV3RJRUtRbld6NDhJSTdoRHlwRmFlOERDN0xwdzgrQkR3N0dvTlNoMVV4TXJ3b1dCZkY3dHExaVdCQ2JJaHpSNGJqbkZLNW05UkVXY0ZXQldzbmtva3I2SFNya2ZyQUZaQWF1Y3Z1ekd0a3FRSWJDRDV2aGRXeFVDdXRrN3hZZ0kvL0VtRXU5eHExL29xREUxeC93TWxUNW11dVBsMzRXWVgrakFlWG9tVFU0cXBJbW9ZOUtTZEk1bUdUZ0Z1WFdYYVUrMEJzbHlhMVBSSVlNRWJ4Q1IxVWcrV05RajFyby82U1FsSk41WWVsOUhtbGg3clAyekR3djVDMG9EWnd0K3FuK0tpYkFrcEZvZjRJbndYMGNaN2JPdEJoNzFwdkNtMExId2ZvV01VcjZuMFJ4RmJmZWhjbytDSDV6ZTNMaFY3ZTlYMTNoMjdzTGxhblJ5dTd4M3RFUForZUphRDUrNk9ZTzJHcjYzaytPTHV0ZVdUcDJZNW84TjZrVTNxdmlXYnJtTmxlcjVCampLcGpmT1JOUnlDMzZYaGhiVjRiekJhY0hTS001elUxbDREQkp0K2dnUGpJc1BTdmY4NTVlcjJ4Ym8rNnkzYkZvSWNlK3VhVEMxNUtGTG13ZXdKL3ZLRE4rWmtoU2k3dlRmRlRwVWZRaGNPQ3BHUUk4SXlWeXl4N1RYNk8rVDE5Q2VFaGhYQ2pnWS9mTlBvaGQwMEE4QmVMREZhVS8vNXZjaUFEYzJhNUluSkNpak5JUUU2VWFVaXQvTkdvc2UwL1J3U0NnVmVNa2s3V3gxU3lNMGF4WHczVlFqYUthZ2I4NnRYVFVUTk9RQzRybGFockVKUmlHS3ZvV0sySU5ONk5WU0I0Z3AzNGhxQyt5OXNWS2FpOWlOdXpENnJjRm9CMU1DQzRnNm1oeHBHakhzTmFzdzVoMzFodURKZUpzVzR1b0ZORmNmY0twV1Z5cnhxUFh4bWJ2eG9QYVVibGVsRTFmMXFYZlJhb2pjelp1ZTlSYURudTJtWS80Mzg3b21UNVpXNjA0VTNuZkVWWE9JMDd1NHE3MHY0aHNJTXJpVG9vWllZeE1GWTAyUERiU0d1Qi9kS29HOStxMUphZDU3dExVa1NsTlZpcThzeUJNZy9nenExaHV5WHllYlptYkdVaDFiWnd4ZHh1STFBeU1FQytHVHVKcmFUUUp1OTRpcGthMWpGNkMyOG15OU9Pajc3SlBiRzJGQzVRQ3hQSklTUVlrTHZhSFR1bEs3VkF4ZmJxNy83RCtZN2F4YzRoSmdOMFpWMEhQL3BUK3hGaE0wTmJqN2EzS3pYZUxrdWxmaTVlTG90U1o4aEc1aGJ1Y0hrNFNXQno4dXJ4aFNFeWl4aHNMVkFhbkt5WGc3UWYyYmJicWloV0VpSHhKVVRJalFrZjQrQ1F5TzcwSHRnVW8yTCtLSDZOdndSOFhTbjlxUTl5U3djSjBPVVQ3T1pkTUs2dWZaNTZsbDAwT0hVb3VScWJkY01JSjVVVDZ5S1FabmlrN0Rtd3Q5dEk2TTRSWERpd2xaSmprZTh6MXFIbEMvL2FOb0k2VDRuU2dIWndlZWNWUENUMkhreFhvNERGalVyeXNpMFNOZDROek1GUHlQd3JQdlVDcFlRci81N0I0UXNVelkxQlZpODl4QWJmUjJtZ1pPRzFENHRoR1dnekxCdnBuOG1UNHFsS3VhZmJMbFZyYW1hN1RyMXo0WHA2VUJDU3dpVm5rSnJ5Q2kwVVBkbE1KWnBKUmJYcVBveTRScDBmZGszLzZ2UzhmRFZlOTRTV0FJQ1l6elcyRjFkdmlOMTlqMkJQVUhHL0dsSnh6YkpsaFdqNzk4VWk2NVJmMWptWDU1Y2tKS2txUjhXanV2TitTYzFvK0VhVnR1ZGhUaHZkTE1ZUGtUUDJrZ1M4VWg1MG4vK1dpdEFJalhsV3pVMURueHpEemNHUC9tc25MaHJ5Y1JRWGJPeUpKYm4zWGN0c2cvS21xdVZQL1MySkxnNkNWNGF0dzZVajNrNURLb28zWE9ZdW8wTFV5N29jNGNGZkhHZzlpbGI1dXJVbEd0bW5jakxiOWE3c2lndnFOejJROERKVVdySFVjcU91T3EvdWRETFRpc1ZQbnV1eEM5OTFmdTVuMzU2ZnVoVGpkcE1QVWk3NHVQVEtDWWZNU1U5SWF3KzFzR3RlMFBvdjhFamdCTTk0YnFGTC85bEpTdFFUYnYwVG80RVhPb3M3WGo0UVNUeFhLZWxpdmpYZURTb3BJdXJtMkdxaGo5VUJMNHVyL0Fiblk0Z1c2ZEdJZ3hiVzB0TFk5dFRyWi9RcWxJY0RGa093eXEvZFU0VVcvSERBYm5TaWxxT25JT2pKak9PSkFXYmNEZlZPUFlwR0J6L1RvdkY3dFFzbEZHNFpaNjZhcWJqc05hcTkxaHZiVER3TVJkUG1sdmhMcmJBOU41NmpEVmNFWG1GZTM0bUZEL2NrZFo2NGJxSHhQRitLSkdmQUtoMjhnNmF2UGk2VTA1Y1krUHBRUzJ2QVljb0NsTmkzc0pMYjE0UlpDUUlpMHdKSFZzS2cvZkVsb3JoQUU1L1NuR09CZWdoVWw0VG1MUVpTRWZQbk92LzNzV2xESHFDRTN4endMNDVxY08wYUVKUE5HaGtkVmdvbURQdjZHZTQzSUx5SzRxNnlON1l0YVRFK2ZOYTk1TWpDWjEyV2xxVDYvbmVUcWRtRHJsMVdCQkhSZ3dITTA1NTVIK2NiVDJURjVkcmZka2ZjRGFKcGUwTE9LZ0h5SVVDWndLOWo1NkpCM1NpMTFtYkRyajMzVWdWdG81UXpBL3lHUE5IbklIMy9JWmFQaEZVUnI2Y25KQWo3OTV1dGhZbUFTRmNneUh1YzlwUHhMVUZqZVV3MUhxSTYxSVZld29zMTExb3QwOXh6Wm9MTG1RSWRBU0ZUYVpCa1E1UzJEUXdmWGwrRXZWdEY4bjJ5MDdoTWRFOXlrS3RNYjF2ZjJ4bGJhMXRlbThNbjdveThEQVNQVTh4OWpZYXlFcEdpcmo2b25xa3l1cldSTFlzL2xsVDdDOXp6S3oxKzJCQk5hOHZ0d09KdkIya0xlbk56WHdTZEwrbHZXZVdBUzIzN050cExGOHRQVmxzbTN2ckNGUVNDWUhuNjVaRUV3SVZQZCtZRHRxUHNuZnk1cHV2SDcyRVdXK2ZXV0xWRVQ5QnNsRmcrMGNOcE05eFJETERVcC9HUUZYTTNINlFEOC9rN0Y2ajc1RGJDeFZBZXd0T0RYS0VuMHZ6ZzNRdzBBSm9QRnNMRXo4bXRScW5NZHprMWJYVWRvUE9FZWdxN3F3aTVOai9HbVd3U09MWmgvei9MWlRKMHFTRnpwanpROG5Gb2J0N050L0x0bkhoQU1BR1loZHU2MFhUak1PMk45TWQ2eTkwRlpwdHZBdUxYUmJ3eHRhWUphbkFOK1RhZk5KM0pLWWxIakt4ZkdVWFkrWDh2TzUyOVd4ZDl4OFg3LytSR3J6WFhiZTFBbEhQRXRZbWVNM1lDQ2QxZVh5VFJ0b21zdGV2ckhwaUoyVUpuQTNCWnltNlBFMFV4MmVnek1IMEwyczlVeWhBMmQxTDFhbUI0U0lQYk9IZ0tGN2w2SkU4RjZmbG9qaXdwSzZ6N2VMMjU3WVVNY0t5ZkRQUmNLamNFZy9WcVR1dTN4U0FzdUdRNXNTMk1nclNtYTVLSzFtRkhrMGhpeE5GbGtrd0RZSEpVSWV6dnY1ajB6K1lWYXdqdWhwMXpJeXhJUUFuRHYzS1dEZ0ZqWDNpMW43SlJQbm1IVjVyek52NmRjbHNCNnBxRTBwbE1DR3EvRU1OUFJNeWlIb29xUHlBeHJaRHc4OVZMOVB5ZXExVkNMcmUvWFdxczQ0WWNPRDlMS1lxS3VmVDdrVmVpM01PcDdKVjByd3F2L0RLYnF1S1hSYmZpTCtEV0hBbGVTYjdKa1E2MFhlOS9rTzRhRUVkazFPcUZtdjRDQ0lnZlJyaFQ3VVViMk8wZFk2UWlSQmlZMVRHVGM5U0lrQS9CY0lBRlYyK1hVMGVPYjFGWUE2S0NESEVkRExuT0VBYko0TDZrQ0c0YUR1Ri9qK3lUTEN2MTduTjJLbS8vb0tpVHp3Rk0ya3BHTmE0SXo5UDQ0SnRZcU4yaGtVbGd5dnZmOUNmSkM2TXptNk16bnVhVEJVSWdnWFBmSDhhV3psYUI3alZ3alZOOExvTGV4SUgrOXJqeU5IV2w0eHU2M2FQbnRUakpZK3AwRDJJdWw1MkxMWm53ZFNwSHZkYll0Q0hYNStaZVhxYVNrRUdiOGVWa3g1bzlsVCtzdnlEcmZkdVhPcFRydnN5V3A2ZXRHSm4wb2lqVjVZYUwvdy9QanBmTXVEK1dyUjM1UTdFNm11QTNsKzJueFowS3hhVFg4dGVMVGtJMzRvOXppQVVJZ2l0TFpuMFRuVjlKWVp5b29Pa01SeFl6anZsTUF1d2FkcGFEazdJSUcvL2hDRkRvRHlWdWdJQXFmVUhXcENxS0NsRzNwMWFHcTQwN0lZZHd4S3ZEVVFwWG1TZVd4SnJuN3g2dUthcTVsaXdFelMrdkpqQ1V4blRTeWZLSUdGdmViQVJiY3BRdVczTkZzUkZYMlZ5Rm9YTEVDYVVvbVNTbENqWHlKQ3VnV0NacDViaGxTVWR5b0EwN3orSEhRVVBJdXQxdWtNN09xbEszVWVUT0JlQWoyNWJRVThBcVRybWhNZnhxUHZDbktzZ25MZkdzbjJhY25SeDJPRlZ0VUJjSlhQejIyam4vcUo2M0U2a0E0UXhsRkxyd0xNWDFIU0NMdng4cEJ1dE05cWNGRzNCQ2FIaytGaU1yVlVpd0xIRHJhMjBTZXVBTkpsdEQ3UmNFejJFY3oyOU8zcXNpTXJ6UDFsNXZQSTVXUjFwOEVUdW4vVnM3STMzNE1jMGpmYUR6L1lkd1NqMWZ5dzZtcnRYOVBuYzh4bEhjMm1pMXJuSGx6bTV3YXVzS3liY09zdlA4Vk9QYjBkT2ZIbFMvWFV6Wm0yTy9FcTdzR0pkZi83Nlp0dkR3RnczaXlKa3pweFd1cmp4S25zZXk0ZkNNOUl5emx4T25XRko2OFhydUYyQU5ydWdkWmJPc2N6TGx3c3RwZ3pPSng0c0dCZnRqMG5lUXFUUXdCY1NlK3RCRCtBay84STNqMnhHdmcrd25QaWd3QW0ramx4ZVFpMDZoM2tVYWJZWFBpOWdGNkNVcWNuQUg4bDI4dmVTeDF0d0tLV0Y4VVdvT0o4RUhpMVhKQkQ4TFZlVkU5bm1rYkhKcmUyNDR1V083NnZUQ3hZVGR2bmRjd0VtZjcxb25CeHFLaDRLTUJwMGlWd0k2d1AwMTRjVGxMQkd3cVBBYkxMTFp1MnVCaENxdGJKWjFBOFAxWWRrdTBqTlNla0NoR0loMDAwVmVGSmlDbmx2MXBJbHF6Z0phVERENHJrTTZTeWtzN1JJQk04bW9Gcnhkc0xxeHRwajFRcDhZVGF4YjNUdUQvWUIzRDdxckZTUGF2YzlBL05JTFRkUXVtQUd0RHo2TERlQkRhMVZxZ3Mxcmh1bXRuUkRPNXNiaVZBQmo5YnF0NHorVWhQUGpFYmRHakFyZVNuclN6RFU0MU5sKzZmN29INGdtQXBMZGZCT1VIWkhGSWFSbGs2WFJsSkJuVUFkdzNLQ1FFWlBZZ1dkaDhjMGlObTRZOVRHQ1NsU0pLY1dGRUlCdzF3NWkrZzBFMVBvUUpRbTltcHgzY20zdDBJeS9vNHpJWGl3L0Jpd3pHaC9kY2xkZkx2enpQZG1rSFVaRDhOUGt5bGI0ZUsrTkw5VDJLT29OS2JvR3hmNkFJd0pONjV0dW1JQ3dJYlp4R280NWpNRGZZOVk3eTYwRkRxNGwrd0ZHWWh5MllvWjNhZXNSNnMrM0k0MmlSenJIWHdUdUozcjNaZzhoN1NoTzVUUEREbnRLK2VjTFhqVWJrbmZPWFQydU8zKzBLZDBxMUREUXFPbkRGcFduVHlhamFKYURwWGYyYVBkMGlZdS81RXBZVjkvSEdUaUlrNjhzQnU2MUJqTzQ4YnR4SVg3YjBKdDhiR0FtckdrcXMremxRVVBzd0VrODZDNHBmUklFR3E0NFZLN2J6YVhpSUNPdHc3cXdYbGNVUlJIbENMRklKRDBCL1N1aWg0VmdhSG9tcG1MMENHUE5sZUNxUnZURFo3RkJIR1oyZG1NbEZhb0d3SzdpRGdiRnYyWmZvMHVJMitweEYvMkEvSzdLUHBidlp6a1N2U1NxdUlPb2FONVJROVJGOWxFekV0N0d4Y0hEREtRek14bWUxMDFYZ0piQ3FoZDFZVFpHZUlsYkNWM0lRMDJzR0F6NWExeTB1YlRyakV3dEVMZ0tBV0pMN0s3U0ptWFJPaXRTcERDSFdCRVdxK0t4V1J3LzY0S1M1eUNpUDRmUkozdkJLYnlpRHRsYnEwMUZJM2xUY2pQK3J2b2lFVlZ5bU91TnRRWWwxUVJKbjJxSkZ4N2xBZkhZNnprMUxaZmNDbmx6V1JEUkU2clhkSTZaMEozQUVqQW1QakFmeFNRNFRsVlVxSVRhZEdMcUhic2dhYUJFTzRGQ0k2WmdvZDRzWWl2R0p2cCszSEJVTUVvSUZEenlSYzNrV0M0VkREcHNRSHM0WVFrb2ZlQzgwSEROT014U09JVmtGV1E5UWRuZHJ1YkJ2bG52cUtjQzJWUEpkMmtKQWRnMFJTOVkwYksxdmlVYjl6dlY5Y0RDdzFjRHBSc1VhSVhUbDFsWlBYYSs5MVpjNXphdTFOcE9LTmVBLzNHT1dIeDdOVGF1WFAxN3VXcWx5c3AyWjZjVjIxM2g0Lzd6WG1UelI0VXE1U1lHaXZQK1pQR2ZNMzVKS2cyN0pDWldmeEkrN21iZ21NcDRQYktvSE5FeHlFVmpKaXVXb0o3QndneWlDQVNyUXRoRFU2NWNmUHFFOFYvOUMvekl1RWJoUDZnaGJpMlpENGtPOHJwRGpoRzRIeERNMHB4bndqd3QrSFNiMW15RkdUd0t3MllKdkY5NkV3c2ViZGY1aU5CRmFGL2FleVpXRmc5TC9ad3hMWW5uOEtYZ1JoeEJwOWlTUThTL2tGSTF6OXowY3QvOGFpUFAvUkMwMU5zWFJPQ1Fsd0s1bWV6bHBGSXRHWDRWTm5Gcjk4V1l3d05vNXBpa0hKWUhkYytHS3NWMUIyWWI3TU4vRnFzVytFOXFQSE00OS95OTBpRUttNC83VDl2elc4dVhRMkZEMkc4cjZFbXlCVUpncDJqT0QxeEpQc0ZqVkdrUE1aVVQ0ZUpqd3gza2c3aU1OQ0dFNTJOa0lxMm5iVGRnaU5ua0VGSFAyOFh2R1JrU0doTG5vUDFTak1hVVNZeEsyYWFjU2FlNDhabWRDVkxpd1VweTFjSTF3NVVsdlRUbU5GUlZtUnZ5WDRkTFFWdDY1V0Z5ZDB0RGhpWmp1aXFXRVZDWUdVa29LWmVrTTlqYUI2aDY4eVBYU3FCTWFrczV5WmhGWWlrWDQxbGpVcU9BRDBMMDhEUkQ0OWt4NjJLb05kOGhPVjBRN2h4MlI0VjZzUnkzekFscDl3RDJjYkFmcHlFMVlhZ0lBZU5UT3BYSVJlOGtqYnBzTHZ1S1ZSdUtNZmdXaW1WRGVNSWFrUjE1WnJJT2NxOFFSQlVhd0Q4WG0rRFBiMFM0RWFkSmVmRThzb1Uzc1gwNFFSeTYxc250NlBPOHd4MnNPeUNUa0h0R2NzRTdnZk43eHBwR3JNRXY3b0dPNFNPZEk4cWc1cTZGVWZ1bmRvOUR2NXpob0Ryd0RvWlhTcWZTbVM3dHVLTFdjMW05U3FSaVJJQVNCTjBkY0FRaG82SEprZGZBQ2FhWVNzK0E3THlTQ2NiMGJuVWhEaDZLMjAzYmlkTDB2T2dFVXA5R3ZzWDRvRHdqY2VQZ0tjZndLMVZkZUR0eWRITW5yVkoyaGZzYW5ucVdWdk5JemU0elVKM1k1RzNQdXpiRUdUS0ozVG5tS1NzZk9nRkR3SndzVDcreTlsbmJGVGNkY1RxcXg0V1BEdHZNNE5uNm40NVNrTTV0dDg0SjI3eStXdjd5a2hwejJydm42cWRhMGRyek5ZVmZSSnhPdno5TDRYQkEwVTlKM3c4RWcvVzFDYnY2cE4zbTFMT2psZjJxQW51OCs5enI1MG41OEYwOTNkc2YzTHl5Wm5RMmNtL1NvZE1oeGExZ2R0QlhHUURIaVNON2xDM2R5TE00VWFRR1ZPYlE5ZEUrY0N4Y2R2dXVFMEFkSFFML2dmb1pldk92YlErZWp0Z2VFb1hTaGw5dkN3SGtDNTkxM0IrVXpKT1ZER3JMM205Y1VKLzNwejRJUDZOK0llS1JDOUNad25yRVpmRjdMNEE3MFptVDczeS92RzQwSGlLWFNMVDExN3pmelBMVjB2b3lKTWlGbEZBWWRIS1RIR0psa3VQUC9YTitJdjJRdzJlaXg4WlFWOVNMYlpOQldxdDRsSzZXSG9YOUF0NDRWMDlQMWw4VGFjQ3VRTFJJNHkxZnh4ZDF5R3NveG9hcERhYWVDc3VxaXZZTitNMFAvS1JxKy9ldVRKQ0JBVDNCK3FNeENnTTlQVHAwdUlvcGk5ckY0QnRaaDJJd1grWlV6V2pibmFGWTFNZzJoVDdBWC9pTll5bXFDNjI3bndoOEcxSXpvNmxhNCt2dEdzZFJlckMxVmZ2cFFWQ2g4QllTdWhZTHMwcTlJakVmY0l6OWRYUWpiaDJDUUJCbElFNlF6Q05wd2hmekJNZ0lmU045MzhJY0dYSlE1aWVSMTA3dFU2Mmc3VkF3T0NLVWlmTTlYNE96alpOK2pHblduS3FjUTZuSGMrMFBsalRBek9nUkJYNXhaVmUwZVBzWklrbUlYSXF1WG1ETW8wU1N3bjRrR3Q5QjhYNFpXRWJqUWVGYmpMUGM1MHBldmxPUTJ4L0szTUt5MExrODJINjY2Y0NIQjYrYnp6ZTU1NGtFVEYvQ0kyRmc5cm9VUlAwT0dVcWFGWHMzdEZGVFI5S0ltUHVJZlRCRk1GWnlFaW1JcDVoNHVvRXU2RWpnTWE3aTZIKy9BN1JDM2lMUkY1bjlWcE9mOWdkSDh6RFRqYVFhM3BhbHhhUVhYVnNRWkRGUXFsaE9XZnZ6a3VWUDJCWVVrRFMwMnBYK1hFV3pUbmlRU21kWGJFVnVabndFNjdVaXlmME1WUC8yS3NkV1RxZnQvb1gzOXVLUmk0ODVDOHh6K3kwTkM0cGhDeHB6UnlUandTK2J6OHRJKzMzdEhuRGRFKzN0WDZUNmxlMzl4Yk1TZVpmUWxRSkp2bDJMNWljdjNUN1RtbnpsT3hXZ0ZCRVdIWXRtV2hoZ0F2allWdWZDOWFrWENWK0F0R2hhYURmeThWcVloVUZGSjRGcklDNHZyb3lpalZ3VTB2bkFwUU1QOExUc3F0NUxGaHZxQUVsbTU4aTdoZmFLditKUk41MXpUWjkwTExpM2VkUDYzd05FSXFIYXRtczB5dnY1bGlLeE00dFdoNTJxRkZhVEYzNnlHOTd4YzhFMlhIcno2Zy95QStBcFg4QkJZSFFuUnA5c3JIeUlvMUlBM0JOV2dUbkdlaWpDZFJQK0MyaU1wUldvditsY1prSUp0UnRzUGxQTzdjcUlrTmlyQy9yUkloV0o2NHZSSEsvb3hlbmdRaXB3VTNSYVZpbUhqSXgxOG9ObXlCRkFGUExxYTd3VTBsS0FKY01FZHB0MG1UY0pCczk5Nm9kWFV2M3dRd0ltOUpNVHlpYnJDV21aeWttVjlrZEswb1lkZit4eENTbGNUUkk2Sk96QWkzZ0prOXhIdGlPUWdET2dqaW9hRTY0VVhnS2gxVTQ3cTJnTVR1NHRMaTlWZjBIUFFXNjlOYytsNnNGWU9naXBmRDNvOXlwdThXUm8xVEd6Um1ESG5HdVJQNFE0QTQzV2FsakZ4Yi9aWmsvb05ldWgrTG5IU0VPL096WjdsSHRXVmU3YTdSeG1kTnQxNUVudkwwMXRSM1VxcDJaNW5sM3ZpVVBUTDZNZWZETkZYSG9zODlPOExKdVBib1NsVzFWdWh0MXJCSlhwZllNZllCaG5wNXNXTkhCcHJ6T3dad3F4MFh1aWRXK1lWYjRxUTNDTmFKcUNmMnE4RmpHazRqQng5YUVEalZieSticzRxZEx5a0hKaDRuZjFEYmUrNjFUdWNTWXBUOUhNTkVQcGkxR0NkRUlqTkptdkdrREpRQjJMN00zN1JkSU1oV2dMVTltRXk4QWVUT2pWWDdqUDlSOUJoOWRaV2x5dkRLZTRVNkRqV0Q3VDd2cUVFbitQeXU5WFRqTjhLejQ4dmZ6K0dzSWhvWjBkV29jck9TcUwra2VybExpcWE4VlNVQ3cwL01zT3JKaDBzck5RaDk3enk4OTY5eU9uZitzYnhUdldHcDB1K1BmalY4UjcrS3ZJdlppMWNZQUZlWkNGV1VMdGFjVjlSTFlXbndnMGg5R0xVb05CeWxHa1dReFNsVWZWaEFiTVh2eEcwWmJvVXJRSWE5ZEZXYWVaUUFzT1BHM2kzZVE2bGZWQ2YxMnZpNDJHSW00aE9qbzAzSXA2NTkyMHgrNmxVQlVDdDkyblpRYjVPZWJ6UXB2b3NNbnMwODNERUFrRzl5eCtOOXl6cTVwOTRhbUZSd2FvL2NyMTh4cnJRWUhkWTU5WUtlRWZqV1pUdzNJUy9sUWNnMi9tdDl5MXhCNmJPTjNIL3ZHeDlMYnl6aEwrcisxMWZnMlR4S056ME5yZG1wWS80THlseG9BTVdDZWErSzFDYjhxL3RUYUFhUUJnT3hWNmlEcXEyeGNxNk5QSW1OWmJLQ215dWRrMnYvWE5VcG1KNHlaVmErdEZheS84c1IxZ3dhOG1vWjdGVHhEeEpZV2pzUGMvK1dCTFlUU2xqQlhGYXZxV2ozT0JOalYvQ2xWanRLczZCcm5MSFRaTWI4L0pqeEZiK2ZmZHJNekJNUzRQczZsZjdzWE85WkpiSmxhYWFtRzBKajhHMEpUekFpWk9EYlZGblZMUUZIQ1ZjK0xIY1VwRDhLWHlORXFwNWpWT1VjOUp0NjRMbFRmT2ZmUWRvT1Z0YXYySHdjRlRnaFhsNHZLQTl6SDJBWjFKdTYvOUZuVXVLUjhpbjRyV3RsUWVuRjMwdXZWaWUrY1NzN2tTN2VmL3FJaGRQRWV1bWk0ZExyNFZ0b0JEb2MvUUFsRDAwQm1ZSmtTQmJJNW9ZeE1mZEl5bUpWWEN6MG1xREhIQ0pLV1lvYU4zWTNGc2toWnVPM1l2WE9uNk9pZCtDSEpMQlcreGZrS1BIaFNSVDZzMUdWM3lBM1o1Y2owUldZdi9kRmJ6TG5vOCtkNUFsWm9aNEVCbmhRTmt5RzNzZEtZS29Id0ZVSnJEb1RZeXI4V2VyZ0c1QTBhL1N4TTluN0NaZUdwbVFFU0dDaUdMOVRlQVBTQVN1NVhiVlozNG52aXdmNkpqQ0tlRzM4WDFMNXY0dVhhSDFwMHdyL0ZxMUt3YmtnVTFacDI3QkUreGZBbDNidWpLN2hDcnBmcW1KNk41eDNtaW9vZTVLNVExT3JBaktRWHRZUXdTVytyeFNjSFo3MmU1N1M5L1U3Z2RPSWJpdXNydHZXdXVieXBOZjhEbHVvelBmS3RScndMWFk4M1BGMzllMnJBYWttc1lmUTVETlA5SWZMeFVORlR0K3FoM3hvbHVjYkROaCtUM1BKZG55ZzdJMWk5WEp1Z1VIOHFmSlZsdWROWnptekYxMGJIMlpIOUU5N0JBOU4zWFFvZHFwSWQ5QmZDenBpd2JSNitWYi84QXA3S3B0UDZVVTh5QlVtQVhRbU1RT3ZBQVdBaG9KRWFESU1pR0t5ekJsRDkrK3crNUF5a1pPVzlGZWtGQVNpTlpyQXdKdUN5QjVNaXFXb1Z3a0s0SmVsVmtYZXdkY0NhMDU1YnBQZm9vTU5BN3A4WGFOc3p2QVhuWVJreUZzYUZSOGhkOUN3SDlGSzZzZE1Ed2hzUlBkbzJyaXIwQnBZK3hQWVI5emVuMjV0dGVsQmhPRnNBT0x5SENETHVaM0phU0Jrc3crSVlUZ2tHTk9nMFBjQ3lPNmR0VWsyZ010OFpwbGx4L05MU3B4OXhwSDJsUTNzemJCL0pTK2FqdnBYcTMvMThqcThYZDQ4NTFSSFB0OTl1R2JKWGpsLzhaU2RqeURMMUtQcVdoY3JMNmZxUzBsZVd1RHFJSG0xcTJtRmNGdlRxUFBRSnRNRy9xTGhDYWgycjRqUnZLQmtsczB6Q28vY21IdVlvY2JvK0xtNHRUZ0tVODB3Ym1pb2NzMEpLV2UxYnJWYWNVenREMStiZnV4bHY3d0Fzdi9WVWlyL3BXS1p0UGIzY0hVdTFtL29Xd25DZUJXUFcxMzc3amhGMWJtMTBORG5hSzdLdGVoem1reWJVeTAzS1k0TXpJM0VrUzBHaWdvK1Q2MmI3Z09HL3MrZk1YTGczMzRMN1YrRjhIZEJSdXJ2bi9INzNuMlR4bE9JL1FqdUZKZXlKOEx5ZGlwM0ZSNXVHVjlHTFA5c3FVVU0yME9xa2pvaHI1WVJlNmw2d1RJb3ZhdnI0Wk5hditudXNOQ3diV1lUNzVpN3o5M2ZRdjV2aCtYL0Q1dXNaT28vQVZCTEFRSVVBeFFBQUFBSUFIaDVtbHVKbGdoZXNRRUFBT2NEQUFBTUFBa0FBQUFBQUFBQUFBQzJnUUFBQUFCa2IyTjFiV1Z1ZEM1NGJXeFZWQVVBQnpVMVRtbFFTd0VDRkFNVUFBQUFDQUI0ZVpwYjR5OHI5WndpQUFBMWt3SUFEd0FKQUFBQUFBQUFBQUFBdG9IYkFRQUFjR0ZuWlhNdmNHRm5aVEV1ZUcxc1ZWUUZBQWMxTlU1cFVFc0JBaFFERkFBQUFBZ0FlSG1hV3lUdzIvZzZBQUFBT2dBQUFBNEFDUUFBQUFBQUFBQUFBTGFCcENRQUFISmxiSE12WDNKbGJITXVlRzFzVlZRRkFBYzFOVTVwVUVzQkFoUURGQUFBQUFnQWVIbWFXeVR3Mi9nNkFBQUFPZ0FBQUJNQUNRQUFBQUFBQUFBQUFMYUJDaVVBQUhKbGJITXZjR0ZuWlRGZmNtVnNjeTU0Yld4VlZBVUFCelUxVG1sUVN3RUNGQU1VQUFBQUNBQjRlWnBiTWNjbEtLOERBQUJqSHdBQUNRQUpBQUFBQUFBQUFBQUF0b0YxSlFBQWRHaGxiV1V1ZUcxc1ZWUUZBQWMxTlU1cFVFc0JBaFFERkFBQUFBZ0FlWG1hV3lyb0ZmVkxNd0FBVGpjQUFBNEFDUUFBQUFBQUFBQUFBTGFCU3lrQUFIUm9kVzFpYm1GcGJDNXFjR1ZuVlZRRkFBYzJOVTVwVUVzRkJnQUFBQUFHQUFZQW5RRUFBTUpjQUFBQUFBPT0iLAoJIkZpbGVOYW1lIiA6ICLnu5jlm74xKDI3KS5lZGR4Igp9Cg=="/>
    </extobj>
    <extobj name="F360BE8B-6686-4F3D-AEAF-501FE73E4058-2">
      <extobjdata type="F360BE8B-6686-4F3D-AEAF-501FE73E4058" data="ewoJIkZpbGVDb250ZW50IiA6ICJVRXNEQkJRQUFBQUlBQlo0SjF0dUtNd0lzZ0VBQU9jREFBQU1BQUFBWkc5amRXMWxiblF1ZUcxc2haTlJiNXN3RklYZkovVS9XSDRudFFra0pJSldHV203U3VsYWxiVjlkdUFDVnNDdWpPblNUZjN2dGVrVUdwcG9QQ0J4dnVOamMrOTFlTDZ0Sy9RQ3F1RlNSSmlPQ0VZZ1VwbHhVVVM0MWJrVDRQT3prMi9oVXFadERVS2oyeVRDVDF4ZzlMaGI1STdJYUlhUnNWeTFQSXZ3WDhLQ2RUQjFmV2ZDVXMveDFwUE1XVFBLSEkvTmNzOU54NVBjbjc1aEU0dk1ZNk5qS1hKZS9CTTZNWkZWcTAwOGVveXdUeWcrSGNBYjFtd3NJL3ZrNFRsakd1NVlBVDlaRGRad3VWZ2xGNFBscGZ4OXBYaG04YS83aHdQMHZxMUFIY2YyTjZIaUFvNWI3QkcrSzJDYnc1WmJWU3hhTFZmc1ZiYjZzS1d1Lys5WXlYUVRmeFRwSzc0dWhGU3doRHdXT3RHdjFiRnk3SHlYVXVnam5vc0tVcTE0eXFwWXlhYlp4ZlhsRDArSGZRd1RiVWFKVjgxZWJUNDBkTWQwYVViSEcxUnVqM3Fmd2dkWjRTTFYvS1ZyOUxYSVlEczRpOVVicS9XREV5NmZlYWVNWEw4WGsxUUJpQ2VlNmJLRE01Y000US9nUmRuVmhaTGc4eDRWMDdsVXRTVVpOSnVleEtidkdyS2xlVm5vRW5NVFNPQzRGRkU2cCtPNU54NTRaVGRyZjdabHI5K1lLNWp6WWNqTUlWTkUvVGtoYzgvN1l0NUw2ZnJSWFZuejhRNVFTd01FRkFBQUFBZ0FGbmduVzlZTVNlLzhEd0FBNlJZQkFBOEFBQUJ3WVdkbGN5OXdZV2RsTVM1NGJXenRYVnR2M05ZUmZpL1EvMEJzWHV3MjJTVzU1RjZBVlFQZFZuRWh5VnZ0MnBiNlJrdlVpdkh1Y3NHbEhLdFBUZ0trVGRNVUxXcWtjTklpVFpxaVJvQTB2U1J0a1RiK000a3MrNmwvb2VkQ0h0NE9iOUxLNG1wSGZ2Q1NNK2ZNbk1QRE9mUE5ETW5XeS9lR0ErR3ViazBNYzdSUWtzcGlTZEJIdSthZU1lb3ZsRzcwMmk4MVNpLy80THZmYVhXMHZpNWNXMEVzSW1McEhZMzFoUkkrVnhJMnRTSDYvZXlqTDErU1NzS1BUWE9JZUVyQ2paRmhMNVNHdzVMUXNmU09OdGF0aFJKaVFGMEo2STkwMTdITThjUTVRVTdlTXZic0ErRW1haS9KY2xtVlN4VS85UlhkNkIvWW1GeHZWc3QxVVFxU3NVRFdnU3lKVWFyWGdkeXNCOGxZblNWTDErNGtxOERZVW5UcG1KWnRhUVpoYUMrdWQxZUQ1TVZEMit3YVA5RXh1YmQxWXpWR3lMcStUM29RWStnOWM1eEUzbkpWREN2bk1peVp0bTBPT1J6ZFhjc2NETFpKNTJXbDJlUlJkeHlxV0t2VlFwTzVaaGw3UzNyZkdHMXoxR1BFSFE3eHV0VmZNU3g5MTBhTE1haFhxeEplTWExMTdjZzh0UDNOZjNnNEhHK1llenBuU0pqVXRZOEdPa2Nxb1RtWG94WWtiUjRPYjYvcmQvVUJwOWx3dUtHOWFscGtQVVZKeG9pU3dnc1JEZkdtYnEwWUU1dlhFRkZmTVZPb2k1TUpKalpDZDhlNHU2dlI0YWxpbUlSdXdWM1Vwek9yWWpuQ2dDU3ltUk45a3g2WVl5eS9iZWlEUGN3OTBJNkU3b0g1V3VmQXRFMTNsUXViWkYyelEwTHNtQlBjcVVCdUxUUWhhRlFDdlgvUWRJc08wN294MGwzR25uN1BSbk5rRzJoQWJsZWhhU0JxRVBuT0hVUk5rMnVNanYvOG0rTmZ2VXVQYml5VThIOGxvVDNRK3JSL3d4N29uSTVKNXplMXdTR1pCbVRDRmtyZDNsWmdxZ2hMMnh6WlFsc2JHb09qaGRLR2dXNkhpWW51MUIwTmphb2swQWxBbDExWU5nY21zbm92S09Rdk9PVVZkeENaQmlhemdYM3l4ZE9QSHJDQmtaSE05TWhxYlA5NDg5R3ozejVpSTF2Ung1cGxEL1dSUFlQRGMxWS9IbC9kSGQvcVVETUdiSGpPMFN5UHJNSFc1TC8rOU8zWHZ6dDU4T1hUejMvUEJuZ0wzZFdqb2k5Tjc0UmowY0tHYnNJc1lkc1lETnFtTmRSc3gvZlp4TU5qNUtXMXRtVU9ld2Y2TUxUNXREcVdNYks3dW4wNEZ0b0cybSs3QjdwdXM0bDAzQ1hSTTQvWWMySG1FZnNwUGs4S093UWJtb1UyVHpwV3NzUDdUeUNQd0g5SU4zamZHYVlWc3V2STVmUFBEVG5qWE5HbmIvN2l5Y1BQbVUyOU5ycHJUSXpiM3VVVDFzM2RPKzVkVEFib0hpeWlyZnV1eDdlazdkN3BXK2JoYU05bDZJNjBNYy9wOFlzLy90c2IySlYwREYrY2RIZUw0WW1uUjM3cERqZEhQTm5rdk1sbzBZdUloVmM5NDNULy9aTUhqd0tiRUdFamk0MXN4dFhnY0FoMWRYOGZ1VEtZWEsxeHlIaWJJMFFPYmRrY2pWQmIycm1xK0pRbFpQZG9ZOFBUVnNFTFFqTkd0L0Y5S3JxYTN6UnNiV0RZUndtNksvVkUzUlV4UVhjdXNYdUEzUDBRdFZWeGRIV1BLUk85bDNCdlN3TjBWWjBsaDl4cGdWd1V0dk1ocTdDRjlORkcvUUZESE42SmdBYVdOcHJzb3pzMWJFQTh6ejdrVmhHcTU5Qlg1U2gxRVl1SnVvQ0V0dFp4SEYyNTF1QlRpYWRiRlpIYnBVWVowR0oyTzhETzBCWjJ6OVNTc0JIMllIM01wRCtwRm1EbUtOMGVHR09PQjg1b1BBZTh3cHUrMW5MSFJEZlpKTndKUGUxY2pZNHRNWU5CcjZvWU52T2swYlo3Q2JEMlVzeEFDV2ZHWVZhb0dvRlJSQlZ1YlJpVDNTQ013UXZRTWVrL09qUjI3Mnhva3pzWTk2bVI3U25aK0h0WEIvbXdsSTAzSEV5OXBmTXhXWUJwV1NPd0R1MmNkanhUUjdOdDNSbzVNODVsSXlocjBiTE0xd2lYNk82U0NwOTlkYlNYblprTUZjMUs0bnhVWWlla1JjMUwvR1NoaTdPSFZNR1FoTHQrS3pFZHRDcSt5eG93QzhqRVJCWXdzV0lCNE5CRHYxYnYyZnBvenhYTjB5N094akNHZ0sxSlcraWtSY0QrZUMyaTY1MjFTTEJKakdjdHMya0pOTWwyNTdFbUlSUFdwZ2E5M0pQS1pCNitoN3RJYWN3aytoclRLVWx1M2J0blUvYzB5WGNrbkZ6TDV2WGo3a0RDemNXQjBVZmUwaktDSHJwRndTaGRUdFErWUM5THU5MjFUZVJITkxqTGczVElkdGNYOXZlbEp2NFhQNGpsQTgzU2RwRTA0ZG8yRVpEaTVqYktEYy9QVGV1OGcvcnVXOXI0d08yOE84YTNwZU4wT29OVnNKdTExemFzaVUxNDBBSDJOZDNmVzlRYkpZMjFYWDFKUjlPb2U4ZUwremJlcWhQV0lYVkJKd0x0VkhFOFYvS3JoeWRTY1gzVk9JUERMbElNamRESFk2RkR4N2k4SFhQckJ2anRzY3Q0L0ordlRqNzc5ZkZYSHo1NTcrRTM5MTkvOXVDTkovLytZNnRpajVQRVZjWnhaTFRZK0twU0FsbG9FWXNXYWtKUEJMYXdOZDBjNnJabDZCRkQ1bENPZUNJM1RXS29ZdzBGWXNBTElvRmhlV0JPOUwyRVhXdlR4T2d3VVFSMnZCTjYyRER2NmowemJqcGp2QmhHNTNneWpGYUo3WnBzWWlsQ005dnZSQlZpQlUxZmhReTd4eG4xU2JzT0Y2OUJyc3ZRcW5CdUhuYlN1OWNjejRJSFg4aHZGN3JJWWVpeVVIcnk1ZXNuajk3SmkxTEVSSlNpbkJhbEtHclV3dVpDS1dvZWxDSkx6dytsa0RqOWltWnJrVzRzYzdodTNMNUdURmc0Sk1Sck5YM0FFN01rTTg1UkZPTHcxSkZaeUNSVm5kUnI2R25IYzc0enFWT2w2bFN6d0VFeEt4eWMxbHdwVkRsbHVuT2xKSnUrUEZBMTNQVDY3VmNSM3NIS2tta0lMZUpRaTlicVhaMnpmTW5aRmN2TkdtSmZPM3hqUlJyR3dXUzVKa3ZOREVpNWF3Nk1QZTdrK2oxaytzZVpNSysvaXdMYld6aCthSXo2Sk5kYlZ0V21XSXZ2clZpb1BIYnVDWE1Bb1loU1E4RjNLZ3NNb25XUGhDRVVqdnBwNGp0QTM4ZEJkVWxWZDJQR1gzR2xReGpBWlFoczVqbkRBQ20yaExYSUZRYklaTXRZazJ3V2x6VUorUWluRGdOZ2lSQUdTQThEU0JKRUFUajBNMFFCZnZiV3MvdHZQLzNMNCtOUGZucnkyUWZvTjRRQUhJWmloQUF5bTlFczNoaGhQR04wSUpjKzV4SWRtQ29XbnBiUVRETi90cURJOUZmQ2M0a09WQXNlSGFoVlk2Z1FIWURvQUVjN2lBNUFkQUNpQXhBZGdPaEFSRHVJRGdTYVFIUWdxaGhFQjN4S0ZEMDZjUEtITDA0Ky91VTM5MTgvK2Z2YjZBZUVCaHdHQ0EyY1hSOElEVXhQZ3hrS0RUaFYzcmg3TjBDZ2NDcWZBMnpVQmZHZkNrQlRjOFFIcDk3emVGVzVRWGJRem1adit3cXkvR2dMSzY5ZlgwYUhWNGh1eU5zcmR4YTNBc2NPRENsdlN5OUd6dTFJVjY5ZWpUcGYzak4rVHRUQWtibHpqaktSTzB4ckhQQTBKZzVSRG9tVE9lTGtET0t5RC9Dc0VoRVc1RnpiREtHaU9xMnF4SFB6RWwwRlNaRWowV1hlb2N3N2lZRWt6THQyWTNGcjVZckltUi9tV0ZaclZJY3JWUDczc1M1WHVUNWJKTmJrTmR2QnpYWmltdm04eTJvalJ3Ukt6QkdBOGdaTEhpYmhETmdYa1VwbkpvUHFhWDI2NzJGK3RzeTN5VlhsTGppbmdlaHZJUE1heElUQnNwYkJONXVYdkFxK3ltY1BJR29saGZuMGlKbzY1QUZFalNOejVGRW15Y1hUSWlmSVM3cWFDVEI5Vm44MDFwdk03SS9HdTV1WHRGcTF6ZysrcEVzOWs0TkRUck1IMXVnVDQyZ0ZEOGdQOXF4dmY0VHdJSDdTM25zV0R6K083emU2K1R3bDlkdzlKZFZ4SXhadjlLNHZyYTVkMjhUYnQydTJYNlRHT0t2bms3TVAxNU5SR3lKcnZycTVrcmt4VDN5VzlyUHNaYWpZbHdjdkk5N0xTSGNhM09YRGMwdXE0R1dBbCtFamdKY0JYa1krcVlYM01nS2xHcldDbDJvME9LbEdLTldBVW8wNDdhQlVBMG8xdUtVYWlxeFVvVlFqMkZ1eFNqWGc5UXBCQnFpY2dNb0pxSnhnU2hTOWN1TDRyWGRQSG56NDdOTkhUOTU3Q0dVVERnT1VUWnhkSHlpYm1KNEdzMTAyVVQvM1pFRE5GNGsvYlRMZ0xKbUF1bG83VXlaZ2J0SUFkYWx4bWpUQVBPWUF1Q0Y5ZCtId0d0UWdCd0E1QUIraEdPQVRjZ0NuOFZjZ0I4QjFMdFlzODNEc3VCVUs1MlZPeDE5L2ZQTHpmMHB5UFdjYVFPYVlmTjlMSHpteC9HeXZjNUtUWHVja3ExSHM2dC9CSkNuSERpWTFMaUFGRU9ETnVxV28waHpFTTRzWHBvUW55aUxuazk1eXJYZ1BnNHM1MzNKTitrNk11UG5lUUZ1dTFyMzd2Q1pYa2NYQTkyK01wK0YvRVcyNVVhdTdOMzFUa3B0TjJqSm1OYVJFVEgwUG1aZWxocXJXblk3bGhpVFY1Q1NWZksra0xTdlZhdE5wcUtnMUJiOGZQMTRqLzR0cEF6SVRNMENCTjlMNkJTWkZhcE5zSDZQSDV1Rml0NCt3eFNNbnM3KzVta3JPNUUzVG9TZlpMc2FSWnI4WVk1b05ZNHpwZG95dzVyTmxwRWtlZStaTlFVcnFoVERHbXhrcU9OblVFSjRVYzBQRkpIUVVaM1lJalplU1lZUlRwR1ZvMjVUVURHSGkycDYwdUJKcHlUYythYmthMGpSRHZvYnd4VmlodE1RTmE1dlRMckMyUEZ1VUs1WGo2eVdvUTc2Y0R1a21jMTZIY0NmbWRtaC9VODd2a0U1ejVIZ28vL25sZVVqL1JjajFFRVdta3UvaFRKazA5U2xMeVNrUm5weDVKZExHeVMwaE4zOHRKYUZFMk9PVFNwU2NvR1o4Y2ltMmFUVEpSTTdHUmluOFZGNmtndERURWs0T1UzTEVnakNsSlo2Y25wSWpGeTVUWXZTQ01DVkdNQWhIU2hTRDhDVEVGQWc5UHBwQnlJa1JEVStKM1B0VnFsckpvWlJ6VlN2UERqb2xSYk5jeElLcWRhcUx5STFiQlFpaDJGVWc3RVRPSkFKRVpVNEJvcVNXRzJUMHBPTzYxR2pnVkVzV2dOaEVBNml4c1NoVkZiOXhEUUFpQUVRQWlBQVFBU0RPQUVDVWNaMURVU0JpOXU4c2tlNEJJZWFkc2ZNSGlCSUFSRDhUQUVRdUdRQmlZWkJZUWRXNktJQkk2aEU2bGptTzJJdXVQa0IrSDNiSStIY1liZXE0a0RmZFlvaGc4ajNTZTBKbFJCaWVxbzFvZGNScHY4bGJWVGpmenZXY1BmVzA1UkZxOGtPU2RZNVVmM2xFWFVueC9nTFBWOHhNZlFUeUxwWDY4Nmk2RTh0VjhqZW5aUTRpK1p2aDhvVUxlcXdMVzRPY2ozV3B0WE40ckN2OS9nKzB5V1lGV0pPd29UbjlnMTBOZUxBTEh1ektPRTFUVGZLZDEwTmpDTGNkZi9ENDI4ZnYvTysvNzYvaHovTCs5UUdpM2lLL3ZrQy91c2NmZklVT2NKUE40NGVmUHZ2d0gvQmNtY05Rak9mS0xxUW9PZk8yY1g3UGNlVlRJY09tZGM3UGxWMjhCcy83WTczKyttNjFXZno2N3NUUDlVSjlOeE1QOWQwRkFqNVEzNDNUTCtLY3B1K2h2anZpTGtMNkh0TDNrTDczRzU4cVpPNTV2Y3h3NWg1S3UyYzVjVis4MHU1TnlOejdtU0J6enlWRDVyNHdLZktDcWxYRTBtNWNvenlYMkJCS3V3RWJCaGtCR3dJMkZBQWJYbTVzQ0ZYZE13ME9vYW83dlNsZ1F6OFRZRVBBaGpPZ0ZsUjErK3NoYWpQd3Zyc0cxRU5BUFFUVVEwUUlNMUFQQWUrN2czb0lRb09ZRjhTOElPWUZNYS9MSGZPQ2VvaFpEbmtWcng2aUN6RXZQeFBFdkxoa2lIa1ZKcmhVVUxVS1dROEJyN3FEZWdoQ0Eyd0kyQkN3WWF6eEFZQVk2bVdHQVNJVVJjdzBRb1NpaVBTbUFCRDlUQUFRQVNET2dGcFFGQkVvaWxBTFh4UlJFNU0rYmd0RkVVdzhGRVZBVVVUQmlpSnFjeHI0Z3FJSUNId0ZHU0h3QllFdkFRSmZjeEQ0Z3NxSVdZNTdGYTh5QWo0Q0dHQ0N3QmVYRElHdndrU1lDcXBXSVNzajZuTUtFS0V5QWdCaWtCRUFJZ0JFUVlDcStVdU5EYUVvb2xEZzhKekJHMktXQWJ6NW1RQzhjY2tBM2dxRGtncXFGbFF0QktvV09CL25LMXJWZ2hKRmNsQzFBRlVMakEycUZ2eWpLMVRWUW5OT2cxSlF0UUJCcVNBakJLVWdLQ1ZBVU9weUI2V2dZS0ZJTWFuWkwxaUFUMXNFbUNEbXhTVkR6S3N3d2FXQ3FsWEVnb1g2dkg3MkVBb1dBQnNHR1FFYkFqWVVBQnRlYm13SUJRdUZBb2RRc09DZEJmREcvd1B3QnVEdDR0V2F6NEtGWlhNMFFrSUNPanJuaExabERna3ozb0NReWNmSGFJdEMrMENUSGxDL0R1OEpqRTNDUjVUSk9hQk1IVHVvZndZaGtod3JSVDZURkRYYlVIeENxbjRSMWJ3aUVnWlM1Y3JJSUtDZWJRejgvck9Ob1o1eERMWGtNYlFxdmpYV3FuUzBQbDU4L3dkUVN3TUVGQUFBQUFnQUZuZ25XeVR3Mi9nNkFBQUFPZ0FBQUE0QUFBQnlaV3h6TDE5eVpXeHpMbmh0YkxPeHI4ak5VU2hMTFNyT3pNK3pWVExVTTFCU1NNMUx6ay9KekV1M1ZTb3RTZE8xVUxLMzQrV3lDVXJOU1N3QnFpbk95Q3dvMWdlS0FBQlFTd01FRkFBQUFBZ0FGbmduV3lUdzIvZzZBQUFBT2dBQUFCTUFBQUJ5Wld4ekwzQmhaMlV4WDNKbGJITXVlRzFzczdHdnlNMVJLRXN0S3M3TXo3TlZNdFF6VUZKSXpVdk9UOG5NUzdkVktpMUowN1ZRc3JmajViSUpTczFKTEFHcUtjN0lMQ2pXQjRvQUFGQkxBd1FVQUFBQUNBQVdlQ2RiSml6bE1yTURBQUJqSHdBQUNRQUFBSFJvWlcxbExuaHRiTzFaelc3VFFCQytJL0VPcSsyNVRSei94VkpNMVpaR1ZHcFFhU0oranNaZUoxYWRkZVFZMm5MaXdnTWdvUjdnaGpod29YRGdodUJ0U3NsYnNIK080MlFkcFNLMFN1VmRLVm1QWjNiRzg4Mk03WEZqODZRZmdwY29IZ1lSdHFHeVVZVUFZVGZ5QXR5MTRZdkVYNi9Eelh0Mzd6UTZQZFJIUTdJQ1pQQWo4TkRwSXh1T1hyKy9mUGNaZ3IzN05sUU5LRmd5dHAwb2pHTEIrL3ZzMitqakdlZXRxeEMwZTQ0WEhkdHdyYVpVMlpnVVoxc3c2YmJMOUcyNUxzS0pRZGg5dis2NVZkK0hncVl6bXUrN3JxNm10RHFuSWN0VHpKUm1NcHBwV1VvbVcyTTB6VEE5SDZVMGhkT1FaN3A2U2xNNVRkRjExMGhwbXRCckl0T0NsVVZ0Ri93NTIvUDcxaVYybXBKcjVMWlhxNnBsZVhuYmZkK29HK3FVN2JucjBTYXZlOUwyUmlYRGJRYk5YZUpSTnhGd1luUU1HRldSd2MrRUNNSUQxSXppdnBPQVJ5OEM5NmpsREk5c3VLNU1jekx1WmhDR2dybHpPaUFhMmxFWWVETFd6TUhnc2JoZ09pREliQ2ZoUElNSnY3NU1qZXowZm9CUjRka3h4eE1VZEhzSlZhNXNHR1NZVWwxajloMW5RSG1ib1pQTVp6eHdrZ1RGbVBsVGJqOWozVWJkQUcvRmNYUU0yc0VyNGltTlExQXRGdG5GM3RVRW1DT0lxeGJCZ2dsd1BHaFNFM2FkbEpKRDVCTndMRGFnQU1wZ013K1VYbXhFSmJWQ2l1UmNyQm84V09kanlVc1FhRVhVWnJrekdwVTVHelVxRXlGK0E5SGZDWEJDaW1tQnN4R2Jpemg3NlZsUjVrT3VQcVc0bEdFL3JlWldoYjFhaHYyU0VXSmJsdWx3aFdlZ3NyeUQ2My9jc1FvQ1hhM1JXUWI2VXV1K1VlQnNEOUY1RTNXL3RxSFNVV1pGUGl2TUFxQjBrODR5SzVhVUZjTGJSVGRiemFTemZBdVFpVnh6UXZ3N1JHelBsVTZJWm9TVDZlN1NsTGU0VXhTTFRybjJWZUtiOTF5MlJMMGtlU1dlRmUwOERwYWtPNHN4b1k4N3RMeWJlM24rNWVMVGR5RGFlcm9tYWNzS01kN2V2QTJsUXIxcXFSQUMybjk2YzFMU1FrSGI0bm5nYzFXaXRzcFZvamlPeGwxb3dUQVR1UjEwUW02UjVJZHZ6VytxeEZNOGppOStuZi81K1hYMDRjM294MXZpTCtkNU80a0d2UHl5VGpYeDZGWVlkTEVOZHhBbThTTC84Q0RjTHI1TnpEYjRlMDdzdUVRYTdEMWx1bmxnS0dUVmRQcEJlR3JEVnVERzBURHlFL0RNZVlBQ0NBUnFhd1Uxb1hGQXR1ekd6cUNYN3JtSHZXWVFEeE4ySUd6V0dQbVFwazdLczQ5OHZtNFBLTERVQ29uRkxTY21ZVDhFbkp0czA2RmVJZi9iVVpKRWZiWVUyODdHTlN2Y0hLajlvVFJvTWdaQWx4eUtHUmN3cnN4VG9kT2xoaS95Z2xzQUJJK1hUSGxwV21uYVNwbW1wS1pKM3dsS3I5MmdhWk9uOGxWUDNLSG9MVWhRQllVY2lSWDlZUDRYVUVzREJCUUFBQUFJQUJaNEoxdUVPMzU0ZXd3QUFEWU9BQUFPQUFBQWRHaDFiV0p1WVdsc0xtcHdaV2UxbG5zNDFQKzJ4Nzh5Q05Ya1hsTk1sTnhDeVMwMHVtdzArZmtSdWFjNWtoakNUdnhNR3BSckNNY0l2d2cvaGhqWE1FYTV6TVFZTmlvWll5WkRHRUpJZmFkMjR4dGo1dWhjOXZsbi83SFAyZWVzejdQK1dNOWF6M3FlMS9xOFA1OW5pZCtKWjRHOUYrM1I5b0NFaEFTQTJ6NkFlQkk0L3pQNnAreG5rMysyaDRUNEphQ3dFd2dCQ2lRbHRJQWRDaEtTQ2hMaVBnQUpBQkpTLzFFQS9LZEo3SkNFU1VuTDdKU1ZrOTh1YU5zTDdKQ1FsTndCazVTU2dzRzJzM0hiZVFDbUlLV29lZUtzdE5JbGZ4bXRXOG9tOTNQTGR4NCsxOXlqNGpvS0hqbDVMVEpSVms1VmJkOStoUFpSSFYwOWZWTXpjd3ZMVTFibi8yUm43M0FCZmRIdHNydUhwNWUzVDhEMXdCdEJ3ZGlRMjFIUnY4WGc3c1FtSmFla3BqMUl6eURrUGNvdktQejljVkVGc2JMcWFYVU5xYmFsbGR4R2FYLytvcU9YM3Nmb0gvakw0QkJ6akRYTzVyeWI0UExtNWo4c0xDNTlYRjdoZi8zMjErK0NkZWpIeGs4dUNVRHliK2gvbDB0aG0yc0hEQ1lKay9uSkpiRWo1bWVCQWt4Szg0UzA0dGxMTXY2M2xMUk03dTlVUHBkYjN0d2plL2lrSzZoeUxYSlVUdldJS1UrYi94UHQzOG4rTWJERS94WFozOEQrbTRzTDdKS1UyTDQ4U1FYQUZoQ0pkQ3N5Z1A5cjEwOGwxUzdIYWovY2VOcEc4c0lpQW1zZXZnK3hxbHJvVHNsNlZ1QTErMkFrSnVhSUI1Z2VWS0FiWUhLaGM0Rmd5VEZhMmIzeGt1K1FZbU00bnlWekNXektzakg3QTBmcjNlalRpNmlESWhnSVZNbmNicG5MaWFlSXp5K1lxU005S0oxalg4clJ2SXpyMll2VGw3MHJzcytVajNxWmhkWk5UNDB1VW9UdFYxNWpITFFQUEsrKy9qNFBhLzIwSVM2Y2M3bWsrR3QzU2RQMG04bUpUOWU1UWpRVW5SQVVWL01PMnV6eExJci8vVTFSL2xaVEJ0a2c4L1RwK1U1SFdkV05sUVByaWFPRWpRdWZTc0kxVE5yREMxN0JYdFhFeGxtNGpVVm5XcmFwSDNacEhvLzZ3WTFLM1hUcWJLZTJQbDZyTG1BdmFMMW9JM2dkQ2IxYmM1UlNjbWt3QXhlWWVxYkZmc1dtMDNtclZDU0JOZWRtbGVhRHRqenB4OWc2dWphMUliUmFhQXI2NVZOSUVlYWtzRVluYWFJVUpmT2c1N1BoQm05dXFLSmRaQXR4cFlEQ1RkTHJUTlFyWEl6Z0RqaUlnY1FnSVFvMHBvL0l4M05Sc2xzNXBpTnBDV0F1bExIS3d5VEgyK0N0SWZjNjNEVzRzdCtSb3FiTU5xUWt6cE1SajJRZEN6UHpUV0ZwclBkMVBFMnZ0ak1saEtDUDFrVUdzcTU5ZTMzczgyU3NyNk5oL1pobm1IZGRkVXkwa1VlaHNlblloRy84SGIvVG5xMVlTelBEMDFCbnIyTmhRY2k0VXRLdmVSdVkrUUVHRFk1WGdvSnFvY2srdFhhUEZyOVFEVGlvbHJ4Ry9tZ2EydURyQitYeW5mc1JhblRuVkpUYWFFTVh1aEVYUkk4TW1kYUI3cytON0FuMk1NRVY5bEVQZ3ErZnRNK0pnYjVwemJkNFd5eHBWUlZURmltYW9KRlR1aGRlRkF0KzNTSmRJN2UyY2NLaURSekw5b3FCSG4zbVN0eTFSZXZWQnNTTkRqR1FWbnl1d0tOREpYL2hJY2NIODI1NjFkM0pTdjZ4bVlGdWVDTUJreHV2eVUzb29SYUpVcDZpd1U3MzdXbUZDT0ZRSVErcGpqZUJ5c0ROdVloN29qMzRnNk5tRVhBY2g2ZlRGeUdQZHdhN1lwdUVtbHlIUlB6WlJweUJEMXVvSFZpT0V3TzlzUW1aZUF2YkRLRUtLWlFMUXdqU2I5V2NyL08remJFbHQvZDBNbklqRW1hSkdORHVBSXNnREVtMUhvRjBZdnBDYXpndXI4TERyMlhQaStRdWFaMVpPK0o0OG9HSEtXRjI4TThyWTY5TkNUSCtWelgyUmhKZUR0WFhNdEFCcGYvQ3JDUisra0Z5a1BuMXowN25GZElmUGVKR2g0elJ6WmVIc2hDc0NtS1p2b3RieEF6a0RpdXpPUmo5Wkl4MGQ4TGdLT245ZUVwdHJ6Nm1CZFBxdkdZWXdPL1k3QmZKczd2MDVuUFNFcFR4TXRVUXBuLzZNSlRBbDNlQmtQVlE1aS9RWGI2bkg1UVNBTkt1aXRoYnBhamorRWdvekx5a2Zoams5SE5QUDl3OVg4WDMxMUF1OU9SMG5hN3lEdlZSWjVPNG9yZTJCLzdhbENqYVAwck1jZUlJM2ZoS2MvWU45VGhqSHB3K3M5UDIzancvSjhjR1d3VXA5U01Welh6aGNFZSs0NER0cm5qRUpDMlZpc1RKOTFOdFdFdjhrVDZNZExBclZrT2xlNnljZlpUelhSMXVQMDZEMjZqZEZRT3dBRDR5QysvT3h3aW9FR003Zkw1VlJUMEtwZlZNdzZDWXFzYVNUUXZJb0dkR3JrdU5CMCtiUGdRVno4V2RFaDRBWitab2ZYRHVlVmZ3U3liZXNSYnZ6czRiRUdreWJXSUNxbkdOZERwVkt0RjU5enMvWEtUdm1uTm9mM3NDZUc3WVlFWWF0eTRJNVg4Ukt0a0tJcUVKa09QTk4yK2RIZG4vc1F5R1FremhqTDJTK3NXQVBQV1FjQjgvTFJsbGpJUHpxRVF3NE9xMlFOWjlRTFUrTWFEY0RONkQ4bmpCaC9tQjFTbmZONHVIVjlVUjYyZlkxWHVmNVRFdUhuL2tvUkgxUjNFT1c0L3BYb3BBamRyMW5GYzVhTVc0ZllRM25DNlE0ejhKNFdKZGw1TFZMQ3hNU0RwTmh0NWZyUnFlc21aYUl3Vmh0amRtV2pMWFZaWXJjeWhhV3kwSndaT2JTSGhJTE9hVC82Ym5GV3pzYjYyMzFETE1kTHVjZnM2RlN1WkxkYjl5ckZuZU1NeGZvd21WMzFnN3cwT09ZL3RQRlgzTTh2NXlzL0p1MWJOa3RQSm9YQkpvTE1nY1E1bGRoVExwUG1YME1pUitQNVRMaTlpRE14NndHdWdWQStteDdiM3d2VkFwTWcyajJHWjg4Q050RC9WUVR4TmVHbXJnTi9GS2x0SnNRaHZ3eGxCdTFVZUJnR3BiMkVmNUJobTdQV2NMYlN1eDY5UElibmFDcXBxZ0ZycEMxVUFwYmIrNy9JUWV0Um02WVowUnpTakpRcWcwUDNkenc3Mi9pNUl3c2VUWDBWd3Nrdk1DL1ZZajM5MFlpdk5aMEdZWmhXazQzczE4ckVuNFU4UlQyeURqZThobm5tdmRjeGdFM2c5cXF4Rzl4SUF1WlJtb1BhQmFMeTNSeEdrMllhSzFSeUFHZHFGMjQwK0FIbTM4Z0cxMXdFMmRkK0gxSUJJZkxpQndoRElOVU9GbEtHKytqUTkvUUJZREdsN0JHdWJNTGdQZWJpTTZIWEZkSk5uVnllcG9kdTM1dFVDVE1SdFg4VWc3ZGFQa1dKdytJUjl0NzFWMnMxbDJOQXVGZFJjby83Rm0vOFIvcHlQaHJSY3pLN2pqeXRTWDl6VzEzNGIyNkgwYnV2d0RrWmZIZEhJYU5MQStaekRSVzBJTDNQVzJmakNjMlcra25lMWRjZTh2RlZqTisrWG9oUXZwMC96ZWRkWGxZeGxWQVZpZTU2R2greS8yb2JTRXFCZStuaFQrVEZLNDRvYmo3L1ZGY0tXUGhJWVBsTUNDendZZTJUOVMrZ3JxNjl2MVpIKzdWeWQ3N2w5dnpXNXowdnlkMytYTk5tVkYwZEtSMHJTQW1Za1lIckpQWFhIR2pjeTBDUVBwczhoZUdvQ3JjMnBuM3d4a2Z2ZjYxRFlqQzNtaVdRMmltYW9wditVWVk1V2hycUpBRWJHNllGT0RHTGQ3SUU3bkUyZlQrclhaazNYa0R1cGVQL05pYlZhSHE1L3dGSmcxaFREbEprY3lTRTRWM0tsbHhjbGc1a3J1aU1sS3kvSXRIeFJwOFFRdE5QSDIxWFBUNkk4djR0aUZKNWZDakdNTkI5NWYvTnFSLzRHWlVsRzFkbmhDdzNIek05cGJxR2NSWDB4dWlOc3laSzlPNmxhNmI1dEw3Ui82dGZkVUx1K1Njam4rY3huYUozbmY4YXljd0xQbHQzR2RxREpmYTRNbWF3UEJXVHRsbCtNVkdickFmM25UcTVISkF3T3huajFsM0NXQkZzU1o5NU9mcytQUWplVnhGZ0l5bUphT2R3VFhlWEJHeEVPZE0zeDROcmtzTVE5blArQTFHcStBT3ptQTBoekx1NXJUUzlYYzNQMTlPay8xeVVqVkZZYjJWT1NQWURId05NcEZac0U0MDNhMndsYk9ES09PUzNBSHl4Z2oyU0pGVUNYWktoU1gxbHRvQ3pvMVRRYjF4VlkvTURKc3d3YXh5dHM1amZFd0wxU21OS25TeGtOaHlpN2l6dEdTMnpKY0puZjF6ZlhzL2x3eElMVUhNc1BPWnpuN2pZdE9pTjV1MEJJYkk0eTB4MnhrNEVJbGpPRE5HTkt4dFlDNXVLOEJ5VUNEaUZVM1dnRjd1VDVDcTRQQVJwNGM3RzR2bFEzb3BsaEZyT1Fyc3hxa1lQbVBESHJYZE15YlZjcDl3bGo1U3lQNzNSN3FqangyaGp1VXBxb3pxM3pJK29ycmsyRStLeGtoRmhsYnZldUlTMWdkODhuNjhWTE5UZzlCdXAzeDRKYVNTRTRKYkJ4d0hUZUtMc3NTQThqbzkxYWZlNzhhV3YrQ0JIL0ptWFJ3RE5OeExWQS9aMjNBb2xJZ3ZXUHRsSUlJVkxGTlJ4ekx5WENxQXorOFZRNnpXRFR3TW9WRHVwNTBhNmNFUmtmYUE1U1o4TTU0bFBvRlhBWnlKeTUyUmlSTDNNVDZXS1N5QmI1cTRPdTF4U2ExbDdqRzcrbGtTeUxyRU92WWpXekw2Qnp5NUN1alQ0Z0paZ0k3Vmpkdk1UTE1ZQmp1dHV1SGE2SkwzZkJyeS82RHRaYkp4QkRjNzFVUGlLOTFMdFpyNnh5Sy85N1k1dTd2Ym9iYmZJdldiVk90V0VaNXZXQVNvaGJIRmpPWFNDTS8wR0MxU0U0VGJLVzdoTndTK2tJRGZOcGNDWU5CeVM0S2ZITi8rL3NiMm5xT1FneFV2L2RWZDJxclM3ODVCNTJkbTcraldoTWV4U0RmL3p4dmRUMDJOTW53UXlIaFZUZnlVeFpmeGdHYTNBd1JUWWlCQXpieTVjS0xTYnpVYnRCV2NBeVVUcHJMZVlDUmlUZkVIM1M2elpqZXdZZXZSZGRCd3hkR3lXVVBOV1JCbys3YXNqM0wweWd3dXI4cXpyOXFDdHVjMEh2V2YyY1hsdXRGM0xLc1NKME02L1NqdkNmdWEvRDdSSlRhVjBsQmExZVhWdmJyNnc4T3J1cmNRUTl1TWlQYlBreTJkQk9vNlVmSTIwcDMxZjMvV0ovL3B5NmUrRGRRU3dFQ0ZBTVVBQUFBQ0FBV2VDZGJiaWpNQ0xJQkFBRG5Bd0FBREFBSkFBQUFBQUFBQUFBQXRvRUFBQUFBWkc5amRXMWxiblF1ZUcxc1ZWUUZBQWVjTGIxb1VFc0JBaFFERkFBQUFBZ0FGbmduVzlZTVNlLzhEd0FBNlJZQkFBOEFDUUFBQUFBQUFBQUFBTGFCM0FFQUFIQmhaMlZ6TDNCaFoyVXhMbmh0YkZWVUJRQUhuQzI5YUZCTEFRSVVBeFFBQUFBSUFCWjRKMXNrOE52NE9nQUFBRG9BQUFBT0FBa0FBQUFBQUFBQUFBQzJnUVVTQUFCeVpXeHpMMTl5Wld4ekxuaHRiRlZVQlFBSG5DMjlhRkJMQVFJVUF4UUFBQUFJQUJaNEoxc2s4TnY0T2dBQUFEb0FBQUFUQUFrQUFBQUFBQUFBQUFDMmdXc1NBQUJ5Wld4ekwzQmhaMlV4WDNKbGJITXVlRzFzVlZRRkFBZWNMYjFvVUVzQkFoUURGQUFBQUFnQUZuZ25XeVlzNVRLekF3QUFZeDhBQUFrQUNRQUFBQUFBQUFBQUFMYUIxaElBQUhSb1pXMWxMbmh0YkZWVUJRQUhuQzI5YUZCTEFRSVVBeFFBQUFBSUFCWjRKMXVFTzM1NGV3d0FBRFlPQUFBT0FBa0FBQUFBQUFBQUFBQzJnYkFXQUFCMGFIVnRZbTVoYVd3dWFuQmxaMVZVQlFBSG5DMjlhRkJMQlFZQUFBQUFCZ0FHQUowQkFBQlhJd0FBQUFBPSIsCgkiRmlsZU5hbWUiIDogIue7mOWbvjEoMjEpLmVkZHgiCn0K"/>
    </extobj>
    <extobj name="F360BE8B-6686-4F3D-AEAF-501FE73E4058-3">
      <extobjdata type="F360BE8B-6686-4F3D-AEAF-501FE73E4058" data="ewoJIkZpbGVDb250ZW50IiA6ICJVRXNEQkJRQUFBQUlBTzFMbFZ2RlduRnlzUUVBQU9jREFBQU1BQUFBWkc5amRXMWxiblF1ZUcxc2haTmZiNXN3Rk1YZkorMDdXSDRudFFucG1naFdaYVR0S3FWclZmcm4yWmdMV0FHN01xWkxPKzI3enlaVlNHaWk4WURnL0k2UHJYdXZ3L04xWGFGWDBJMVFNc0owUkRBQ3lWVW1aQkhoMXVUZUdUNy8vdlZMdUZDOHJVRWFaRCt1V3BGRitFOU9ZVXdJVDcyQUFQZUNsSTY5YVpveWowMGdQYzE0em9KVC9oZWoyeVRDejBKaTlMVGR4UitSMFJUYldHUWZGeDBybVl2aVErakVSRld0c1c3MEZPRUpvZmhrQUc5WXMzS003SlBIbDR3WnVHTUYvR0kxT01QbGZKbGNESmFYNnZlVkZwbkREL2VQQitoOVc0RStqbDBCb0JJU2psdmNFWDVvWUt2RGxsdGR6RnVqbHV4TnRlYXdwYTcvNzFncXZvbzNSZnFNcnd1cE5Dd2dqNlZKekZ0MXJCeGIzNldTNW9qbm9nSnV0T0NzaXJWcW1tMWNYLzd3Wk5qSE1ERjJsRVRWN05WbW82RTdaa283Q2NHZ2NuczAyQWtmWklWemJzUnIxK2hybWNGNmNCYW5OMDdyQnlkY3ZJaE9HZm1UWGt5NEJwRFBJak5sQjZjK0djS2ZJSXF5cXdzbFo3dDdWTXprU3RlT1pOQ3NlaExidmh2SUZ2YmxvRS84aVVlbzUxTkV5WXlNWnp2anZQR3FidGJlMTJXdjM5Z3JtSXRCQ1BWZENKbk94blRtZi90azNrdnArdEZkV2Z2ekQxQkxBd1FVQUFBQUNBRHRTNVZiSWM5elRSMFhBQUF2blFFQUR3QUFBSEJoWjJWekwzQmhaMlV4TG5odGJPMWRXM1BjeHBWK1Q5WCtCOVRrUmRwSVExem5Va1U2UmZFV3BVUnF3cUZrY3Q4Z0VpSmh6UXltWmtERjJpZkxYbWNUeTA1Y0ZaVzNITzlHZGphcHFKeXFPSTR2MmMydS9XY1NrdExUL29YdEMyNE5OSURHWEVnTTV5aFZNUWQ5dXMvcFJsL085NTBEWVBIN3IzYzcwa05yTUxTZDNsSkZxY29WeWVydE93ZDI3M0NwY21kbi9YcWo4djFYL3VFN2l5M3owSkp1cmlJUkdZbnNQT3BiU3hWOHJTSnRtVjMwOTh0UHZycXVWS1IvY3B6dVVrV3VOb3lLZEtkbnUwdVZicmNpdFFaV3kreGJnNlVLa2tHdFNlZ2ZhYkUxY1BwRDd3SzUrS3A5NEI1SmQ1RWFSVldyaGxwWmlKYit3TElQajF4Y1hHOXExYnFzc01WWVlkQ0Fxc2pKMHJBQnRWbG5pN0U1TndhVytTRGJoRUFzeDVhV00zQUhwazBFMXBkdnRkZlk0dVZqMTJuYi8yemg0cDN0TzJzcFNtNVo5MGtMY2tyNWp0UFBLdDcyVFl3YjV3dmNjRnpYNlhJazJ2c0RwOVBaSlkxWGpYcTkwZEI0QW51ZWdLeld0Q1lyc0RHd0QyNVloM1p2bDJOaFVMakhLYnc5T0Z5MUI5YStpNllrYTlyaVFuelNMTjR5SHpuSGJyVDZENCs3L1UzbndPTDBDaGUxM1VjZGk2T1ZsSGwzcE1ZV2JSMTM3OTJ5SGxvZFRyVnVkOU44elJtUUtaVXNzbnUwS0Q0WFVSZnZXb05WZStqeUtxTFNIemc1cGN2RElTNXN4QlpJdjcxdjB1NFpjcndJcmNKOTFLWTNxbkkxSVlBMEJpTW5Sd2FkR1dPc2Y5MjJPZ2RZdW1NK2t0cEh6bzliUjQ3citCTmQyaUpUTy9oSkNsdk9FRGNxa2RXRkJnVDFTcUpMQ0EyMzdBbmRzbnVXTDdoanZlNmlNWEp0MUNHL3FkZ3dFRE9JZm04UjBRM0szNUpPZnYvTGsvZmZvNy91TEZYd2Z5clNlc2M4cE8zYmJzZmlORXdhdjJ0Mmpza3dvRjFzcWRMZTJXYUdpb2lzT3oxWFdqZTdkdWZSVW1YVFJzdGg2S0RGdW1laVhsVWtPZ0RvdGtzclRzZEJHOTkzZGZLUEhmSUZ2eE5DSFZPRGp2MzJ5eGVmUEEwNlJub3kwejJyQmFmSVc4OWYvdHZ6b0dlclZ0OGN1RjJyNTg1Zzk3elpqL3RYOS91MzFqWHRUdEE5Nzljczk2d1J6TW0vL083djMvejcyZE92WG56MkgwRUhYMFdydWxmMnFSbGU4SGEwK0VZM0RIYkNkYnZUV1hjR1hkUDFQS0F0M0wyZytNYkcrc0RwN2h4WjNkamhzOWdhMkQyM2JibkhmV25kUmtkdSs4aXkzR0FncWRORUhDdHZlOFRPUzdBOVlsY2w0a3hobjJEVEhLRERrL2FWSFBMUkM4Z3BpUDZrWjN6a1NtQVYydGVSNHhjZEczTEZ1Nk12M25yMzlNUFBnajMxWnUraFBiVHZoYmRQdXVYc1AvQlhNZW1nLzJNWkhkMFBRN2tiNXY2RHc0RnozRHZ3QmRvOXM4L3plNkxxVHo1L0V6dVUzc2FYcHQwL1luanE2YStvZGsrYW81NGNjdUZnTE5LYmlKVnI0ZWIweHEvT25qNW5EaUVpUmlZYk9ZeGpQaElwWGJ0L0g3a3l1RmlyY1lyeE1VY0tPV1VyVHErSDZ0TEdEVDFpTENuMmYyMXVodGJxZUVLWWR1OGVYcWV5Yi9sZDJ6VTd0dnNvdzNhOW5tbTdMbWZZemkxc0h5R1BQMWE2dU9EWjZ2K21RblF0NGRadWROQmQ5YVljOHFnbGNsT0Nrdy90Q3R2SUhyTjMyQWx3UjNpQnNXQmc5b2IzMFVxTmJ5Q2hjOS9VcTVxZTNHRkN0NzVaUzVZdVkwMUpMNUNVYmJROFgxZVhHOVhZVkFnRWlMK3IxdFdxYkNRRjBKVDIyMmpXcXdyR0ZOSTI4YThyMG1iY21ZM1VJSTNxRFVaWTVXeWVIYnZQY2NhRE1wNHZ2c0FieWNWTmU3alBvZ0Y4SDcyZDhVZkg5djZEVFhQNEFDTW9JN0hMWisraFljK1FLMGpGWWlWQjZhc1dIOTB3UWlzbUFVam9BSExUaFZxbTYxcURucmZUY2NVSVdGa2VESndmRXluWlAyeVNNNGlJci9VT3hJVkpWOUdvWkk3SFF1cUFMTkpWbWo1WTZPWWNJRk93WjgrOTl3c3BEU3d1Ukc0cnM3clFTaDNHV3lHYkFlTi83NkMvMWw1M3JkNkJyNXBuWGRwU0RRVGlTeGJQY2lWbFFRU1ZtR1VjMWtpdWlxQkd4dElPWkRhS0xVK21udGdpRGFydzlvSjF1a2xXZDVRcUdaUi94TzNrdEJDb2pWU21nNU5kZStkMWw3cDhXZjRZa2VSdUVXRTcvcTR1M1YzdTJJZklBMWxCN3J3MW9BQ1B6aTI2V1dEUHhielhkaDEwTmplNGM0VTBHSnhZMzcxL1gybmkvNlYzWXVYSUhKajdTSnQwYzVjb3lITWRsZEIxekd1N2habytISmo5STcvdGRoOHZVYytQOC9xcVk4L2xZTjBlREYwaWczNWc5ODMvZTVzNmVLU3l1Vy9kc05Bb1d1SHY1ZnN1UHYweUppVDE2b1lTYlZUM25FSHkxdzRlUjkxMy85STJuK0FlcFpTUjhuNWZhdEUrcnV5bUxHTkczdTM3Z2kvKzVmT3pULzV3OXV5TEZ6LzV4ZC9lZUh6eTdPY24vL1htNmVlZm5IN3h1OFVGdDUrbGRLR2ZXVHk2VFdjZmYvbnl3Ni9QZnZtWHM0OC9PSDNubzVPM2Y0YXN3Y2I5NUwyenA4OWVmdnI4OUlNUFJ6Y09MUWYrYU5JQ3NoUVNHM0NzQ3IzQU9PWWJsdE8xM0lGdEpmWmRyK1FSVCtXV1E4NlYxRTBOQ2VBNW15R3cwbkdHMWtIR0lidmxZRXlZcVFLNzJ4a3RiRG9QclIwbmJUaFRISmFnbk9PMEJHVUxxVTJUTXpkSGFaSGpKdE9LVkYxVHNVTGd2QnZUcEx5N2NmRVdGTG9UaXd1Y0pSUmNERmVjNXc3eG9BdjUyNGN0S2dlMnRBYk92alVjK3A3UjZWZVB6NTQvS1lwWVpJN3ZGdm81TlU2cEVGeXA4YUJJRWF4aXlBVmdpaWFmSDB3aG5QMnE2WnBKY0hIdkp0blVPQUFRVXpncDVXZ0NjVnBjWEdrNWRpL3BFTlBMM2gxdnVVckFwTkE1dy9lR002YjNvdUQ0TFZERk9lYW9BYldTYTA3dS9RMnQ0NkVMSVhNMGFvNG1ZQTd4cjNLMnc4bU9sVTZOMHljN1ZqVTVjNXZrMk9aZllqd0RqTVhqVlcvZmV3MEJPbXdzV2NLeFNSeXJzYmoyME9KTVgzSjFkZUFIR0RGK2lDKzZSTVUwSGtDdHFVcFRnQXBvT3gzN2dEdTRVYStmL3VNTVdOamVSYkVKMjVobnRIdUhKQ3hjTll5bW5DU1JndGJLUlR1a2pqMFJabENYckRSMHZGSURBaEhOZTZUc3lNUW92NG1udFhVZmsrK0tZZXluOUgvQjF3NDhoeS9BSFBRRlNZNmN2U1NvVVlqa0VOckxnaXBpTzI1UUplWS9qRXh0YURKUUcwQnRYQUMxY2ZyKzI2ZFAzZ1dpd0JNb0IxRWd2SFdLZUdCRWNFd09vWkE5VXlFUUpvcVZKNlZVYU9USDQwMG1QeE9teFI1NFlWN2N2TThoYUJ3T2dSR2pua2YwRW9OSW5SNGZrNFlKZVFieVRQSEJ1WHhuNS9hTnRZMmJXNjJ0blN1a2VNYzh2SVljU2ZTZnEwa2ZLa3phODRpQkVkcEFCZFFFSTZ5K3RyVXFYSm1uWHFRK2drK2NjUkZnWHZRbTBZUHR2azVITUl1SWtYM2hQU3E4bDhuTFlObU5POHZicTFka1RtOURYMHdqUGhVU3BuM2MvUjYyNWlyWDBVbVFOMkcxUFZ4dEw2VmF4Q1ZUZGF4Tm1OUXB3dW1FSFNiWkdKeE9SMGllZkdIL2pvZnlaR2toakZMZEpYZVdPNFc4Q2txMGdzcXJNR1lBdk5tODVQSHZaSnFEUDhTaHNKNGpQRG9RcFg0c0EwUXhvVVZ5Z1JRZmhzb2MzcFEwTlJNWWRGeC9MdFViRS9ibjB0MjFTeHI0MFJzamFoM0xRU0NYZzR3dm1uS05abkNIL0JFa3l4NzJFSXpDcWVwaE1odk9aNDl1dWhtZVJpTEZTcDlxaXBXYUdiQXdSczJ2eWc1WWFEWE8rUk01Mm1wRm9oWHFPU1pWVFR5TWtOdFRJaXJPMjZmU3p5SW5JYVNDUVNyWUJDbFN0VEJGYWt3akQweG9pUVZWeExhVW9FcHMweHFaSWxVaCt3c29VdEZoVWlZNlRGT2lYNVhLSzZkLyt2SnZienhHLzArVHQxNzgrck9UOTM5NjhyTTNnWkQxQk1wQnlGNU01cGJvNlRERnRLMUNKZ2ljVFZNbVpDL2VndlBPMmVLd3JzYlVXZGVheDhhMXRuWjJyNkF6QkIyRzFWdTNWekIxNmJGUWVyVzF2TTM4OXB6dTZxNXlMWEZ0VDdsNk5aT2wxWER1SUZXNE4wV0ZQcVdiM3o4MXBrNE4xZW5YRXRmMjlEUjFYdkEzNERmVE96aXV4cEZwWTdrSWEzeGRVNnBOWXhyVWNVMHVUaHhyU3FNcXE2TXd4MFhROVhYRnFEYnJSam5JWTRZTDFvRThCdklZeUdNZ2o5bWlDYmc1MTdXcGhKZko1U216eDlFc2QremV6bFNXZTkzZzVIcERsanRrdVV1UTVRNVo3cERsSGhHQ0xIZkljb2NzZDM0VnlIS0hFRTc1UWpoVGZJRC9teitlL2VaYkNLcDRBdVVJcWtDV2U4SUV5SEtmdlN4M2xmZUNyd25IVzR3eDRoRWFKenFnNWNSYkloblhJMFVreEhYNklaZTZyR2QzVVpWWmRlaDNJc0lUdVpZZTRSSHU0TmdhWnpsVHYxWnZRcVorb1dBTE4zYmlUenBPQlRSMUlOZ0N3WmF3b0J3NEdvSXRvemhnNDJYcVo4QzcyYzdVajhaYThCdG9aeXJXMHBUSGZQc3B4Rm9nMWdLeEZvaTFwTHRyRUd2aHRRYXhscEw3aUJCcmdWZ0x4Rm9nMWhLUmo3eFI2T3Mvbi96OHllbFAzei81OVJPSXVIZ0NFSEVaM3g2SXVFek9ncG1PdU9EdkFFdzU0dElZSnh5aGNZSURrNGk0VEVhbkgzRnBHRnAyRjdVYXF3NzlUc1EvSXRjbUVIRVpXK01zUjF3YWFnTWlMa1VpTHZ3QWlqL3BPQlhRMUlHSUMwUmN3b0p5b0dtSXVJemlnRUhFSlRmaWdnKzFtWXE0S0xMQk9Wa2c1QUloRndsQ0xoQnlnWkJMUkFoQ0xoQnlnWkFMdndxRVhDRGtNazhobDdPUEg1OCtoY2RiZkFFSXRveHZEd1JiSm1mQkRBVmJvdlNCTVdzdng4aWhEN1E2NTFYTndCMEVWNEU3Q0t3RDdnQzRBK0FPZ0RzQTdpQmhIWEFIVEJYZ0RwS0dBWGNRTWFMczNNSEpmLy81N0YveHU4ZFAzdjZmMDNkK0N5U0NKd0Frd3ZqMkFJa3dPUXRtaUVSSVptd2EwMzlIQmdIL1kzMEtNdklhN2hFL0JjbllVUGhia0pwZUsxVDVmTjdvcld0VGVxRjNNRmlGM3VpdDZ1ZndSbTlWS2M4THZlVklBcVBlTEpqeGFNQTdKaURqTVZwUURrQUtHWStqT0RCVGZhRzNuc0t1bEQvak1mNDFTSHlxWE5qWElEbXZSWjlJN01MZ05UenE1eUNWR253TzhqdnhTL0E1U1BnY3BIOTlkajRIaWJhRlVud09NbmRMQ2FwTTZuT1FTZzBJVXhIQ3RGRnR6Q1ZqV3ZSN2tJWEdhWG9maER4NSs3Mnp0MzUvOXZFSFFNUjZBdVVnWXVFTGtDSW1DQnhIVXlaaUw5NkNpLzhDcEtGUG5XMXRqdlB3dU1aNWxGdmcrZmpSbngwWFZ4Z3l1YkthM1VHOXllcER2eFBQcWtldTVUOGRuOTI5c2RYTjhxUHh6WHA5dEVmajUrYTUrQ2hMekgvTTNaOXV3clF5c01TUllRYVdHRmppU0F1WDFlRzh2TS9GYnd5YzQ3N3ZIeVcra0wxVU9mbm1OMmZ2ZksybzlZSjhzTXJaOGlQMERDZmpYSWdPTmhxY211SEpoc3pNT3NOd2twUTRHOXc0UHpaWTlQQXdsRGxJc2kwZk13dTVzNG5ybVpHbThJM21jc0ZJRTJrN2syU01zTUpWclI2dTZKcXFxVHBacVNrK1JaUWNyalpxZFg5NU54VzEyYVExVTJaRERra2NJWWlyU3NNdzZsN0Rha05SYW1xV1NSR2F1S3ByV3RPcnFCczF2Vm5Qc2loS0ZqTTZNNE0vREVzY1ZaaEZUbWZ0Y2tGNWFsZ3A5YUNJNzNqa29uZzBpV29XOHB0cDE3UDJya0FpYi84S0JQUDJzRUF3Zng4am9zWDJNbEtseUg0V0RrRk90SWtJcG04elZISDJWa05rY3JZYnFpYWpvYlJ0aDVUeG9sQkJ3UWlSS0ZvM0p4cEZoTGg3VHg0RFNHcnlONSs4OEJTcEtoQ2lJbklwdTFCZXJDcW9XM0JmQ09yeTlxSkMwYXRJSzZ3TnhjSllwQm5oVUJhUnpneG4wZlltSE5JaWpSWUlhMUg1NlQwTFFOb3ZRM1NMR0RLUkNGZHczekxLaVV6QllCU3BFejRmc0pFVGlDTGk2Y0VvV3B4aFpucFFLclZxTWpoRnJxYnlCZEZTSG1kQXl2TUNWWjVRTm5kQWhQSUNWbDVMMlJ5Q0w1VEpJeENoVEM2QlNPVHdDVVFtQTkyVDhuUmVnUlJuY2d1aEVZWFBrMXl6c2ttTnFacFY1SVNia0tFaU43R2tabzEwRTdrTUVsTVFZNUVZQW9oY3lRUnc5VGtGY0lwUmJTaTY3alZjVnhvTnJTRUc0SnFvQTdXZ0w3cG15Qm9BT0FCd0FPQXVINERUQUx2eFdwbGg3S1ppeHJJczZFMDgzWTQwRCtCdEJQQ21BWGlMQ2dGNDR4WURlQ3NOU2lxcFdSY0Yza2pVdmpWdytvbjlvbTExa0UrR25TWCtDcU5WUGZmdXJwOHl3SWFvRTYyTDVnOGt2ajlVdXZ5Qm1zcDVKUnprRDBEK0FPUVBsQ2gvb0RtbjlCUGtEd0Q5eEFvQy9RVDBrd1QwMCtXbW55QjFZTDdZcHkxZ242SkN3RDV4aTRGOUtnM05VMUt6eXBnNlVKUG5GTHRCNmdCZ04xWVFzQnRnTndtdzIrWEdicEE2TUdmZ0RWSUhHQ0VBYjl4aUFHK2xRVWtsTlF0U0I2S3BBN1hFaS9CTGx6cFFOeUIxSUtZSVVnY2dkYUJjcVFNMWRVN3BKMGdkQVBxSkZRVDZDZWduQ2VpbnkwMC9RZXJBZkxGUGtEckFDQUg3eEMwRzlxazBORTlKelNwbDZvQTJwOWdOVWdjQXU3R0NnTjBBdTBtQTNTNDNkb1BVZ1RrRGJ6cUF0NmdRZ0RkdU1ZQzMwcUNra3BvRnFRTk02a0RpcTA2bFN4MW95a2trQjZrRGtEb0FxUU5sU2gwdzVwUitndFFCb0o5WVFhQ2ZnSDZTZ0g2NjNQUVRwQTdNRi9zRXFRT01FTEJQM0dKZ24wcEQ4NVRVckZLbURzenJGK2NnZFFDd0d5c0kyQTJ3bXdUWTdYSmpOMGdkbURQd1pnQjRpd29CZU9NV0EzZ3JEVW9xcVZtUU9zQ2tEdFJMbnpxZ3lHb2pJM2RBMHppVklYZkFGNFhjQWNnZE9KZmNnY2FjOGsrUU93RDhFeXNJL0JQd1R4THdUNWViZjRMY2dmbWluOXBBUDBXRmdIN2lGZ1A5VkJxZXA2Um1sVEozWUY2L05nZTVBNERkV0VIQWJvRGRKTUJ1bHh1N1FlN0FuSUUzRmNCYlZBakFHN2NZd0Z0cFVGSkp6WUxjZ1RoMHJNdkovQUV1VUJUSUg5QjBUcHcvZE1TTWtUOWJvQ2JQMU5DTjBuWE9SdzJpK1FOMVBjYzlpenBFYWdrVENKQ2pwOWZ6Y3dpNEFLTlFBb0JjMWNpL09jMERrTW0vR1k3dmN6MlNFVUZhTGtCajE3M0lxY1h1QlVKSGd3QWdpN0JCdVN1ZHFTTzIzb01xOFMybEVPNktiekhGNEpZNDFNcUdXUk1QanhVQlY5TU1pNVVDVlUwR1VlV2hxYUpJS29LaVRqNzY5dS9mUHZtLy8vM1Z4c2xmbjUzKzZTa3FmWlg4OVNYNnEzM3kwVi9SRDF4bDYrVERUMTgrK3lJSGMyWGdyVlNzbFk2ekVsV1MrQ29kVzJYaHFseE1sWXVuY3JGVUxvN0t4VkRaK0NuUHY4M3liVE13VTdaalRaVUtiKzJaSnFTNzFoTTNRZUJnR2RPZXZQdHc4UllVdWcxY2RNTkJOaG1ZZ3Z6dDRRa3Q4U296ZEZvaGJMSnZEWWUrLzNINjFlT3o1MDhLZ2d1RjQ1bEZISW9hcDFRd085bmdPUGtodXFpbDRnVlMzWkFMZ0F0TlBqOXdjY3Q2YUhWV1RkZE1Bb0o3TjhsbXhvRk42d09ubTFLT3BnK254Y1dWbG1QM2trNG52ZXpkNzVhclZId1BsTTRZdnNlWkZmUVNITDhGcWpqSEhKV2Fvd3FZazN0L1ErdDRIcnlRT1JvMVJ4TXdoN2d6T1p2aFpNZEtwOGJwa3gycm1weTVTWEpzOHk4eEhnRkcwUEdxdCsrOWhrQVROcFk0MjdGSkhLdXh1UGJRNGt4ZmNuVjE0UFRwZmNYdWVuelJKU3Ftb1hlMXBpck5SRHoxRWo0Q3NPMGM5dzdzM2lHaGJLcUcwWlJUY3VWbm1TT1ltMmNGTG9oTEVObmdTQTNtNko4OGx5QzBsd1ZWeEhiY29Fck1meGlaU2RCa1lCS0FTUkFjSm1XaXd6UWxsa0twdkhMNm4yKzgvUFJkSUI4OGdYS1FEOExic29oM1J3VEg0eVdLMlRNVlhtS2lLSHhTU29WR2Zpd0xwakFUcHNWTHJEaTlIdko1Y1BNK081RjRXdnBPVEl4Nk5kRkxETnAxZW55OFMzelZrRS9BcDNKcmEyZjNDanBOMExGWXZYVjdCZjI4UW94VERMbmFXdDVtZm52UXBycXJYMHRjMjlPdlhyMmFkT2lJUmtwUklEL2JVN2czUllYSXZ4YnNvS2F6K3REdlFKOTZMWEZ0VDAzVFI3dW5LZG5kRzFzZGdwYWMreXJBU1ZIM0N3L01kVG9Cc2hncTFmQ2w5NmowWGlaamhXVTM3aXh2cjE2Uk9ZUEQwbGRZOWdxMTRIdlltcXRjSHpCQ2FpbU5xaEdwdFlkcjdhWFVpamlyUmJndVJjVml3bXhYMkYyUzRjRHBjb1QreWhjbTNkb3hEK21waCtXRGFiNUw3aXQzdm5FcW9JbkRxVEJtUUwvWlBJOW8vZ1UrenArU1FjQkFkRDFIZUhTSVRsMVhCcUpqcWcrdGIzSnZLVUNmN1VqL3VONW9xaThwN0kybU81dVhOQlNXcDFUbG8rNHgzUnR5MlhOSG5BSHlYWnhqRjgzZ0R2a0RRZi90TzJ2SXR6bnNJWUQ1dytOdTMwOFFrOXJ1bzQ0VjNYU0wrVW1ORXZoSldlZTZ6am5YYy8yazVoaU9oTGhDY1QvSlVHTittUnJxVTY0bHJ1MHBtWDZTb2VTNWdlT3FtenMveVpDMU9mV1QrRzZQUDk5NGpwVUtmaEw0U1pFQzhKUEFUK0lxblYwL0taNDdyelU1WHBMWVk5Y2lDUzlxWnNLTHhqa25KdkU2UHAzRCtqUFBIUlk2M0dvbHpLWlBQdHg4eVU2VktRVEkrZU5ScHAzK291TFZhdUY0TlZxNWs0OVg1eTVMcG9yWTRneXF4SmIveVBGcUQ2RkF2QnJpMWZuRE5Ddng2cllHc1dwUG9CeXg2Z3Z4ZW9YUGdlbkZob3VaSUhBS1RUbFdmZkVXbkVlaXZJZEplRGhGd3VuV1JCanYxbHFGL0ViN09ZYmZLdjFGblJhOGl3WnlHS0k3VkFybklUcGhqdlZDTVIzTlZCVUtWNFZBKzBieFBpaXlIdTJGWGxSTGVpLzBxQktsNEZDcGlwZ1NwaWZNL2RDS0tra2ZMN3l3Uis4S2ZuNUdvQ3Vza3FKZFlaV2tkMFdyamRNVlEreXU2TTJVTlNJd3V3ekJlMkxJSXk0U1F4ZnFBenRRUlc4SHF5UzlGOUdSS240N2NEcU5RRmNNZVp6bHppckptRm5NZWxlaldsUUJMV0tMaEZWU3VDdUNpOFJRQmU0S2ljYjRSOHZpUXNzOHhHZk8vd05RU3dNRUZBQUFBQWdBN1V1Vld5VHcyL2c2QUFBQU9nQUFBQTRBQUFCeVpXeHpMMTl5Wld4ekxuaHRiTE94cjhqTlVTaExMU3JPek0relZUTFVNMUJTU00xTHprL0p6RXUzVlNvdFNkTzFVTEszNCtXeUNVck5TU3dCcWluT3lDd28xZ2VLQUFCUVN3TUVGQUFBQUFnQTdVdVZXeVR3Mi9nNkFBQUFPZ0FBQUJNQUFBQnlaV3h6TDNCaFoyVXhYM0psYkhNdWVHMXNzN0d2eU0xUktFc3RLczdNejdOVk10UXpVRkpJelV2T1Q4bk1TN2RWS2kxSjA3VlFzcmZqNWJJSlNzMUpMQUdxS2M3SUxDaldCNG9BQUZCTEF3UVVBQUFBQ0FEdFM1VmJzdlI3RExjREFBQmpId0FBQ1FBQUFIUm9aVzFsTG5odGJPMVpTMi9UUUJDK0kvRWZWdHR6bXppTzdWaUtxZHJTaUVvTktrM0U0MmpzZFdMVldVZU9TeDhuTHZ3QUpOUUQzQkFITGhRTzNCRDhtMUx5TDlpWDdUamVSQ25xZzFiZWxTSjdQRHN6TzkvTXJETnVyaDRPQXZBS1JTTS94QlpVVnFvUUlPeUVybzk3RnR5UHZlVUdYSDF3LzE2ejIwY0ROQ0pYZ0F4K0I3WWVXbERWSVhoc0Q1QUZ4Ni9mbjcvN0RBVkx4cllSQm1FRU9uM2JEUThzdUZSVHFteEF0cnloSnN0L24zd2JmenlaWE01RXNOVWRoK2xiY3h5RVk0TUk4VHpETkJYUGc0S21NbHBkMFRSSFQyZ2FvM21lNDJocVFxc0xtb0VNTTZFMU9BMlpybUlrdEJxWHB4dXVoeEthem1nTjE2bG1laFhPaDF6RDBXQmxVZHZ6TnFtVE1uSzI1L2RUbDlqVWtQaUMyMTZ0cXFicDVtM1A3MXNSTkwyaHF6bmJtNVVNdHdLYW04UlRUandGUFVZSGdEMVZDdmdSM0llb0ZVWURPd1pQOW4xbnIyMlA5aXk0WE9CazNDMC9DQVJ6OTJoSUpIZkN3SGRsckptRHdWT3hFVG9neUd3bjRWekFoTzh2VXlON3ZPMWpOUE5weXZFTStiMStUSlVyS3pvWmhsUlh5cjVoRHlsdks3RGorWXc3ZGh5akNETVB5KzFuck91bzUrTzFLQW9QUU1jL0pwNnE4NFNxemw2eWlkMkxMV0NPSUs1YUJBdTJnT094aXp5Q2lNa0dGT2pvYkVKV0JvZ29yWm9IcXBnOHFjeEtZb1VVeWJsWU5YbXd6c2VTRnliUURxbGRjbWMwSzNNRU5Tc1RJWDREMFMvek5tSnoyc1dnNitPWWxOeFptN3prckNqeklWZWZFb1RLc0o5V2M2ZkNYaTNEL3BJUllpTExkTGpBTzFCWjNzRU54N2xhb3pOOTNUSEwxNTJyclBzdW9uTkdWZEd2cCs3WFZsUTZ5cXlZZzVObTBKbG1oVkZteFZWbVJkMmdNL1YyWXlGdmw4ZkVkU2JFUDBIRVpON3FoR2lGT0o3dUxrMTVpL3RITWVtVWE3OU5mUFBleXk1UkwwbGVpV2RGTzQrREplbk9Za3pvUkRRTmU2MmU3K2FlbjM0NSsvUWRGTnQ2NlRMZTNyd0xwVUs5YUtrUUMrcFhWQ3BZanp5SGQ2NDQxSklYbkRsNy9QK3J4T3c0U3J2UWdxRVF1VjEwU0k1SThzTkY4ME9WdW13dDhIdllnaHNJa3pnZ1hySmZkdUp3eU1zcjYxc25NWDcyNi9UUHo2L2pEMi9HUDk3S1B6d0kvNHN2RnNVR2Y5K09iSWRvRVJHaEVBMENucVdrSDczMW5GblZzZ2QrY0dUQnR1OUU0U2owWXZEQ2ZvVDhvc3dkSXJJWDJjTStFUHVnSnhKMmQybWFNRW5rcHVWSEkzSERwWGVHRkV4cUFHZllSbDRzUTZUWnRpTVM5aU1neEJIWm5KVmNySWR4SEE3WVpaZTZxeGpYckhCem9MWkgwcURKR0FDOTVHNmUzako3bERtTVpIU1AycnJJSDl3WlFQQjR5WlNYcHBXbTNTclRsTVEwNlgrQzBtczNhTnJrbzN6VkV5Y1VQWUlFVlZESW5iaWlIOHovQWxCTEF3UVVBQUFBQ0FEdFM1VmJ4eFppWXFvVkFBQzRGd0FBRGdBQUFIUm9kVzFpYm1GcGJDNXFjR1ZudlpacFVGUFp0c2NQQW9JaUlBcEJRRW1qZ2d3Q3lpaUlTUU1OTk9FQ01nZ3lwZ0VSUWdTVVFhS0VwSm1WUVZyR2JnUkJCcGtNRVFrZ0NFU0dRQU90a1ZtQ0VCSmFtZVdrVytMUlRJOSt3MzN2VnIwUHIrNTc5ZGFwOVdIdnZXcFYvZmJadGY1LzBWdlJFbkFRWmU5b0Q0aUppUUc0M1E4UXpRTzJmNjMrVi9GWGsvOXREekhSUzBCQkdvZ0Fpc1hGamdON0ZNVEVGY1JFZ3dBY0FNUWsvNjBBK1BjUTJ5TXVJYmxYU25yZmZwbmRncmFEd0I0eGNmRTlFdUtTa2hJU3U2ZEp1K2VBaElMa0lZMnoxbnNQdXdWSkhiK2hhSlI4LzVIMENadVdQaVgzY2ZDa2NYQk15cjc5TU9VaktxcWFXcWUwZFhSTlRNM016MWxZMm41blorL3d2U1BLdy9PU2wvZGxIOStRSzZGWHc4SXhFYkZ4OFRjVGNMZHVwNmFsWjJUZXVadVZYMUJZVkZ6eTh5K2xWZFUxdFkvcjZoc2FuN1ZTMnRvN25uZDI5UThNMG9hR2Z4MFpuWmljbXA2WmZUdkhZTEdYZjMvL1lXVjFiWjN6eDUrZmRyaWZvUzlmLytJU0E4VC9qdjdmY2luc2N1MlJrQkNYa1BxTFMyeFB3bDhGQ2hLU0dtZjNIckoya3dxNmNmaTRVYkswb3MzOVJ5MTkrMDRZdTROS3dUSGorMkVuVFZpYW5ML1EvcFhzZndhVzhrK1IvUjNzUDdrWXdBRnhzZDJmSjY0QUlBR2hVTHNxQy9qbnNsTUVLRUQ1WS8zYzZ4R3F1ZTExK3RudmZvNzZTQkVnMk1KalduUDZVV1NEK0VpZlNpOHpTN3N5V0w1YTA2eGtjRUxHbVNkLzFEL1NlbitrOXBiTDlUckZqc0oxWnh1RndKaXlhcVVQUXdVSno2SkdPaUxqc21LaXgwL08vK0ZnYlJmakZXZzhFWTEzVFdKcFJKSjhJMjRXd3hqbGJUVGgzUWFmMWE4TE9aeHF1bG55azFkUlhUZWZ4QTJWemh3TGx2SExlRDd4b2VmWnZZL2F3dG1vS3h1WTV5UGFuZlp1SGpsaDZ1R2pCaGZ6dTY4VTV0L0VoZ1Y3Vm12aVJoeDlUTmlUemlqZEc1akhrKzQ1MWRvOVpWZHFta3VEN0dMTWhhYmpGS29TQnFFd0ZUSjllcnR0M3ZIVStJN09wNlpwa1B2bzF1SHYvV3c2WnRNY1hCREh6WjRHUk53SXp6TkMwMnQ5MEJGbmFKcWtvcW43OFZQRkxlN2U3Nk51dUxjNlBuZnN4NWkxdmMvSHpGL055citSbjlZelozbTlzZXBUUWEyN1I0N3V5WjI0RmQxTEoxVDRSa1dXOTUyZk94N1BxcXRmYkg1UXQ3Z3VHNW1JYXpjclVZN0UxUG1PSk5iN2s3cWRkVkpHWHg4TTdYcFJxT0dVaUV2T3gvaUVmT3Z6NHhQeWZxakNpWE12TTR5OEpsUHZFSFpyNVlSZnhOZkE2cXFJR2ZPYnJZN1lwTHFJVXZ1bVNFdzlobkd2NHBiaVRNSk1naGRuTERwZW91V01ab3hkVTc1anI1MlUzcW53aGs3dEFNYllMLzBZYk1KbzMrT3FtdWxxSGQ2NWtkV3lMLzVmRHMrTjVSdFY2TTRXR3hXUllMTzJkb29YdjZuSzBnYitJOGtQQ0ZiNFlDcG9rN2NQRjJzSFVhdzg2dCt1K2RKS3NxMFVRT05CNmhHckM3VytJaUNTNGcyN25YdXZBRkYrN05Qc203Vlp5NnUxU3ZjcVc2RmdwczlFUENrNFNaY2hBbERQdTc2aXN1NzJPY2QwdXVpdTlUcWVjNXhiTUFodk85bGNZcFR0UDNLdVk1UVJyenc2VmRSYzV0dVZVLzN4dFg2RHpZM0NLN1ZLMmd6VTRnNERFME45amM2b1VCU2FZNFdtNEwyT1ptaCtPYTczd0FSbEs4U040NTF1S0FLQ1NXSDlac2lEdGRRM0gwbHhpWkV5ZzVFTjJCS2hiTWY0VHVlMStER1RBZytPN0ZCSE9La1dIVGczWDFOS21TOGR6aU9ZNFZDai9mcFl0aUh0QW9vM0dDZ3RBdEplajRvQVo4RlBOVk9uUDJWU3NZL3FjSWdrcENQSGF2WXMzeWI5UUdCWVNuTzBZZnl0OStuaUovVlBGKzk4M2xIcWJyUzRWR1NuaWkyOTBaMVVqbkFOa1F6Z21Vb1BLUzY3WDlKMUs5dVlUTlBVZmxPa0tUM1JOT2J5UTJYaEpUc0x3M2NXOWM0RHBaNWhMaTRYQzR0OEtkT1hoNTdvMmpKUWh5OTVsSVhwdWtXL2Y1WEFYaG1PaGtGNk5oems1ang0ZmdDaFBmWFJWSXZDZ1djU0kraHcvR1ZCZnJ5c25tdms4V0UzeXBSSmZSeHpMbTk1aHR5ODRIUmhmUzV3N2gyVU9GQnNadHgzNjlCNmgzSnh3Um9IcndGNkxHa2w4N3h4WTl3MVRzTFdEaytOTU1aVVFSamg5UVNQTjdzbFFXby9Rbi9jU3BQbmlNUDJJZVZDQk5raTRFbzBQSndvMzZ1STk0ZG13YkNYdmxNSVdZNXlMajZVVFZkZGYwcnNsMkVkVS9zYmxMMGNmZFJWcTBSL2RwNjhqYnpTOURzMXQ2STFZZk1DaHpxb1dwSk5ESytZbzNPdlFtTnNzZ1RtcTFrNmtSMmRnNVFncU9GUkhLbE1Tbzl2Ykd4VmVNc0c0Z3o0dUxQQmR5N0FuL2tnKzRMUnpNckk0Y1ZmdnBQUmZMMnlPdURsdVlLZW02WUZKYlhCUS9kRG9TN054M1BLZlkxWE1zMWJzaVA3YUZpbDdmb1JGNnMzWllrV2p0WXg5aDBuSjYvblY1d3VlaGRjRzJiQlhNeUsrbHpZZmlQUzc4OE9icjhnRFJtU0p5ZDhDVy92R0dUS0VQdk1xRmZvS1ZSbC9qN2VhY0tFdWc2RUliSkV3TndzTjZhSFE4M2toN0dJcVFpOTJXNDFOblAvUnE4MG1MU0I2UklXc1owUzljcjNKOHJRcHAvczVKcWRmM0RGcGoyV3ppVE1Fb3dFUFR0NUdROEJrRDY0MjJTQWV4bXM2Q2VyQ21lUVQray9FdlFpS21TUldIS1dDRkN6Y2s0RXg0YXA3Wmt2MFZMUVJuOEo4Z0EraUNmRGg0R3pXWHo0TWxWMnd6Y3pXWGdjd3hpK3R4VzNBaEhaaG9mVnRneDlXcFZWOFlzaFBHTWhEUTA2TVZONzkweVlpSUNjaW1jcm05YklYSUtHOEkwSWFGL0pSY0J3QlQ2Q2NvSUtydGlQbk1IdzNrSnpQQWFwQno2Vkc5TVlIUU5qcWRYeW1XZ3B2Z000UE9DbERpKzUrQXd0THdKQ0RaSWZEVjgzOFNsSFhzTUhMVkdsOExiZ1ROTVNIUTY1RGdSYWdJU2VBemNaSytsV1FZOHdCQzF3cGpWYWR0RDhwL24xTGxnYk5yRjIvUXd0SVRJNi9xaDNjYXQ5eVVGYnkvcmlrNkhyRGJtemhvVWJJV2ZoWG9Nb1NtUHdENFVQOHFhRHprM0drdSs0UitBd25ZOVp6aTVlbnBWa3BUSnRWTm5WbW56dVR6ZHlTck5pM3BkZmJ2K2k0NTc3U0cvaWN6Q0RHK25ZMlFBdlJ4aUpnSlJFNFVDcFZGYWNMSHdBRG43UGZFc2ZKaHlkTnNTZnh6WkJWR2RJaktjVmZoMTNWZGJiZlVyZnRBY2xBcjdqbkVxbkxLQXZQZ043S3lKREd4ZUdxKzNxSXl5ckl0em0xbURLQ1Y2elR2QXlLS1FmQ1JNQlY3Zm5uWlk3K3JiZm1uUDlCRVVVZWdxTStheHVNM1g1bFN1cnZZbGpHeURJRTZwQ0lXeUhiTUpad3NKdDh6dmRQa3RVR2I2S0lML1hDaGRMQ3pUZ2RHVHlsVm15NTlseVpDSm1hY0ZyekFsMEdKaS9wY1hSNzZGMVFjUTFKblFUemovc0xieS93cE1WQVd3dHZJUUkrTENuTndPeTVTSHdFb0lLRTVLRERiUVB0R1hKOThrZTlpNlZLZmV6aDJ6QjJiNEsyVGlTTzN1NnVaU3g3RGJKVjZsYWJTOXA5V3ZiMmJEVy84MW9SQ1l3NE1pYzh5RHRBMjRRbkY0ZE81WTNoQ0p0N1R5M1A1c1MvM1FudUtnbC9sRUVLdWVSWTZOdTA2WFFMYXl6cjA0anNUdG4ydEt6TUVSeDJqeU9rVE5aVEpucWJJdzFpS2R2VHRUSm9hNUhPUXZkK0djZ3pUQWVDamZQbmVLVWJMWHhKQW0vTVNuSW9Ud0p3aHhDRVFwbHdmZGp1VXg1QkJLS1pZWDE4Y2h2QjdoSURoNkdsTzNWRjc2QlMvY2UzU2habE53ZGx0azBkVTNPVEZ2bFdxQUVPQzkvQjJIRXlmSUpOMCtnUms4WlBLY3ovTGlYQlJVRU9HRUUyUzVQZzJjd1FTZjYzQ1EzR0dvRDZWd3pRWlZRRjM4VW9pMFpwakpiYVhtRGVlSjhEN0NqSDYwVUViaC9pcTlBNHB1RE1iaUMvdDd6NC9HcitqdFV1WFdHVndQbXlWckhUVmpKR2YzMlN2eUQ2T25vTEdwTDlHWXNaMzZRdEl6TUZRSFBvamZIT1FWRDhnZk02R3hxRm5VUEFzYTM1ZWpONzRaUFh4UmpPN3RiNzBsRTdnRlk4YzNpcDROUk9UZm1HZlBmWnJWWUh5TExWb21BUG5QcVVybFFiZnBhUEZOTzJJZHVJU1NUMWdwa3lzMTl4b21oMUdTR1YxUGRPOGxRWlpobGVsNXk1UXZLejNwR2QzOG90ZGpUQ3J3OXFaNkRDTjN2WG0wUjNQTFJwTm82eWVzTUt2Tmp1RWZOV3QzUnlIT29zaFZucjgvZ2EvK0pCdFhHWFdOeXZGYlpaQ0xuR3lhL096dlBwS0xqa245Tm8xdlRrNGJGdEVKTmljcHEzYWh5ejNYNENlSC95MXpwclFCZHR0L3E5R3FNc1RESXBVSnFTMXJnQWIrZzAvQkRycHNzbmlHaVBQYmNaUEhIOE16TVlCQzdBZG9wYmQ1ZjNkRDhUY0gvWGFCeVYwZExBU29seVFaSkVab0g4RSswUW1qMlRXaWpHa29ZSk1vMFUxc281SU1RbHFaK0VIa3dqbjU0RVJ1b01SR1hKNE1Mbm4vcEZpN1UyQjJ5ZC9BT2JONlcxSGRnWmxwY3JyanZMTitSUFNaUXRnZTVSZlhZa3E2a0o5VFhDOXNEcnBEV3d1eFdBdWhBTXllQ3FJMDd2VktyMU5iTXJiTXMraDAzS0V3b1RlUjVPeXpORWZSeEw0YlJMVE5rOE9HR1B4aFZ4enVFWVR5a2t0WnVHeVpUdzUzZ0IzQVA1d2RVeXdpd2NkTWVtNkZJais4cmhqNXp6WDJXZWx0UEczbnFmdkFNY2VseGRGeXFSNUVzbXluWFB5MnJqQ3FCZjNJTHl6elhCaDQ2ZHRhTlZuMm9qUzA4NGRZd1VldnhzTHl3MGRuZXMrektoenJGN1hqRDlNVkRYaCtnMEpGemhIYkNhL2dCL0Q3UWtEc3VlQ3lVeDhPZ3lDVnlLbG9pamo3bnpkWGhmRWdINTFsaHlmd0w0QWFMUkI0a3F1S0RCZFJQMFhjQ1QwL3lEVm5IOU96QlZRN3h6aWQ1Y2J6cFpMZEhFKzFxZklDdEV6aWNGcm1qVXRNeCtZbG0wNlBHUmNKYlhtVmtzMGt5WEJTa3cyTE9mWlZ4M2J6Z1BZU1VJeEZEWFdIQ1ljSnBzOXVrMmJza0szMTJValRMZkJDZXZqdnV3MkpaVzJFWHg3dXhJU3lpc2ova0ZTbCtlWXFDVnI2ODJrV2EvbmkvZWVDYXR6b2k1cUZ1MUEyU1NtT2NodUVUNjBuU0tTZDUxSU1HZHptUEcrV0JydUhiRnVaMFFsaGlWMDErU29jK1dhdnpHTHVnNEdhMlk0RGVmR2o3cjd6aldkck54dC8rZzAwOHk0a2VJcWNHU2t6N0RRZ3RvRTZRM3VlN01oZjh3dEk4aTUvSVFzdEZiSVRGZHZzdDVDSXZUMS9ibHV6K1lHR1ZuWGRxOUtjaG5rcTcyUVZMNnQ1UDIxbG8wTmsxRTlsZXgxY2t1d2c2Q01lRkE0RVMwTjBtNFFSMXJ5bDU3MXZoTk1JQWttSVJWU01xNUYwM1pYbnFHSyt1am96SVhvTUltT1g3N1ZUWHJFOVVHT1lwZXMzUjRBN2V0ZzZYOGRxQ1NIbXlvNzNzckhNSzFseFRpdTJLZUlWcFhrZ04yVkViUUI3ZGxRSzRmSGlwUzE0aXp4V3Z4Y2tkeWpzNmJzMDJWTUVIUVdGTnVIczNycXVjVENUWk1DOCt2ZnQ3dUhUN0xRMUs4dU4wUlgrVkswYmZDOUI4VTZuTlNSSGdJQThhaXdDNTJSK0pYeXJKdnlZZDVsYnVDdGQzem15aWlrRVBwMEFvYlJ1Mk5JYkRXeXYvK0xnRll2Sk8wOW1SOXR6ejlWVFdrZWNjMDFaL3M1S1F4d0UrSmlUU01jVDY4c1gyN2h5SE1JeUpuRlpETjVMM04yS2ZSbVo2V3p2SGV4Z05mVFBPZVpyMUJvcUJ5L09EQkQvUDlnOUZVOTQ1NExzV1hsZmpHYzhHcjgxTXJJOXZSaDZqL1RZTE8zekNMaEpXbTFEdGdqS09NaTg2YmZJbHpqME4yOVdlbHUvZkdHZWhxZnVwNmwwOTcvdEFnMHVISW1uMk1kbnZKeWhyRnNPTHFXM3JvelgraHJ4TTNWd2JONVJCbEZzZHJKRDA5YjBJa0xYbTdacU44UUgrQVJFdzBMWUVGNFpyaTRDTVNrRXBjWlVsM0V0a01jQmRHMkdpQkczVkUzYnZBblRjSUVwR3hGN0doKzdlZ1RTVGI1M3QwZUdzTllXUEZQeGNDZlo4eU9VK29IVTk3ODVQckc5VGMvYmVwTTVOMklZZW5ZVmhkYWhlVTZIN3JtbE5Ub3NBREJVNjZZK1cyN3J5Qm1GSzdKTWtDMDhUc1U4UzJrdXB3NFp6Slk1UWdpQWwvbTUxWWxPQS9hZytkckRhMjFuODF5Ni9mWEd0WVZvdEs1ZVBvZlMrS2Izdll2YmhjN1dCTDJWTkQzbDM2cm8vcHd2ZGxWcktMUXA0SktuUy91VUhoc3Y2ckM4aVBsNzdmS0twdVY3dEtVMkNrL1Z6UmxQWmhRcWtXVVV6RTV5Q3Q3b0tqaUpmMHZubkE4VjJWVHVsSnc4MVRlbEpkSnBzNjVGM245d3BWL04rMWpaRktVZWp1dHVuNG5vOFhIclNEYTZSUDIzd0xMUW9QYzllZE9SYmJFV1Jhb3RsN2x4eERMNC9YcFMzTEo5Q3hKQWhqZDhYVlNacm9Xek9zRkM2cVE2aTFVd1IyNjd4MVRnRlhPdHB2TVVCYkdOZ2M1R2dna2dLWFBNdEduQ3Nsa1g0TGNmV3pVdnZLTC9Ja3NER1pUbDh4UXIzSVJoSHFVOE5YNDZSWmRxTFRxV2J5akJ6Zk1scFVTYmk0VUwxSGpDRHhKbG4zNnhsQlRnTkZHRG1KcVB3NWcwUVlkdDV5Z3A1NjdIeFdrbXA2YXZjbVFjbml6MnNUN2p1VEJQazZOdFRidmp4bkNlelJpNFRMa2JlM3BTQ2FkTldWODlQNSttUXRuazYzcHU5UGRjbEU3MlhnWjI5UFp4QnhNaS96V2JIaitIUS9hcWZCK1VQcmkwZWdjN3pzRUo2QlF3ZlRjYW83d1Y3aTVweDJiVFpYalhRTzRWdnpaYnV0cWpHcU41NzFGUis1dTA4WS9SUFNYS3BTUVdrM1RIZ2xzU2k3bjNIOXhEVXQrV3BiVHpVbWlGb3JQbGUyelYzMjVDMlhXOEh1eUwxb1VSRi8yMnB2TjBHdUNqbTB0R09CSy9iOG5meG9TdzlWd1crNDJUMWMxZVpSWWcrWUdsVy9YZ2dnWVNSVDlqcDJPcFozbGJIVzBKS3RldFUyVzYvcENXa0VxNk9teWZJUnV3K3pYNTBMU1pRZWFZdFYzd0FyVTY5UnYyeFFweWZrRlNGRVpxOXNickVjcGgxU0Nab1FQZjBENjBFZ0l1ZFFYWHJ6M3pXamRaS3JrNEhSZDhyNFJwUC95Q293aXZFWTNtM2Q1MkJiUno5N3VJZVVIbVFDa0RtdE5Mb2ZqUjA2bU02K05rQmpCN2swVE9ZQnhIZnJQNWt0L3Z5ZDgzZVV4RHhlRkYvaHFDS2crM3NPRktjVWR3TFlYMEpxdkhGRGFHeGV4c2liMndFRlI5Yldtb3hkbk9uZVhFVkx1bnFtRHYvZ0EzVzFCNDJHQm82a3haazE1WGwrYTV5ZmJ4QnRYQmxjNldzQ0VNdkx2UXZQTDd1K2I3bXdjVzREWTlveGhESm9sYjk2cGRUS3BQWmJlR1c4WmdoQnhKaHhETHZEdUlFWVlwS01SeFdJUWxQTFVKT2c5Ulc1YzFrc0htQVJsV2toc25uSXA5OWJDTGo1bGw1UStqNVdacnd6Q1NGbVVFOWlsZGFxbERNTlI1WVZJZkd3RC9PbVdLZG5CMWN1NTN0ejN3dGYvVXB3ZDBpb0dTVFU4LzNBeE8yL0hnMlFybzZBdUp4NE54a2tKeU1ESk9mMDF1V1N1OTI1SVFNb01WTkRGVXd2WnJRR01lVk93ZG01bXo2cml5Wjl6RlRIcXIydktuNEhsSmFnbSsrd0lvQW1RWDAyd0RyUnJxZzdzeFV6VDJqemxZWkFXWkRDaDZVeG8yU2M4K3UzVUdwMHhZOXIyK05UUHkrSW5pRkpQNml6WmlOYTh0ZG1JeHQwTkhLcDlTNlJ6bHE2dFFQLzlKN3VjSDB5SnpleVh6ZTZLNE1uZmdIR2FwL3VMaFBMZTRuMm9rUXRZY21WMSt1R28yNlNOVTYyUUhlUE0wNlBzOVBCREIvRmdGUUtXSUVJd0lRTXlMZzh3ZWtVT3VKMjdkS3duL1l5WHZtUzZTM1VRVmY4a1RBM1NiRmk1TEUvN3JSOEhML252cjlqY0FsQUFDT0FHSXZnZXZBMG41ZmJmSGZlZzM1MmlCemlMeG5BU2MvK05ueWNYa0UzbUhKVUhXMWRER0Q4Y01NWDMrWm1rNUFnSFNhWWNaRDQvR0NnSWtkcHZ5N2RhRU1kSGVKS1FPMU9yZHcxRlBKRVBaaXozaGxDd2VXU2dydlVQNGF3SHlQSHRSWFhpNzVVUVJFb0ZPWjBxYnlrQzV6eXlJSS9EeXNEb055SzNGVks1NWdDZjl3RHQ2dURkb3hhd0JqM1NDVnBRV3B2N1h2am1MQ0VXOGJUdlNQOGRFNVgxKy91SlZRdlRpWDNTTStZQk45R09jZVJ4bm5KL0JzN2VMY0I2ZHJxaVVhVUtWTnV3WklPMmpqZktENnVFZlI3VXVYZEtiU0ZHOU5oYXJWZDA0MkhQbkQ0bnIyaCtnSHYvUzdwZWE4VjZ3TEc5RVowby90TjBxNDduSW92enZFWGZaUHVCVWZKbmpJaHB6WThrZHcyNE1WTUlRV1B3RnFXQ2JMNFU3MEJaNkFHamdSd3l5NSsrd1gxRDE0MHhtRUJwVDVFbkhBK2RSU1dIOWVpZ2lRcjVxd01tem0rMEI1alQ1b3d4VDV1OUZobk5EZkxWLzNOTXhkWG0zdkNrTGJ1dmw0TmxpMnhtdE5Gcmo1MnA5eHROYzlteE1pZVdUb2JJNW55QkdhL1ZuSGsvbXFLTjJ4MEtUNWFPK2I4NUh0OHdtN3VWKzdxakxJVHZHaTJQOVJTb25tL2dWUVN3RUNGQU1VQUFBQUNBRHRTNVZieFZweGNyRUJBQURuQXdBQURBQUpBQUFBQUFBQUFBQUF0b0VBQUFBQVpHOWpkVzFsYm5RdWVHMXNWVlFGQUFmdlRVZHBVRXNCQWhRREZBQUFBQWdBN1V1Vld5SFBjMDBkRndBQUw1MEJBQThBQ1FBQUFBQUFBQUFBQUxhQjJ3RUFBSEJoWjJWekwzQmhaMlV4TG5odGJGVlVCUUFINzAxSGFWQkxBUUlVQXhRQUFBQUlBTzFMbFZzazhOdjRPZ0FBQURvQUFBQU9BQWtBQUFBQUFBQUFBQUMyZ1NVWkFBQnlaV3h6TDE5eVpXeHpMbmh0YkZWVUJRQUg3MDFIYVZCTEFRSVVBeFFBQUFBSUFPMUxsVnNrOE52NE9nQUFBRG9BQUFBVEFBa0FBQUFBQUFBQUFBQzJnWXNaQUFCeVpXeHpMM0JoWjJVeFgzSmxiSE11ZUcxc1ZWUUZBQWZ2VFVkcFVFc0JBaFFERkFBQUFBZ0E3VXVWVzdMMGV3eTNBd0FBWXg4QUFBa0FDUUFBQUFBQUFBQUFBTGFCOWhrQUFIUm9aVzFsTG5odGJGVlVCUUFINzAxSGFWQkxBUUlVQXhRQUFBQUlBTzFMbFZ2SEZtSmlxaFVBQUxnWEFBQU9BQWtBQUFBQUFBQUFBQUMyZ2RRZEFBQjBhSFZ0WW01aGFXd3VhbkJsWjFWVUJRQUg3MDFIYVZCTEJRWUFBQUFBQmdBR0FKMEJBQUNxTXdBQUFBQT0iLAoJIkZpbGVOYW1lIiA6ICLnu5jlm74xLmVkZHgiCn0K"/>
    </extobj>
    <extobj name="F360BE8B-6686-4F3D-AEAF-501FE73E4058-4">
      <extobjdata type="F360BE8B-6686-4F3D-AEAF-501FE73E4058" data="ewoJIkZpbGVDb250ZW50IiA6ICJVRXNEQkJRQUFBQUlBQXBNbFZzUHdqL29zd0VBQU9jREFBQU1BQUFBWkc5amRXMWxiblF1ZUcxc2haTlJiNXN3RklYZkorMC9XSDRuTlc0b0lZSlZHV203U3VsYWxiVjlkdTBMV0FHN0F0T2xtL2JmWjlNcUpDelJlRURpZklkais5N3IrSHhUVitnVm1sWnFsV0IvUWpBQ3hiV1Fxa2h3WjNKdmhzKy9mUDRVTHpYdmFsQUdQVzY5ZEVJbUVVYTNXWUtmcE1MSVdxNDZLUkw4TzJMa21ZYzA5UEk4NU41ME5pTmVGQW5pVGVFVWdsQ3duUExuUDlqR0l2dTQ2RlNyWEJZZlFpOW11dXFNWFFjOUpqZ2dQajRad1J2V3JoMGorK1RoUlRBRGQ2eUE3NndHWjdoY3JMS0wwZStsL25uVlNPSHdqL3VIQS9TK3E2QTVqdDB4b1pJS2psdmNGcjQyd05hSExiZE5zZWlNWHJFMzNabkRscnIrdjJPbCtUcDlMOUsvK0xwUXVvRWw1S2t5bVhtcmpwVmo2N3ZVeWh6eFhGVEFUU001cTlKR3QrMDJiaWgvZkRMdVk1d1pPMHF5YXZkcTg2NmhPMlpLTzBQVFVlWDI2SFFuZkpRVkw3aVJyMzJqcjVXQXpXZ3ZUbStkTmd4T3ZIeVJ2VEtod1NCbXZBRlFUMUtZc29jUkpXUDREV1JSOW5YeHlXeDNqWXFaWERlMUl3TGE5VUJTMjNjRFltbGZEbEpDQTQ5RUhnbVJIOHpKMlR3NEczbDFQMnUvTnVXZzM5Z3JtTXRSaUU4OTZpTVN6VS9wZkhlakgrYTlsTDRmL1pXMUgzOEJVRXNEQkJRQUFBQUlBQXBNbFZzTEh2dUIreElBQU4weEFRQVBBQUFBY0dGblpYTXZjR0ZuWlRFdWVHMXM3VjFiYzl2R0ZYN3ZUUDhEaG5teDI1akVuZVFNbFl3c1cybzZrc0tLdENQMURaWmdDVFZKY0NESWpmdVVwTGRjMjB6alNjZEpXeWVkWnVxMk0zVXpkcG8ydmZ5WmxwTDgxTC9RdmVDT3hZMFhFUktQL0dBUzUrenUyUVgyN1BlZFBRdTJYbnkxMytQdTZ0YWhZUTZXS2tLVnIzRDZZTmZjTXdiN1M1VWIzZFVyamNxTEwzejlhNjIydHE5ekwxMURLanhTNmQ0YjZrc1ZmSzNDYldwOTlQblpwMTljRVNyY2QwMnpqM1FxM0kyQllTOVYrdjBLMTdiMHRqYlVyYVVLVWtCVmNlaVBWTmUyek9HaGM0RmNmTVhZc3crNG02aThJSXBWUmF6VWd0SnY2Y2IrZ1kzRjlhWlVyZk5DV0l3YjlDb1FCVDR1OVNzUW0vV3dHSnR6MWRLMU8ra21lR29adHJSTnk3WTBneWlzTHE5M3JvZkZ5MGUyMlRGK29HTnhkK3ZHOVlSRzF2WGJwQVkrUWQ0MWgybmlMZGZFcUhHdXdsWFR0czArUTZPemE1bTkzamFwSEkwQjM1QWtsc0lPVlpCRldWQWo0N2xtR1h0WDlYMWpzTTJ3MEJQdU1JUXZXL3ZYREV2ZnRkSHpHRGF0VllzK05LMTE3WjU1WkFlTGYvdW9QOXd3OTNSR3I3Q29ZOS9yNll4V2ljeTVJMnBZdEhuVXY3V3UzOVY3akdMOS9vYjJQZE1pajFSY1pBeW9LUG9zb2k3ZTFLMXJ4cUhOS29pazN6SXpwTXVIaDFqWWlFeVFZV2RYbzkxVCtLZ0l6Y0pkVktjenFudzFwb0JhOUVhT0R3eDZhSXh4KzZ1RzN0dkQyajN0SHRjNU1ML2ZQakJ0MDMzUXVVM3lhSHRmaWJCdEh1SktPVEs3MElDZ1huRjBDcUhoNWgybGRXT2d1NHBkL1ZVYmpaRnRvQTY1VlVXR2daaEIybmNtRWZWT3JqOGEvZjZEMGZ2djBXODNsaXI0dndxMzJ0UDJhZjJHM2RNWkZaUEtiMnE5SXpJTXlJc3RWVHJkcmRCUUVaVlZjMkJ6cTFyZjZOMWJxbXdZYURvY21taXk3bWlvVnhXT0RnQzY3ZHlLMlRPUjQzdE9Kbi9oSWErNW5jalZNZEhyMk8rZW5uNTYzK3NZNmNtNTdwbnFMU0UvZlBUc2w0KzhubDNUaDVwbDkvV0JmUTY3NXp6OXVIOTF0My9YKzVyUjg3cm5mRHZQUFd0NHorU1huLzMzWDc4NnVmL0Y2ZU5mZXgxOEJjM3FRZGtmVGYrQzQ5R2lqdTdRODRTclJxKzNhbHA5elhiZ3p5YnVuaWUrdXJacW1mM3VnZDZQTEQ2dHRtVU03STV1SHcyNVZRTXR1WjBEWGJlOWdYUVFFKys3Und4ZVBQZUlvVW9BVEdGTXNLRlphUEdrZlNXTGZQQUNBZ1hCcjNTTkQxenhyRUorSGFHKzROaVFLODRkUGYzaHU4Y1BIbnMrOWFYQlhlUFF1T1hmUG03ZDNMM2p6bUxTUWZmTE1scTY3L3A2VjdYZE8vdVdlVFRZY3hVNkEyM0l3ajNCNWtlZnY0SFJwT1A0a2xwM2x4aFc4L1Jic0hWSG05RThXZVQ4d1dqUm00Z2JsM3puOU5wSEovY2ZoUllob2tZZU5ySVlSekFTa1Y2L2ZSdEJHU3lXVklZWUwzTkV5SkN0bUlNQktrc3JWK1NBc1VUc2Z0dlk4SzJWOFFPaEdZTmJlSjd5cnVVM0RWdnJHZmE5Rk52bGVxcnRNcDlpTzFQWU9VQ0lQeUp0MVJ4YjNlOVVpYzRsWE52VkhycXJ6aU9IRURWSGJvcTM4aUd2c0lYczBRYjdQWTkwK0JkQ0ZsamE0UEEybXFsUkIrS0QrMGE5S3NseER4T0E5V3BjdW94YmlxTkFJbHRyTzFoWGtvVnFCQzU3Q2dUdmluVUVtWlc0QW5xazNUb1FwVkF4cCtDMkNBQ3ZjQnRSTUJzb1FTcVZHaUZsa2VFOGU4YVFBY1k5R1F1TDExZ2oyZG93RG5mRGJBRGZSOGN6ZnVmSTJMMnpvUjNld1F4S2lYbjVkQi9xOXd4QlFhb1drWGpTVjNRMnV3a3ByV2lFSUtFRnlFNVdhbXUyclZzRHg5TXgxUWhaV2JZczgvdEVpM2NYbS9nVFJOU3ZEL2J5SzVPdW9sRkpIWTlhNG9DMDZDeE5IaXgwYy9hUUtSalpNKzk5TGFHQ1ZpMXdXME96QzgzVXcyZ3R4Qm1FOEhjWGZicitxcTBQOXR5bVdkWWxUVlZQSVRwbDhWTXVKRXdJcjFCb0d2c2w0clBDSzVFeXRUMmR0V0xUTTFRdTN5VDFpckI4d1NwMWt0V3VVQ1dEOGcxY1QwWU5Yck9Cd25SdzBrdDNYN1VwNUV2RFkwU1Q2U0w4ZWx5dnp0MWM3aG43Q0lHc0lEaXZXNVRnMFdlTE9ndU1YTFJiSGR0RWEzT0QrYXlRQ3IwVjY3bmJ0NFVtL3BmY2laVUR6ZEoyVVd2Y1M5dWtnU3pvS1BqUU1hdnVOcXA2MzlLR0IyN2RuU0dlb2c2T2Mvb3FZK1N5dDJwWWh6YlJRVjh3ZkhNL2IxR0FSd3BydS9wVkhZMmk3bjlmdm0zajFTL2xnYVNvN3BDamxjb09HQ1NmdW5nY1pSZitKVGtmN3g0bHlJaDhPT1RhdEk4cjJ3blRPS1J2RDEzRjB4OTlmdkxwbjA0ZVBqbjl5Yy8vODlycm80Yy9HLzN0amVQUFB6MSs4dG5KSjArZlBmanJ5UWRmbm56eTRmSGJINDkrL0JhNmlIVis4dDdKL1lmUC92am8rTU1IclpvOVRET3NOa3dTbzZlUzNTa3FJRTlrekE5R2l0QUxJWHk4cHB0OTNiWU1QZWIrSE1rOVZwT2JKbkh2aWI0RktlQkhKMFZocFdjZTZuc3BhOTJtaWFsWmFoTVk5YWJVc0dIZTFidG0wbkFtNEFaUHpzQU9ucXlXV0RWWitqSWFMZUwxVTYxSWJHc21WdVJZZGlZMEtldHV6TitDUW5laVZXTk1JZStpUCtNY1ZNSmlFT1N6eXg3RUtIdFlxaHgvOGZySm8zZUtFZ1dlQVpsOGVDRXpnSFl1bHFDb1FsVmtVQXlmSmFqcEZFSGhDN0FEVVRnN2RrQkM1ZGMwVzR0Vlk1bjlkZVBXUzhTUlJhTXlyRkt0bGJhSmlIM00yZExMemwxdDI0SVhwS0RQQVJ0b3BqeXlyWnhqVktNTlo1Z2plbEdMVEhNeTc2RnZIUXU0NXpKSG91WklPY3doMENYRHhVMTNyR1JxbkR6ZHNVS1RNczMxTVd4ekw0VldlMHh6bzBWZnZ2VTl4Sld3c1dRWUlnOXhwRVRyK2wyZDhmaVNxOWNzZCs4T1EvUG94SW9WVEtMWW9pb0t6UndzdTJQMmpEM200QVlCTmYxakRKaGYzN3lJK2hZTzRSbURmYkswVlJXbHljZWRwMWRidVJoOTR0Z1Q1UkNoNFlXR2pHZXFGNXREenoxcURERjRWRThUendEOU5vNXJDNHF5bTlEL210czZoQkJjaGRCaVhqQitrT0ZMdkJLRjRnZTVmSmxYSkovSDlZcEVNTUxZVVFOUmdLZ0JSQTNtRURVNGVlc1BpUHdmMy8vNzhXdS9oeENBbzFDT0VFQnVCNW9IaHhIRkNhTURoZXlaU1doZ3FpeDRXbzNtR3ZuSklpTFRmeExPSkM0Z2xUd3VVQmNhYkNrRUJaeXJFQlR3cklPZ0FBUUZJQ2dBUVFFSUNzU3NnNkJBcUFnRUJlS0dRVkFnWUVUWmd3S243ejNHY1lGMzNoMjkveVlFQlJ3RkNBcE1iZzhFQmFabndYa05Dc2dsRHdvMDZuSzF6c2hXaHJnQXhBVlkxa0ZjQU9JQ0VCZUF1QURFQldMV1FWd2dWQVRpQW5IRElDNFFNS0xzY1lIUlQ3K0Nrd0srQWtRRUpyY0hJZ0xUcytBY1JRUmlCNUNWbVI1QUZsTkRCY3E0cDQ4RlhsS3FhdnJCQXFHYUVTNVFDNFVMNE9ReFF3bE9IbDhnSmlBV1pnTEtMSTRkWjA3TFVKRjhrOU1yRXBuKzR6TUJPR3dNVEdBdVRJQ2VISDc5ZzlNdkg0OSs5OTdvL1RkUEhqMFovZmtqb0FlK1Fqbm93WHdPRXVkMTRqTThSVnpJaEJ4THlJenB3Znd0T09zanhNNHJsM0QxTGd0UUdTd2dwRVl4Ui9CU3NIbDBuYjB2NWI4Y00vcUtNbCtjdkxlSGNCNE4yZ2swOE5iZTdHNWZRc3NFV3UrcTZ5K3ZvSytYU0w4RVhxeTJsN2RDMzUzZGkrcTI4SHpzMm81dytmSmxabk9lTFU1ek83TnBybFZqalZnT1FxWFdpV1Y0WUs3UXNVM2pWN3lydkVPVmQxTHBGdFpkdTdHOGRlMFN6eGdjRDUvSjlYcVZqczhsYXNFM3NUV1htZUFudkhmcmw5bkJaWFlTeWdRd21pVGhwbktUTkw0QVIvTjdTMTZZeHVoeGdMUmxLNlArZExWOVg5dDdDTGJKVFowbTdXczJMempyaTc5V3pCMWlYMW5PVUI1L3c0bWkxTkNHRTk2NEp1L2VFOXp0SnA2UkEwR3FPaGQ3VFpNQ3MwUllsUnVZSmVPdUN3ck1JbStPenQvcVJDQ0FYUGJlc0VoZmNZeWU0Qjc1NEwyY2RuK0FTQkorTmJULzhrajgvdWlnQnkyR0p1b3pSeFBxSkloQVlpelJFaE1SaFBISjJKZ2dmNE11NGxIVlJrYi9wRWh6RWdPQ1NOTkRQSk0yTnpiaVVlYVBlRlNwZVdhSVIyeWNGOFJEdXBVYjg3aVBHNnVBQkNBSlFGSkFBQ0JwUVVHU3NrZ2dxVEZ6a0ZTZkJFUklqRlY5Y3BBMGxRWmRrTlFRNVl6K3laSG1aQVpxa2FjSGtpWnRibnlRcE00ZEpOV2I2cGxCcEhNT2tKaDR4MzNVV0FWa0FFZ0FrQUlDQUVpTENwRFlHZTdaclo1SGdOU2NPVUJxVGdJZ0pNYUtQamxBbWtxRExrQnFxb3c5dHlDY21RcjRrUG01ZzQrbUxKOFYrQ2lTTkZoRzhBRllBckJFVUFCWVlrR3hoRHh1cTZYSEVtdVdlVFIwVUFUK2Niam9xZmZSdjM1Nzh2WmZCYkZlTUp0ZFpIaHdmMkdUeGsxbXozNUp2aGlQaXdYWEpLSElUMmdKSlV4a1Y0UUZPSzVidmxSNE9JVWJ1NTUyVkVid2Y2dVBMM2hVaHRTZG10VWRTTU92U25WL1JxdWloRW5LUmlLc0NEZ2dzZHBRNis3MGJncGlzMGxMSmp3TkdWbjVnZjNQcXRCUThENHNxVmhzQ0lJcXBwbmtPUzVCcmNxUzFIUUt5b29xNDEvNVRMWW9tSjBmYWpQMUJRZEI1eFpxTU8wMFFKcVg4K1NKcjVsSVhDdWlIbzljekg5OGg3YWNDenJUcnFmNUxrOGp5Mzk1aWxrK3pGUE05bU5FdFpndkkwV0srRE4vQ0RLTzl4REZaRGRERzA1M05VUW53OTNRWmxJcVNuSTdSTVk2OXVNSnhqajZROHRtSFA4aFNremZrNVcrVFVvR25JK1U2eWdRS1pYak9CRFJTM0JBV2VlQ3ZMSUZYWUpYbHVXR0NwMFVDdFFTdHFIWWtTRlNUZTVqUTBRNzllZ1FyVy9LeDRkSXBRV09FRkg5MlIwakl2V1g0U2dSTVdRcXg0bTgrNVlpSnpvRmp4V1JNdjdSb3JXTUEwUkVQZmtRRVJXbm1KbDhtQ2l4YVB4UUVibWFHQzBJU2xrUkF5TFBPbURrS0tWSERvaFMxa0VqcDZiMENJS3JsQnBGSUVxcGtRU2lrUkZOSURvcDNKN0lrNk1LUkp3YVdmQ05LTHlVWkpxVkh0S1lxVmxCWkoxNTJIVTZodWE1aVNVMWE2eWJ5SXdmaFFTUkdGSW8vRU91cEhJM2NVRzVtNkJVRzRJc094WFhoVVlELzA1eUh1N1dSQjFRdmI3SWtvSi9WUUs0RzNBMzRHN0EzWUM3bFp1N2lUZ2pzQ3pzclFIa2JlYmtUUWJ5RmxRQzhzWVVBM2tyRFVzcXFWbnpJbTlrejc1dG1jT1l2K2pvUFlUSk1GaGl6ekJhMUlGM045MkVnZkR1ZEt6MnZOa0RqQi9TSzF2MlFEUDFsZm1RT2dDcEE1QTZ3S2p6YkZNSDVBVU5QMEhxQUlTZndvb1Fmb0x3RXdmaHA0c2Rmb0xVZ2NXS1BtMUM5Q21vQk5FbnBoaWlUNlVKODVUVXJGS21EaWdMeXQwZ2RRQzRXMWdSdUJ0d053NjQyOFhtYnBBNnNHRGtUUVh5RmxRQzhzWVVBM2tyRFVzcXFWbVFPaEJLSFlqOXBFYnBVZ2ZVWnVyN2NTQjFBRklISUhXQVVlZlpwZzdVRnpUOEJLa0RFSDRLSzBMNENjSlBISVNmTG5iNENWSUhGaXY2Qkc4ZENDbEI5SWtwaHVoVGFjSThKVFdybEtrRGpRWGxicEE2QU53dHJBamNEYmdiQjl6dFluTTNTQjFZTVBLbUFIa0xLZ0Y1WTRxQnZKV0dKWlhVTEVnZENLVU94SDc1cUhTcEEzV1pOU1NRT2dDcEE1QTZVSnJVQVpGZjBQQVRwQTVBK0Ntc0NPRW5DRDl4RUg2NjJPRW5TQjFZck9nVHZIVWdwQVRSSjZZWW9rK2xDZk9VMUt3eXBnNklpL3BqYzVBNkFOd3RyQWpjRGJnYkI5enRZbk0zU0IxWU1QSldCL0lXVkFMeXhoUURlU3NOU3lxcFdaQTZFS09PWWpSOUlEZDF6SkZRZ0hjVll6MEs4c0l4TXdvVVZhaUtqSFFFRDFzaFBwZWFWS0R5UlpJSzFQSWxGVEFvV2s1NnRzQXBBZXp4S05NT1BSTlRqRW16TWlsV2VKN21XWGZDY3plWGM4OUJxUUowS210YWhvcmttNXhla2NqMEw4U2JvdTZnR0YzS1Q1WFNhZExVdDdlS2tLTlpibXVWZ2hWTmh4RkZoa21ZNmpCbE1LMmlMTXRsV0VMbGhkUGZQQjY5Lytib3JUZis4OXJybzQrL0dyMzdJZnFjd2JwU0dGY2kyMHBtV3JFaWNZYVZ6SzdTbUZVbXE4cGtWSmxzS3BOSlpiS29kQWFWaFhEVDBHMEthMHFIMWk0dHliazBwSnFRREs2bmJrS09oV2xDZTdMdXcvd3RLSFFibVB5R3dXMktzQXA1anF4Q0dUdFBXV2lrVVFxVkFmekhwUlJpQ2ZPVWdWSUFwWmdycFZEVWNsQ0t6TW5wRlprV3BjQXRBcVVBU25HMnNCOHBQdnZGZzlPbmo0Ni8vTWZvN1U4bytELyt5OVBqSjU4QjhuY1VBUG1mSCtTZlkvMllNZTZldndWbmpmeFh6TUVBd1JGY3ZZdjlGUWIyRDZsUndCRzhGR3dlWFcrYnhpQ09XUWlxU3dicVJPendMOGFyaWhISTg4cml0YmE5MmQyK2hOWUl0TmhWMTE5ZVFWOHZrWDRKdkZSdEwyK0Z2cTlRZzZyYjh2T3hhenZ5NWN1WG1jMDVLN3ZxTnJjem0rWmFOZGFJNWFCUkZMRGdjYmxDaHphTlZGMXhra1J3djZqNlRpckx3cnByTjVhM3JsM2lHYU1Ub2x4WTlSSzE0SnZZbXN0TTRCTWdZcnlDa1psWGFnZVgya2tvRlVCb1JmalpGWndnV0lDaStkMGxHM1NNTGdjNFc3WXk2bEJYMi9lMXZjZGdtOXpXYWJLK1p2T0NrNzZFVk5BUTZaTXpsTWMvV2twQmF1aG9LZktLWFRSYnlUSkJENWJ5ZkpyYkx2dXAwa21oV1NLd3lnM05rcEhYQllWbVdZMWliejBESEVBdU8rdTJhYUZGM2p5eTBTUGNJeDhRZmQyNmNSMkJnUDBCSWtuZlB1b1AzV3dGcm1QZjYrbEJGMW9NVU1SK0hHSHFnRUpSNHVPVkYxQW9PSTA4RlZDSWtSVmVaS3p3NHZRQXhhVE5qUTBveEJJQUNzV0p3NXdGb0NqeVlvcHlBZ29SQUFVQWlvQUFBTVdDQW9xVUdQZnNvanRaalo1akZCUGJFSzNIMzlJMDd2YW5KRE9pSDFQWS9sVEZ0TzFQV1dEVUcxd002L0o1My85c0tITDlMTll1dmlxUnZ3dTFFWnAvQ2VQSjN6bGVuK2EwbzRybmZSbDJWTE5uZXFqTStGdXFwQ0hZVTJVandNUk93SjdxblBkVVJ4Ly8rNy8vZnVkLy8veG9iZlRWdytPLzNFZlNWOGlucCtoVEJ5ZFhmdlVRRjlrY1BmampzNGRQWUt2VlVWamdyZGJjcm4xMllMeVlDZlBmNkp5L0JXZXgxZXJRRkJaMTRWWXRzMCtVc2Z2RlFVSDBIVGxvSEFjUTZUZUtRN0JiOVBSd3JNQjB0SGdCZjZGS2JUdDh5OW10MUlPdE5QTTFJZ1Via1lvMmt0SVZhYUt1TlBKMVJacW9LNDJjWFpFbjZrb3pYMWZrU2JxQ2QvV0wzeFU1MklxY281V3hIdU9FVmtnYzI1MDlyVnBiMjhmVDZ2OVFTd01FRkFBQUFBZ0FDa3lWV3lUdzIvZzZBQUFBT2dBQUFBNEFBQUJ5Wld4ekwxOXlaV3h6TG5odGJMT3hyOGpOVVNoTExTck96TSt6VlRMVU0xQlNTTTFMemsvSnpFdTNWU290U2RPMVVMSzM0K1d5Q1VyTlNTd0JxaW5PeUN3bzFnZUtBQUJRU3dNRUZBQUFBQWdBQ2t5Vld5VHcyL2c2QUFBQU9nQUFBQk1BQUFCeVpXeHpMM0JoWjJVeFgzSmxiSE11ZUcxc3M3R3Z5TTFSS0VzdEtzN016N05WTXRRelVGSkl6VXZPVDhuTVM3ZFZLaTFKMDdWUXNyZmo1YklKU3MxSkxBR3FLYzdJTENqV0I0b0FBRkJMQXdRVUFBQUFDQUFLVEpWYmVsTlpJck1EQUFCakh3QUFDUUFBQUhSb1pXMWxMbmh0Yk8xWlMyL1RRQkMrSS9FZlZ1YmNKbzVqTzVaaXFyWTBvbEtEU2hQeE9CcDduVmgxMXBIajBwWVRGMzRBRXVvQmJvZ0RGd29IYmdqK1RTbjVGOHcrSE1meGc0S2lsbGJlbFZwN1BLK2RiMmJXV2JmWGprWStlbzdEaVJjUVU1Slg2eExDeEE0Y2p3eE02U0J5VjFyUzJ0M2J0OXI5SVI3aENWd2hHUHdPYmQ4ekpVV1QwQU5yaEUxcCt2THQrWnVQa21CSjJEWURQd2hSYjJnNXdhRXAzV25JZFRZa0p0NVNZdkdmSjErbTcwL214WmtLSnQyem1iMTEyOFlrMGtHSjYrcUdJYnV1SkdndFJuT3g0Y2g2VEZNNXpiVnRWWWxwR3FPMUhMdWV5RFlZcmFucGpvdGpXbFBJNmxnM1lwck0rYkNqMjJwTVV6aE5WbFZiazJvWDlUM3RVeXRuUGVxODNwVHZhWis0Ny9XNlloaE8ydmYwZW1RaHE3VTBaY0YzdnA1NTM5dTFCTGNNbWxzUVpUdGFnSjdnUThTZXlobjhBUGN4N2dUaHlJclF3d1BQM3U5YWszMVRXc2x3TXU2TzUvdUN1WDg4QnMyOXdQZWNQTllrd0NqeEZoSllRby9FV3VuSVlNTFhsNWpKZTd6akVWejRkTWJ4R0h1RFlVU3R5YXNhREQzWDFveDkweHBUM281dlJlV011MVlVNFpDd0NNdkZyQnQ0NEpIMU1Bd09HU2VVVTg5N0FRRnJGb3RzRWVmdkJGZ2dJRlFYd1lJSlpQR0FTcUdWRDlJcVdOekRMb0Jqc0JFRHBiRlo3RVF0OWlJWHlWS3MyanhaeTdIa2pRbDFBK3BrdlNCaFNoUzFhM01wZnNYWkQ5SHVleVNDdGxvUWJNem01VlJGVlEvNUNIRWtCQzVWMnQrd3RGZXF0Rjh5UWt4bFZRN2w1WEQ1THoxVm5wZSs3aGdGaWE0MDZLd1NmYWw5WHlzSXRvUHB2SlI2YUt3cWRGUlZVVm9WZWdGUXFrNW5WUlZMcWdvUjdhTE50cW5UV1cwVFRPUnFDK0lmSUdJNnIzVkJkQUlTTFo0dUxVU0xSMEUyNk15M2ZwMzR5dDdMbG1nWGlqY25zdUk0ajRPVmN6cExDTkJCTmMxL3Raayt6VDAvL1hUMjRTdktIdXZOeFBqeDVnMXFGU1ZiZUtwVk5DOGdzSVJXMFlqZmNlUzRVYkN6OHovbUMxUDMvM2VKNGp5YW5VSUxoa3ptOXZFUmJKSHdoNnZtbXlvTnpicnZEWWdwYldJQ2VjQS9NeWdRUmV0Wkx3ckd2T1h5SEQvN2NmcnIrK2ZwdTFmVGI2L3pQenlJT0lzdkZ0a0QvcUVWV2paWVFRSXRVZXRnOUFuenBXT05QUC9ZbExxZUhRYVR3STNRVStzKzl1TFVrWE4wN29MS1FXaU5oMmliT0Iwdm5FUk1FOXpzWUpkZml3WFNEQnhURUttaStzd21jTzdSbXNwRHBOMjFRa2o3Q1JJY29HSWppS0pneEM3N05EendueHZLYm9Hc2NYT2dkaWE1U1pNd0lIckp3NXhaUE5Ud2dJZUhzc2VSdU1nUDNBSWdlTDRreGl2WEt0ZXVpMnR5eXJYYzN3UlYxSzdRdGZsSDZhNG5kaWk2QlFtcW9NQ2R1S0lmekg4RFVFc0RCQlFBQUFBSUFBcE1sVnRBNnp5WWFCQUFBQWtTQUFBT0FBQUFkR2gxYldKdVlXbHNMbXB3WldmRmwybFEwOHVXd1AvSUpxQWlJSXNCd1kyZEVGUWlpa2l1Y2dFREZaQWxSRmxIdmNobTRMSkVBZ1Rpd2lJRWlBYVVKNGg1TEdHUkpRSUJaSTNzS2hjRXdpS2dMRUZFbGtDaUVQNUtTQVpucHQ1VVRjMkhxZmMrVEhlZEQxM245T242ZGZjNXAxdjBRVFFEN0xlelFkb0FZbUppQUg2bkE2Skp3T3JYNkY5cXY1ejhxejdFUks4QmhkMUFJUEJFWE93b3NFdEJURnhCVE5RSmFBR0FtT1IvR2dELzFjUjJpVXRJU2tudmxwR1YyekdvM1Evc0VoTVgzeVVoTGlrcEliR2pqZDNSQXhJS2tvcEhUbHlRVW5LNkpuMDA5TURKdTQveWRoKzdXTldtN0R6SVBYN3FldGc5R1ZrVlZiV0RFRzBkWFQxOUExUDRhYk16WjgydGZyZTJzYjJFdEhOeFJidGhybHgxdi9HSDcwMC8vNERBOEFqYzdVaDhWUFQ5K0lURXBBZkpLWlNNek1kUHN2NzJORHUvb0pCV1ZGeFMrcUs2aGxGYlYvK3FvYkc5bzdPcnUrZk4yM2REck9HUjBiRVA0eE96N0xuUDgxOFd2aTR1OGI1OVg5L2diNEkvZnY3aUVnUEUvNEgrdjNJcDdIRHRrcEFRbDVEK3hTVzJLL0tYZ1lLRTVKRVRVb29YbktTdmhTb2RQWGwzOTRHTGovS3EybVNPblhMbUtsOFBHNVJWT1c0NnE4MzdoZllmWlA4M3NIdi9GTmsvd1A2YmF3TFlJeTYyYzNqaUNnQUNFQXIxOGxPQWYwNmF2N3VCV1htTHFzK05XWVVzQzVlU3dMZzlySFV2RDZlaGRaOTlnZWJkcFNXTDBjdnZsWE5GUU5MNjVPNkYxakZvd1N0R1MxMURrTnB4LzlWYnNILzcvVEduVU16SHRUN2tqNHl3YUZvK0JxdXJIUmxrK0dsOFgzKy8yMjNTdll5dnVYWVBDMUJtMVRpRDRXSTdtV1h6eDBjY3pETHpxWG1EVnlkc0tvcVdKN3lwRmY2YkQ1Y2dibVYrSVNVQlk2T2ZHYXBQTUU3bG8yTW1KMlRkRDdKeEZMUFgrMUxMenh3ZVJhK1JURCtkNjNTUFRLUmpONjRZNC9Dc0xUTW5yQUZ2L1Z6VEdObjVsZkFOMlMzZHJCYUZObUxrTFArQSt2cTNYKzJrSERUcjJ4UGlSbmluUXZnV2xrSWFiTEE1K2F3Z2VNa2tvMjUxRkhQNzRzVEpyUEY0endWWWpScDBRYmM2cGJYNk5qSnd3aFpsSFc0ZW1WS09neW1CcFBiUUQ4dWpFK1RFV3d5b3plcnExc1hobGZWelc0NzdSVUJBQmVscjlQcm9NaTNvWkpzeE9YWmZjZEFOSEhRcXkyQ1M5UFd3ZmE5dFRoR3RJbjlsS1BQR21VK21ILzJVOWV6NmRBT3NTM1d4TG80bDhKdXN3VEl2SE1iT1RsZ1ZhTi9zSG1SekwwWHY3N3YraDhoVEVQN1RCd1dPM05OTnMvYmszU0MxUjJWQ05ma2ExU0hyQWxkK1pUR0tWNEM1N3pUNDVOdTNwUjhiVFRERnhZZmduMHNEZ1pEQURxbUt2S0EvVVg2ekhLOXlSWmt2ejVmZWs4QllPaUdLSjU5NHk5UndMY1ZIY1k2WFJJbzdIdWplbFpVaXNOL1N0cDlWaDRrTEVMWGNaVS82SFhqVEljZkxMTk5TSGVFQUN6YlZ3ZDdMeW1seFdCVjJJRVZBL0UycDUzM0ZXNVVweDFaZFNsSEhSMnpOK2d6ZmhTN2tRdXBTUCtaZXNrYm55Um1FMzA4N2lPNXdqaWhobnpDcGNNNDZkVC9BK05LRXNleUpKajV1VWQvVnN6ckJwdUJCQm1PR1ZTb0xwL1c1SjJyU1lIMkhic3pCdWljTHVSdEZ5WE9PNlJEVVZJRmxoVjlKVi9pV0hFajFIbDd2ckVyTzNtdnJEWEZvQ01YT1BzSkR0WnNIRVl5SU9Td2I3NXZoVUsyaTlNazkwRHh5aUxxL1dYZnIydEpwYjFuU2pBam9ZWTczdG8xQmlJa1ZGUll4TVR3TTN3Rjh6SFAyVWNIVEZCVXNtYk5sSWRKeEg1amlSN21XajhMY291UVRjWHJOUVpFU0dZZDlGQ1RpdTNSWnJtNlUzTG5nSzBVVG1kbXA4Q3o0MWJmZEF3N1BQSmRkR1VlSDBkb1hTYzdwRUZJNjRhR0RJdGs4TkQ3UE9MQldoeFpsWFJyV0VGWnFDUDlydVBnbUpkdFRJQUpTbVF4WWtnZ0k2aFB2bWpxVXdYOEpWcFVSTU52UFZsdVZCRmRVVElodGlGWXhFZEIyRWVHM3B1blBaT1RTaytNVTZ0dG80RDNFamVtSlUvd24yd1hORjdockdDNjJwOXQzeEpoQm9zb1RMQVlySTVhZDJIMm4wRHh0RVhEWHR4NWtkYlJhYk9mU1d3OGo3c0pqUkFDb1h6aXhrQVMxMEtYakY5cThsWGdMQW8zTmNvTFZVTE15dThVSFBjU2dxNkZtT2JiSXdWV0w4MFZCc05ucEEvUWtLcnF1NWVVb3JCbFd2dGdZVnhFVjZoZDlpNWpubzBud0IzMjRIWjdjNGlRTDR0emVjKzBUekRST016SnFOaWJXUVgzalB2cCt1OGxpbHVZUi9SSXJQK1BjSUIzcXZwcWlOOUMxU2s0bFRMTGY2SHFqU2Y5UnJxRzhJa0djbTlVRERlZG5ONEExd1JseFExcFN3cjBFQ0hmMU1lNWFsR2FhWmM3V1dmd1lQNEhYSE4yZGc2L1Q0Y0QzMnEzeE00ZlhQM2xQdW5wY3dXSitHM0ptNFVaR1BnZE5KdlEwSTBhR2ZkTzgrekVSTDhFUm00U0lGMjQ1Q3pzWHh1UFpEMTI3d2puNFZxTktmTUJ3c1VHOFcrRVBkYXIyR1ZlWHdNSkYyNmZGY3ZXUW1zQjMyUjNEcGFycVlhOUd3b0lWTWpGOUNERUNiT3ZQNVFDZXcvS01hby9XYnNLcDdhY0ZJSW5tSWV5UGx1ZDBiQm5HZlJBQkdrVC9YaVpRM0RZZFA0VHZjTnVKRmtzejRiaFd6VmdQeXJLZm1GNHQ4S2taSUp6akpiVkZVMU00cG1WeXNmYVhlTlpyZCtBaGtvdnVzQjdMa3p1aDBtRlQ4NHJFcnh3V0FkaHBCU0hMUENROTdyUnVwd2hRRW9qVmlvQjdTM2d0L3A4akZ0Sit2S1N1UjRKZFk1WXFZQXovUUNNdjZ6VnMzK0xtTkREV2JsNy9nSkdHNkd3Y1M0NUk4M1ZCOG9RMXBmajU1cXNWMXR2aWVNZXVWZzNlNk4xaXNMZzl1aHd5ZXZkRjk5RGl6OGZWamhwbWVwV0REYTROS1RLREJZKzh6eXBlZWpUM1NOTU1qZlBWdkZBdUhORUNtcytYTGYxVXFlTHQ2KzlGRDJ3WTVoNXpxY1dxZG41N2dETkV1VUgzZlJrNnlGbEhZdWwvSkxrOXZhWDJvUytNNm84Y09LRXlKcVc5NTBaeDhqTktwMHNwNXNsVXgvN1M2NFdsTE1MSERUK2I2akxPc1MyQkZmOUVlTm51RVlkbnJuazZRNmxuYzRwN1pkNWw0SzRkSEVyRDlEZWMvV01ZZmNVY3Azd0cyWnMxM21kM2N2NHhjMS96dVRsWWd0Wit5NzM0bm01aWRWMnhDSkEwNHFuMkVBOFFkTVlzckxZZ1lPTkNsd2pnK3BEVjQ5NjM2b1AxNWZoVFBzMmdkVG1lNWJsZHdOaUNqWTg1Z3dGUjdERXVsdE5meWpObmY1OTFvK1Y3VFNQWjQ5SkoxN09EeUsxeDU4RnpRbGxNRVY3cS9lVmhvajkxZkxQSFVxWVdUT1BHdHByZ01meVk3WFNtUHptZXFvNEx1VU1SN0FRWnM2Y0x2REhYb3NWbmczUHNUN3JkcHhIU09yeTY0bndyN3Vic2FnSFB6TG1sbW9RQ3NURTBrTDE4b1ptODVETnV3NW8xYTVjZkw1dFJiVU9JQ2F3ZE5mQ1ltYXc3bGdmait0emxVOWF3MmIyWGVUcWwzS2EyYk1lN3Q5STR6eTdiN29IMEZ3Zk52dWVvdjRLNmp2OCtoRHl1bUhOQm8ySURwVnlWWHZpU2xSbXFiRWwzZWRxcm5QdzRxdjlkYWd1bGRHWHh6TVVUcWU3ZTI0NVRqUm1sWjFISUxuUFBxc3lvNFliOElVcjg0WW5VSmVld1FCVlNZS0dCUy9DSlZOZFNPeFhuZUlvd1RtQWRzNlhYUmY4NjJxbzBRSnlwd1V4cFVoYnNNem9oeFErYXJVU0F0R2tBcHE0eDNPdVRiVVZQd1lmRlJwVXFQc2ZiRVBIeVk0REpGUEphMGNlMy9EY2hPUFdUZFY4YzNVR3ZQRUhRYU92cHI0TTdxVXFvS3dnQnNkd3JCQ013U2JkNzYxZW1jWHhOQmcxZzNXTWhLZnZ4OWJNWEJVY1lZR2loY0pMSzhGc1JBZXgxTDVmMlNLS3F6akJjS3o1NitMbjZ3TDY3OFByT1BsaG5OcFhVcXU0RjZ2SmZwTHo0MjRhNVM5SDgzOUJoQzh6Ujd3ZXY2MXRHWkVhVjlNamJ3RDVNWnFmUjFGRTI2UE1WMlJtdUxjSVk1NVJhZUs5RGx2YXpJMnBtS2dzNnVkN2VnUzlXb1ExaEpWN1VVd0ZVS1NGc09SdVdnSk5QRmdFTW5SWVJJQWZwYmEvQmgzU2IrVWhhbkJjQnNoMnpONXNzSmxxMnY0RWtLekNXM1VKa014K1l5aXROTG1hcG1Gc0ZidnJzMzJoQ2ZxbktjYTRiTkgwRE96SzR2cVlIdW5BOTJOMjBmZlcrYkJHUVFxMGwzNDlyb3lILzdyN1VxZ3RtY085M2N0anFUNE1ucG9pS1h4RWZucXMwTnd6QjVTNHhtR2VsbWdxMzAwUkF2U0xLZExvdCtIdmZab0x5bHphRDBEOUpGSWZ3M0lZY1RNbVNYWDR3aG1vMGo2NUhvWnh2MzN0OE5zWkFzN2QwT0NPdFFsbGI3NjFycW11Z01kck9vdm5kT3lkS25yVjlycDM5dUhYNzVlQmdmS3Y2NER4M000a0JsWW9OY2VjWi9UUW1GeTJlQkVtZEdWYzl3U1N2RE1lYXhNR050TnR6cUpkRDYxdHBONXo5VVY5bzU1L2tYQXVDZjJZaEpYTVp0NnFPZUxpaUhSekNNK2VEQTk0NVB5NVFLM3RieDFHanFaVzFIRHVRL3lSWk80OWlwNjhkYzV6U2hCMDNOS3liREduQzFqZGhFdzQ0T1p2a3ArZ0J2NFNlamdnTUlVK3J0cXJnTy9qUklJYXJPL3UrZy9nQW9TZ0MvTFhVOE11L0RiM3ZvaWRyNm9LK016N3lpMFQ1T1BWbEVhQUFiOXJhRG1xYjNpTTBXTjQwVDVpdlM5T2swc1k5UUw4VmprWC9abVFkNzBYVmxtYXI2ZllMUzNIQ2RUQm5EakUreWU1NVRkUVFtSEtKbmNUeHpXNUxpN0ZiVUV0ai9La3VTMU91N1FNRy9RRnhMMkduTGw2cGJXSndROUlzNU9udWdSQUNwTk05TWNmQ3ZHelNvdXBOMXVWcXlhdUFSZElWa0xxVFZWUlpHN0duN01lRThzUTJlRGx1T2EzQWxsVkxuclNkeTYyam54MzJXcmtjOENTU1dYWFMyNTYvcUxBeXRsSlZQK0dsK1RIRVYrOWdPTytHVUZhbmNTUTlLNHFiSlpRcGFqMnExQmRTRkRDR3FLdnZPVkloVndxeFAvZkFDS3U5blNMSmZXNmJFblExdjU3ODE4MzBTNGVRTms3MjdxRCt6c3JTUEZqeU9oT0NKMkYya24xZ2tOQm9ZSVpSUDBpd3FvajdTd1FjMmtCaExxRXN0emZzcFZnd0dOTS9ZUDdsOHg0bml2MmtZWm1MY2grdHMvcHRpQkgyMkdyZDlHN21UTDU4V1JkYmVwUTVrdzJsZS9SQi80Sk14djJGMFBEQUpMSmpMMDY3WmJPaGw0UUROdnl6UlNOUUtFN2ZGL2tFQ1pjTGl1bTVFYm9uREtwVElkY1EvbW9zRFdub2JqaUJLQ3ZSV1R1enBZOGFTNlU1YkJ5ZlE1WFU2OHovOFhteFRnUkUycG1FYmJwbk9PT0dHenpwRGljelhQUEx2OUIwemFSV1ZnT29xc3laZ3A4akt4TTN5ZHd5b1V4VFdhQmJYL1djSXd1QnBhWnZicjQ4Z3p5dUQ2ZlJWMXlNZUdaWkIraTFjeTdWK3VycVRnL2VJTlFRTS9uUDlaSThCeUtJWXNRMnMrbkxKTlR3M1BCeDdocW5sOWNZRzNJaCtkanBldmVIVjBUQTlaaU80dmUwdHhaaGNqbTltSHVqQzIvTkZGNWFlamdXQ0RSMk5pNEJqSEVWVGc3QWZVQ2Q0S1R5SDdDUWJYcUJzSGRhZmIzUDVRM0YvcW0zZlAxNDNJQ0oxdzhZbFBPWnJKVlRWZGpVRUVZcnpteTltY0NWNTI5eXUvb3JvbWFYcWFDT1RWcGtaV1daWmhXdWVHZTJCcllTcmg0Yk1WNVg0NGN6SlRMVUtQWjcwWXd0VlNhck56WmxrUU9kQ29yMGY1Z0Fsd252MG84NWUrMUZseTRzaXExMWxOYW5SK3U5T0RYb091OVE4VU1ETWlLMVU4cHEwQUdtTkVuVHJ4TWI5RFhybUV0TkJnSGRsMHNxRjFiV2J0aTNJM2IrQnpPRmcrTUJVNHBEUWcxaTIvbG1ueGRmemMvVEtrYTZGamhNM3FRN0R5V0l4cmFrbGYvc2IrTExmMGpVb2ZBWFY4dFhjWVlsSzFnb2FqUlBJVVhPdnhJN1MwZHY3M3k2L0dIazUwYmdEeDZKSDdaZFlLa2lPTXhWVGJlRUVBNkRoM2cxZHFOeHNvU3JQR3FYbzJ6UTFBRndiQTVCZmk1Wnc0TExDSEJjNGd5ZlhnQW1XWTBJeFpZeEdKUEpnT2k2SEZ6UmNxTkhWNGt0YnUrbjVqaXpXWjg3elByNnUvQ29EUkVnc2ZQQ2wzak5EVzdBWFRQT3dwV0JMbncweUpyOVpMZUFlaDVqK0xUY0dCWkJKbzlHS28zM2hoWUhmRWVHR0pHVjdIMEQ1KzA5T2pFZkVIN0VPMFNHZkNMVFh5dVZ5aUJ5MUhuaU13c3BCRitlNGN6Q2ErWTk4OU4zdVk2dk5lRmMyOFFJbnoyQ0F6dzZSMnp1RlR3TkpjRHhwSHNtS21tVnk0MzBuay9PNzN4ckcxanJXeWpFYjZ4M0Y2QjlmWjJaQzdxbmkzV2phNzQ4dmtsSjlVSTZvRjVwQjFuM1BIR3Jucy9JUk04cDZ5bzRXQXd5WEkvcFFqd3JQZzBodzc1YmwxMjB2L0txMnlXTlFxRjhtU2QvZEhXeVJsNndQbkJaN1A5UnBFWGovdzVRU3dFQ0ZBTVVBQUFBQ0FBS1RKVmJEOEkvNkxNQkFBRG5Bd0FBREFBSkFBQUFBQUFBQUFBQXRvRUFBQUFBWkc5amRXMWxiblF1ZUcxc1ZWUUZBQWNrVGtkcFVFc0JBaFFERkFBQUFBZ0FDa3lWV3dzZSs0SDdFZ0FBM1RFQkFBOEFDUUFBQUFBQUFBQUFBTGFCM1FFQUFIQmhaMlZ6TDNCaFoyVXhMbmh0YkZWVUJRQUhKRTVIYVZCTEFRSVVBeFFBQUFBSUFBcE1sVnNrOE52NE9nQUFBRG9BQUFBT0FBa0FBQUFBQUFBQUFBQzJnUVVWQUFCeVpXeHpMMTl5Wld4ekxuaHRiRlZVQlFBSEpFNUhhVkJMQVFJVUF4UUFBQUFJQUFwTWxWc2s4TnY0T2dBQUFEb0FBQUFUQUFrQUFBQUFBQUFBQUFDMmdXc1ZBQUJ5Wld4ekwzQmhaMlV4WDNKbGJITXVlRzFzVlZRRkFBY2tUa2RwVUVzQkFoUURGQUFBQUFnQUNreVZXM3BUV1NLekF3QUFZeDhBQUFrQUNRQUFBQUFBQUFBQUFMYUIxaFVBQUhSb1pXMWxMbmh0YkZWVUJRQUhKRTVIYVZCTEFRSVVBeFFBQUFBSUFBcE1sVnRBNnp5WWFCQUFBQWtTQUFBT0FBa0FBQUFBQUFBQUFBQzJnYkFaQUFCMGFIVnRZbTVoYVd3dWFuQmxaMVZVQlFBSEpFNUhhVkJMQlFZQUFBQUFCZ0FHQUowQkFBQkVLZ0FBQUFBPSIsCgkiRmlsZU5hbWUiIDogIue7mOWbvjEoMjMpLmVkZHgiCn0K"/>
    </extobj>
    <extobj name="F360BE8B-6686-4F3D-AEAF-501FE73E4058-5">
      <extobjdata type="F360BE8B-6686-4F3D-AEAF-501FE73E4058" data="ewoJIkZpbGVDb250ZW50IiA6ICJVRXNEQkJRQUFBQUlBQ3hiT0Z0NE14dDFyZ0VBQU9jREFBQU1BQUFBWkc5amRXMWxiblF1ZUcxc2haTlJiNXN3RklYZkorMC9XSDRuTlE1TUVNR3FqTFJkcFhTdHl0byt1L2dDVnNDdWpPblNUdnZ2cytrVUdwcG9QQ0J4dnNPeGZlOTFjcnB0Ry9RTXVoTktwdGlmRVl4QUZvb0xXYVc0TjZVWDRkT3ZuejhsSzFYMExVaURydk1VUHdpSmtWVXVlc0ZUL0hzZUZTVjdKTXo3RXNXaEY1UVFlQ3lNcUJkWXdQaWNrTWQ0L2dlais5MHFkRVptTWJheHlENHVPbE95Rk5VL1lSQnoxZlRHdXRGOWlrUGk0NU1KdkdMZHhqR3lUKzZlT0ROd3d5cjR3VnB3aHZQbE9qK2IvRjZyWHhkYWNJZC8zdDRkb0xkOUEvbzRkdWVHUmtnNGJuRmIrS2FCYlE1YnJuVzE3STFhc3hmVm04T1d0djIvWTYyS1RmWldwSS80c3BKS3d3cktUSnJjdkRUSHlySHpuU3Rwam5qT0dpaU1GZ1ZyTXEyNmJoYzNsajg1bWZZeHlZMGRKZEYwZTdWNTA5QU5NN1dkaEdCU3VUMGF2QXVmWkNYTHdvam5vZEdYa3NOMnNoZW5kMDRiQnlkWlBZbEJtZEZ3RlBOQ0E4Z0h3VTA5d0ppU0tmd09vcXFIdXZna2VyOUd3MHlwZE9zSWgyNHprc3oyM1FCZjJaZURsTkRRSTc1SGZlVDdDMElYd1h6aVZjT3N2VzdyVWIreVY3QVUwNURZbzRFTG9lR0NCaC9NZXlsRFA0WXJhei8rQWxCTEF3UVVBQUFBQ0FBc1d6aGJ0QTZzcTM0VEFBQ2JEQUVBRHdBQUFIQmhaMlZ6TDNCaFoyVXhMbmh0Yk8xZFczTWNOM1orVDFYK3c5VHNpNXlJR0RUNlhrWEZ4YnVVRXFtSk9KTEp2TFhJRnRtcjRmVFVURXRyNWNueFpWT0s3Y1RKdXVTeXZTbkpHMit0VTZtdDNjM2EyWlRzL0p1UUl6MzVMd1JBWDZaN0JuMUJ6elNuU1lGNjBIVGpBT2ZnQURqNGNIQ0FYbjd6N1pOdTQ1RTlHRHB1NzFwVEFyRFpzSHNIN3FIVE83cld2TlBaWERLYWIvN1ZuLy9aY3RzNnNoczMxakVKeENTZHgzMzdXcE84YXpaMnJCUDgrOVZYM3kxSnpjYmZ1dTRKcG1rMjd2UWM3MXJ6NUtUWmFBL3N0dFczQjllYW1BQVgxY0IvdExqMndPMFBneGYwNVZ2T29YZmN1SXZ6U3dnQkZUVmI4ZFRydG5OMDdORmsxZENCa2t3bC9LTDhTSUxUcWVQOHlOU1R5VVNhMVlGdFBjaVdJQ0liRjZXYk10Q2hORUhuRHJ5QjVWQ0N6WldidXh2SjVKV0hucnZyL0oxTmtqdTM3MnlrTUxscDM2Y2x3SlQwanRzbnlVdVR6TVAwMjVHNlVnaFdYYzl6VHhnVXV3Y0R0OXZkbzh5QmhneE4wVmdFK3o2Qm9VRVpUaEJzRFp6RFZmdkk2ZTB4YWhBbDdxZHE4TmJnYU4wWjJBY2U3cFZKQVpkYmsxMW4rYWIxMkgzb3hiUC85Y09UL3JaN2FEUHFScEoydmNkZG15RVlUUXNhWnFKQ093OVA3dDIwSDlsZFJyYVRrMjNycCs2QTlxenBKS2ZuSjAxMlNWekZ1L1pnM1JsNnJJdzQ5YnFiazdveUhKSkVZMktZOUhjUExMOTZLcHhNd21QeEFKY1phQldDS1FMTU1kSWNqQ2s5b1dQQ2Y5T3h1NGVFdW1zOWJ1d2V1ejlySDd1ZUcvYjN4Zzd0NGRFalRXeTdRMUpvZ3c0eXJCQmNxNFkva3JDNllVQjAwK25aSVdISGZ0dkRPdkljWEtHd3FBazFVREVvLzJBcytUWXF0RXFudi9uRjZTY2YrMDkzcmpYSmY4M0dadGM2OHN0M3ZLN05LSmdXZnRmcVBxUnF3TGJzV25PM2N6dWhLa3F5NmZhOHhxWjE0blFmWDJ0dU8zaFFERjA4WnZjdFhLdG13MWNBYnZiR210dDFzZm43aVVML2tpcHZoWlVvVkRFVVZlenJiMTkrOVdsVU1WcVRDMTB6TFpwSTN2dm0xV2ZmUkRWYnQvdld3RHV4ZTk0RnJGN1ErMG45OUxCK0d5ZVcwNDJxRnp4ZDVKb1pVWi84MDYvLzczOS9PZnIwdTVlLys3ZW9nbS9oVWQycmU5Y2N2d2dzMnFTaEcwYVdjTlBwZGpmZHdZbmxCU0JvaDFRdlNsN2QyaHk0SjUxaisyUmk4bGx1RDV5ZXQydDdEL3VOVFFkUHZMdkh0dTFGaWd4d0V4eWJSNEpoSXZOSUVFc01VaEZvc0cwTjhCVHExNVZPOWZFWEdCdkVILzJaUHZZbWtncmJkWXo5NHJxaGI0SVdmZm5lUjJlZi95NnlxVGQ2ajV5aGMyL2NmSTJiN3NHRGNCVFRDb1lQSzNqcWZqU21XN1VPSGh3TjNJZTl3NUJndDJmMVdmQW56djcwRCs4U1RCa1l2alR1NFJURFl1OC94YmtIMUF6MmRKSWJLMlBaYjBUQ1hCNGJwM2UrR0gzNlRXSVNvbVMwczlISldFNVdoNlp1M0wrUG9ReEpsalZHTXBubWFDSWpiYzN0OVhCZXYzQlZpUWxMazhPbjdlMnh0QXJwRUpiVHUwZkdLUXdsdit0NFZ0ZnhIbWZJcnVpWnNpc3dRM1ptNHU0eHh2MFRxY3V0UU5idzJTZnl4eElwYmJXTFd6WG9jaEEzTzIyVWFPYkRWdUUybHNmcUhYV2pwY2Y0UlVLQ2dkVWIzc2NqZGRLQWpERStna0NmcURTbEdNTjd4UVNxanN4cGtoWENieG9MMHJTdGRvQjdWVVVIdWlHeEtmYjlaWVppQUkxUlB1N2FZU2thQkxJdXE3aFJDV0xELzI5UGd0cFlEbG9xVWpCYkxaa0RNU3hwMStrejhIbVV0cy9BdWkyV1dwZTNuZUZCY29GQUdqVXdrMy96MERsNHNHME5INURxcWxNbVA5dWdqcXVIY2FGUE5wRVNwYjVsc3hjOENhSTFpeTZhOEd6a3BSTzFMYyt6QjczQTdESEo2UHBsWlRCd2YwYXBZRGp6S0d6eWpkNWhjV0phVmF5VlRIMjBVaFd5N0EvWmRHWGh4am5Fb2hDWXoyejdWa29CeTYxWXN5YUdHaDYydzhsU3FHVklnUEVPL3JYeHRtZjNEa1BXTE9uU3htMUVNRFYrU1RlWFVvWkZsR3Q2VEkrelRZK05LRnZHT0k5b3R2aEdhaUlmeDNpTjhyRnN3Nlp2UEVGSEFsUS9mMEhLeVNraHlUdFdncStyN0NJNmIzcytIc3dDYTVTU2FUTEc1WVFtdjNGM3Blc2NZWGl5aHJHK1BmQlhmMzVmODQwSGdUWFd2VjNQeFJPM3dldzd0TUJvT3Z2Si9mdVNTZjZsVjJMdDJCcFlCNWhiNDhZZVpaQ0hLNlV4cnN3cnU0MkxQaHBZL2VPdzdOMCtHYklCeUF2cXFoQlljN2pwRElZZXBjRVBCTnVGdjIvNzZJOW10ZzdzVlJ0cjBSNC9yOXozeU5TWTBUVjl5RGRzK0lVcUFWS2t2enBFajBxSURkT01VZFJHS1drMHZkOXZ0UDA2cnUybERPc0V2ZGNQQ1U4LytIajAzbTlHejU4dXQ3eCtGb3RXUHpPNXZBUUlrait2WlpXWEFQZHd0b0w4Qk5xN3AyenNSQmIvUlFLSWI5bnVpZTBOSEh2S3RBWXBqMWtzZDF3NmRhUmFMRXhBdW1FR3dWclhIZHFIR2ZQb2prdldnSmtzQ0x6T0tHSGJmV1IzM0RSMXBtQ1NLSjJCUzZLMFZtclJkRnJOWWNvMW8yU0trY3FzR2pHS3pta3pDcGJYS0RVUmc2dFJsbHVNNFJTOUhJKytBUDJ3bGkzMGQ3aGtrUmxMbHZiQVBiQ0h3eEFJblgzMzk2TnZQdVJkclVEaWk1ZW40ZG9ZMmFneWtDUzV3dFVLMU9TODFZcUtFUWtXZ21lMW9nRlYxY3p6VzYxUVAvNjY1Vm5UYTR4N042amhtNTRMbDRsYkp5VWRkeXhHaWN0cmJkZnBUZU5pLzNYUUU5cWVGSGxYL0w3RUJzVVozWDZaUjRrdG4zdU9UQ2p5dWVUS1ZLeTV4M0t5bGh1RlpKSjltZVFDTW9VakpjOThWcUE1eFpkU3FVQno0ZURPc3EwTUtjTlhDV2hCMXV1VFdXL2QreWxlOUJHeHFWWW1ldmhFanVXTlJ6YWpiOU8zNndOL1l4TFNOY1hraUp6S21PWXJRQnFTekFMdWdsMjM2eHd5MVJ4ZkNmaC9ESVdOeTF1VXgrRTJjVXc2dlNPNkdZcjdvam14bVpvb3JWNnVpVlRkVStMRVNneEtoa0lHYitSeHhEMGFNenUyaUNmQUpDNUwrejd4MWt1cWVwQlMvMWJJWGZoQ1FvSXBkTURwQ3lsaVZLSnNYTDZRNHVZdHlzZGhqcU44TE9SUjNoY1M4aGErRU9FTFdZQXY1UHV6Zi94YXVDRUNnbnE0SWJqc2FtR2NScWxuZEZWd0MxYUpxMkt1Uy9GNU1TM2VCTE81YVNyc0cxVzVLb0w5WkZKODZMQlFHQTZMQkptUFdPS3ZFc3RjdDhkZTZJN2ovMExQQXBsWFYrNTBicTF1Yk4zWWFlOTBybENTam5WMEZZTlEvTjhiMC9ockhDY29RUk1DcEpRcEJDY3c1ZGpZV1M5Y1FMQmRpMlJnY3VYSDZ5K0dnb3I0ZTRDaUlLVGJTeHJsUitxdzVLczB5d1VreTBEVEFoQkVwUGF6N0dlNmhBanQxcDJWMit0WElLUHVVLzRoUXU3WGVlOHZpVlJ2TU1GUmZJOGI2Z0Rxc1h6N0pOOStTcjRZb3RNQndzTkZ0cGQwRG5lU3BBRkRoanFITzJsY2Z4b2N3dEJCekwrVVR4eDJCMy9pSWZSMEFFcFFCbnUwMlpuOWk1VUJzVExNdUFWdm1wZDhCMzdhUXhxcWVFeXM1QkNYWCtiNlFEaXh6Q1Z1TkJxYUpJV0xYQWl6cHNXNnIzQm5CWVNwY0s0d0lFekhlNWQwWHlxUHFaelNqMmVERWZSMUZJRG1SNERqSHR5bFA2TFkzYU1lWG9lUnlQbHhiQjBKcjQ4YlhUNDhvbGFQUjB3RFFCTlJVNHNuOEwwcmVIMktGOXJnNXEwMU1wOUg1cnE5Y2p2eEhIaFN3WjU4ZGVyZHZ2ekdHem40eGQ4OENaanVWOGcweER1YVpnQkR6Nm1tTnNGUkczT1VyazY5MjVmU09ISlVjbGFXcFRHVkRvR3VHeng0Q2xhQnBEU00wcFF5U0NxbVhUNGtKYXRBTmt3T0ZBVXZBMzdTQkg0UytDbVdJUERUYTRxZkdERUx4YmpXSGo4bFFrKzBpeHA2b2tzbWtFVG9pUWd0aWNza1FrdEVhRWtqK1hadW9TVUtVbVFSV3BJc3JWNmhKZUxVUzVKZzVrZ1BSUVI1aUNBUEVlU3g0Q0NQczk5L2UvYnhzNWZ2ZkNZcHBnSkZzRWRBSUlJOTVpeVlDUGFZc3hnWE1kZ2o0UnpRTDZweklQOWNpcWxyd0V4ZDZWOVczNERQUWh4TFlja2tmQWZDZDlCSXZoWEhVaEpFbDlsM0lJNmxYSFJuaFRpV0lqd1dBYTN3V0N6WVkvSEpCMmNmZmlROEZRR0I4RlFJVDBWSnBzSlR3Uk1HYXB6cnNaVDArRWg5SWxoUkh3Y3JLbGVuM3UwcnVXR2dVQWFLbmhNaE9SZW1yR012cGNKZEVTUHlGT1hFZ2NvNkNFQlBxV0RYUWl4THg0RXVRUUFoeEUxQng4bkZQbDBERVFhWUpVSkNsMVFBQ1RDMWwzaXVscXp2NlJxZE56cVVHVTRxb2tOamFoYlJvU0k2TkZiQ1pZME96VDFkaytKMXFuOTA2T1I5eXVRdThBcnZVOVkxQUJtN1BMRVB0OGdxMERVamM3NU1ueUpsbExrSlJMNEprNzBKWkJnQUtqeXpuYVlEdzFET2J3dG83bnN6UVpNVTIzSW9WbHNPWDM2UkdWTmNDUzJDNCtib2J5N1czMm1tdUZuU0tuQTFGN0kyaVd6RlIyR1VqV0hkU3Z1WlE4NjFjVE4zM1A2MGoxa3lOVU5UaEtONVFZN21wSnFrdWFxcElpZTI1SWZkL2ZIWFAvN3d4WXhoZHpPSzhmTDlQNHkrK3MvUnN6KysvUGsvRTJGVXlUQVhKc3pvK2JldlB2L3YwUy8rTkhyKzlPekREMDgvZU9LclNJVklYNXlLVHI5OGNmclIwOU1uN3hMOW9NWEpnWHRNSmQwbFl3b1FHeVZUQkJkelFjbURRaXE4Ulp4WGluQjF0dURidTJzaXhpSXZFY2NMM1VzYnJHbVlFT0Ftemx5b2kyak44SzJJMW1USUthSTF5MnBPUkd0U2FoR3RXU05ubG9qV3JJMzNURVJyaW1qTnFRS0ZFeTBtUk4yak5VZlB2eDM5NnA5YW85OSsrZXFkSnlKb015Q29oeTlDQkcyZTQ0cDhYa3hGMEdZeGowVmxkMCtwRWpBWlMrbkU3aDNBZ0sra3cwSlhGR0F3eWgvSEZhZzZNQ1hHVjZMakYxV3J3T1M1bzFvekFOVDFjd3dzdUl6ZWlvSktuTHUzb2toamo2VThGMStGUDBZS1Jubk1VMjBjcmdvK3RZV0QrdlZ4VklncnFhWkxxNWVqUWtUZEpBa201MmorcUp2Y0lSNWw0M0liRkRVMVVTNE93eGpsbTU3K3l3ZmVoSnlGeTBDNERNN2RaZkRxVjUrTi91dGZSMC8rWTJIZllELzc1WlBSOSsrUHZ2K0hIMy80QWtFZ0dZdVQ1TFBua1NRNk1MVEZDZkw3WjZjZlBhMUxvMEFnMTZOTklEYVV3cXNWRU5URXE4VXgrUmVHOXBSNlJxY1dyMXl2ajArcmVBdk01dE9xcm1lYzN6bGttUldLVThYbmFPVHM4N2xJU2g2V3hjOVRYNGFKdmN2OUhFMFlocE41UW5jK1RIaytSNE1tdmcyREdOK0dRWVUvUnhQNjdySXJPU3ZMMlQ1SG82czhKNUExRWw2RjZ2UlJHaE1wQUNLdDdFZHBESVBEYjRwRk5FeXBmb2VQOFJqZ08zeU14S2RweE9IamVFSTkvRWZpOEhFWnJEWVRUR1VjV1MzR2RTWm9sc3RWbTk3d21nUGIzTy93OExHdDAxRnJCbkpFOVVDT1daZkp5SXpMWlBLUVkzRGJidWtMYklyekZNQnhmc0J4U1RLQWFWWnlkVTFwNUtpUkUvdGw3cTdoUjQ1TEpsQk1UVVgxdzQ3Y0Y5Y0k3Q2l3WXlKQllFZUJIZm00Vm9zZGwxSzI1S29HajV4ODY0UWVKeS9xa1ZrZndaN2pSVDBHVUpUTW9EckZCS3FPS2p3RkNGVnlQMkRXSkcrWUFDSEVNY2NqQlRQVjFQT0xxcXZndWg2L1lRb2VPcVAxRlJmMk1JbEU2TkRGQ0IwcTJPTnBydGlSSTFqRmhUMUZERTRpRzRmWmlmSXhMRno1czBZaGF4RTRKQUtIMHRxNnNzQ2gwKzlmakg3N0w2Y3ZucDA5L2Z6SEg3NVFUQU11Nkw0V0VzWDA2YnRuLy9QdldBek4xR2U1TmtiRWlFd1RYTXpWRWRmVVV1VTFMTHhpaE5oN3dSZWcxRVNNODc2SGhlSElaNTF0cXU0cStwVTduVnVyRzFzM2RvaG5PZlFhWHZWOWdka2hIY2dFcHFTVktZUjFWVHdwWW1ObnZYQUJ2Z3lhakh1TndWVkFhVGU0aVdWVmRKM2VZSDZoTDNFM0ZBM293VWNCK0R6aENqQk1KSnVYNUJKM1dlWDFoVE1ETDRRdlBLWm00UXUvTUl0cE5PTmlHc1dHWG1kanIvUFdqZlhPOVN2QndwQ3gzUm1WTURhT1NKOG80L3JHamEzcm5TS0ZjSzIxYzJpQ1Qxc0EwOGhhcGNYc29EVERLbHFTZ1ZoQ2wxMUNOMVlmaEc5U1RoMUczQzdIb25xeDYwQ3hTNVpNZXEwLzd4Qy9nSUhjQkxHb0t5TmxDQ1NvbE4wc3lyMkJnYXdwTkZieFUvYzJjWUZnRlVBVm5lTnUwV1c4ZzZHZ0VpdTZNYkxJNWZwMXZURnlycHJqdmpHeXVPYkNzUzB1WWhBWE1ZamQxTHJ2cHBhN3dMSElHSSt5bGJqQWtmOGpLTVdzWTVTUEJRVEtMd2REM21KRktEWlYwOXE2dWszVkwxK2N2bmhHUGoyQk81c2s5akVEZ25yc1kvTGYwbGZVdElvYkhLdGIzeGR1Z25PK3dYRkd3U3JaNjFUcWM5eWRWR1FOenpuRHRuY0ZYc1gvZ0tHcGVhZmFkUlVZcXBGN3FyMTQyZEVaSkZNQktqS3pwWmJONUlrZy9EeDFJaWoyTHVjUVV1ajN5S3pNekN6TDc3NXFRSkUxdmpOSUNDQm9tcFVjUWxJMEF2ejR0MTQxRStpcVVtYnIxUUJJNGpxRHBOSHhydFZ2MzVYNy9EcnVVV0xmVmV5N2poUHFzZXdXdXl0bDBOZE15RFAzVkU0bG1LL0FXYUJLUUo3SlBwOWVtbStkZHBPbXdTQlN6alh3cmRUZFJ3cmpHaUlsN3dTN3BBSE5ST1h2UGlyT2xCVllWK3FrUG1LY21rYzVaOWdoa0ZVNXU1WXpzeXdOSCtFRmo5a3pzVXhxY0hxRER6akN5eENxeHcwWjJlZmNCV1NNcVZsQVJnRVpZeVZjVnNoNGVRTnlHQkNLZFpCN3ZoQktnU2FBaXBvTkxTU1luT2Z4ODVTYktQWXV4VE1WZzFBR3Vic2xHMXZNaDJlSW9CUVRjOHk1QkNnTHpVZ01OSk56Q2RDTUZ4MFY0bGdhUHhrR1VGQ2drTUwrTndqVUtqQ1Vvc29BcVRvL2hqSVFrTXBjSGFrb0FFbUk1d1BCU3lyZ0N2WTZKeGlGV3lRZlJrRUJvd1NNRWpCS3dLZ0VVMjBoVzd5NVhKZWtGRDNPeHRmSTkvaHg4YTBUYkV6RWNiTjhibk9LNDg3MHNCaVpRQ0REZjZKQ2pNdXk0cmQxVFFVNlRKMmVnN0F0SHFkSTdvZldSZFIyWnRUMm5ENVV6eFd3WGJkWTdhSngyblBTRlZlSWR2SG9iT04xQ3N4V2l1QlVyc0RzQkNaakdCMFJweTNpdEt1SjArYU8wYzRlNlZFT3p2QnMvc2pzUEhzWVpabVkzY3ZIWTVzaUZGdUVZcWUzZFlVZnhudi85T3YzUjUvOFhFUmhCd1MxaWNMbWliTE5ONXl6QjErTHdHc0cwMEthbnpYbWV0NDlZWjZoMW9IYmdPVkthSkFsSWlVbXRTRGhwL2daVzJWcy9rei93VWNleEJSR1pHUmw0L3BFOU9kNGJkSGlZeUdoVkI2SXlhTUFBNVc3RHNIRGVQbkd5U1NqRmxxY2l4VG5JaFhnWWhTcmloNW5vdkEyaUZHd0tnbUZvVGdYbE0rRmZMMnVRRldRTkV1ckpKbWtWd1hOMUNveUt0RXEzRlZCNTFJVnJTQVhLV1hBRjJsNXJaQzZ5RVhqcGNhN3d0K3oxSEg1OEUzOGo1eTU0R1dVcml4eUFVYjVKa0hGVEhCeW9QQ09lVlRVQ091empIbFV6QkpMY0NaOUZiWEVlZ0V1ZEE4OG5DbVhXMjNyaUV5aC93OVFTd01FRkFBQUFBZ0FMRnM0V3lUdzIvZzZBQUFBT2dBQUFBNEFBQUJ5Wld4ekwxOXlaV3h6TG5odGJMT3hyOGpOVVNoTExTck96TSt6VlRMVU0xQlNTTTFMemsvSnpFdTNWU290U2RPMVVMSzM0K1d5Q1VyTlNTd0JxaW5PeUN3bzFnZUtBQUJRU3dNRUZBQUFBQWdBTEZzNFd5VHcyL2c2QUFBQU9nQUFBQk1BQUFCeVpXeHpMM0JoWjJVeFgzSmxiSE11ZUcxc3M3R3Z5TTFSS0VzdEtzN016N05WTXRRelVGSkl6VXZPVDhuTVM3ZFZLaTFKMDdWUXNyZmo1YklKU3MxSkxBR3FLYzdJTENqV0I0b0FBRkJMQXdRVUFBQUFDQUFzV3poYkRyV3ExN0VEQUFCakh3QUFDUUFBQUhSb1pXMWxMbmh0Yk8xWnpXN1RRQkMrSS9FT3ErMjVUUnpIZGl6RlZHMXBCRktEU2hOQk9ScDduVmgxN01oeGFjdUpDdytBaEhxQUcrTEFoY0tCRzRLM0thVnZ3ZXlQNDdoMnJCVFNrb0s5aDlpenN6T3o4ODNNcmliTjFjT0JoNTZSY09RR3ZvR2xsU3BHeExjQzIvVjdCdDZQbk9VR1hyMXorMWF6MnljRE1vSTNCQS8vUXZmdkdsaFdNWHBnRG9pQnoxKzhPWHY5QVF1V2hHMGo4SUtROFRia21QZkg4ZWZ6ZDhjWWRmcW1IUndZZUtrbVZka3p1WnlKWUtzN0Z0TzNabG5FajFSZ2Q1eUdiVlVkQnd0YWpkSHFxbVk3SktZMUdNMGh1aTFwTVUzbWZKS2lXR3BNVXppZlkxbUtITk1remtkc3pWSmlXbDN3YVVUVFk1ckdhSnF1UzJCTFpWYmIweks0N2RXcXJPdDIyblloTjIxN3lpWWxaeitTMEtFMlZEbHRlOW8vMnVTK0oyMXZWaExjTW1odWdrZXQ2QUwwUGpsQWJGYks0QWNJRDBrckNBZG1oQjd1dTlaZTJ4enRHWGc1dzhtNFc2N25DZWJ1MFJBa2R3TFB0Zk5ZRXdlalIySWo5TUVvc1IzQ09ZTUozMStpSm05NnkvWEoxTmt4eDJQaTl2b1JWUzZ0cVBCb3Vickc3QnZta1BLMlBETXFadHcybzRpRVB2Tnd2djJNZFozMFhIOHRESU1EeGdscDIzR2ZnOFBxMDVkcyt2YmxGakJIZ0t0bXdZSXRtTVJEWllPbk9DeFdRT0VPY1dCS1owOGFLR1c2RVpYWWlsd2tDN0ZxOG1BdHhwS1hJTlFPcUpYVktRRlRJS2habVFqeHZ4YjloSTFpRjZPdTYwZFFoYWR0Y3M1WlVlWkRDcUV5N1ArTHNKZkxzSjh6UWt4a21RNlh1QU9WNVIxZGU1ekxOVHJHMXgyOXZPNWNaYURiaEk2WnFvcDZQWFcvdGlMVHA4eUtGRTZLUnNjNEs3UXlLNjR5SytvYUhXTnZOMzdEMitVeGNiVUpNUWVJbU13Ym5SQ3R3STh1ZHBkeXZTWHBkT1JydjBsOFJmZXlPZXFGNU0zeHJHam5jYkJ5dXJPK0QzVFJvVlhxNlc3dTJjbkgwL2RmVUxhdE4xN0cyNXYvVUtrb09NSlRwYUkrdzRJL0toVUNaRkVmYUc4OFZSeHE4UVduWUkrTFh5V214OUc0Q3kwWU1wSGJKWWNRTjJ1ZTIvTU52RUY4QUIzenZqUjRCdWE0Um43V1Z1T3dQdjErOHZQYnAvTzNMOCsvdmdJMjgya25Db2FzRG1jalBJRkMvRGVSYmZEM3pkQzBRREZxbVFQWE96SncyN1hDWUJRNEVYcGkzaU11R0xUTHRBdlFsdUl1TlE4ZEtVZm1Ob2pzaGVhd2p6cERpaERsQWdIM2ZidmxocU9JU1JPYnJqUHlEazBnUm9hUExlS0k5OTA4UkpwdE00U3dINkgxSUlxQ0FSTWgxc05ibDdvQ2ZybVE3QkhJQ2pjSGFtdVVHelFKQTRKRTdURkxHQzNlTHZ2aVVGeDAxU3czbkNsQThIaEpsSmVtbGFZdGxHbFN5alJwa1V4YllLOHRoR21UVSttcUowNG9ldFlJcXFEQWwzaWpmNWovQWxCTEF3UVVBQUFBQ0FBc1d6aGJCcUpMNjZnU0FBQnBGUUFBRGdBQUFIUm9kVzFpYm1GcGJDNXFjR1ZuNVpkblZOUEp1OGVEZEJBalhXQWhLaUpGaWtxVElxd2lJQ0M5U2NCa0VSVVNGcUpBSU5LeWloU3BxeFJkRkNKU1FoWHBnaFRwQ3l5TEVJcTBrQVFCYWZMN29jWWZFSkliYi9uZkYvZi80cDU3WDkxelo4NzN4Wng1enB6NVBNL01QUE53UG5Cb3NNTzJWalpXTUI0ZUhoaUIyMkdjV1pqRmo5SC9xdjFZNUgrN0JnL25IVXhjQ0RZT3krSGxPUTQ3SU03REs4N0Q2WUVoWURBZS9uOHpnUDE3NHpuQXk4Y3ZJQ2drTENMS05XZzRERHZBdzh0N2dJK1huNStQanpzYnc1Mkg4WW56U3h3N2MwRkEwdGxYOFBnZHFiUDNIaFVJS1YrczZaUjJHUVZPNkY0UHVTOHNJaU43UkU1ZTVhU3FtcnFHbnI2QjRUa2pZNHRMbGxiV2wyMXNYZDNjUFR5dmVpSDlidHk4NVIrQXdZYUc0Y01qQ0hjajR4N0VKeVFtUFV4K25KbVZuZlBrNlIrNUx3dUxpa3ZJcFdYbHRYWDFEWTFOYjVwYnVycDdldnY2L3h3WUhLT01UMHhPZlppZW9UTVdQeTR0cjN4YVhRTzN2M3o5eHZ3Tzdleis0T0tCOGY0RC9aOXlpWE81RHZEeDhmSUovdURpT1JEeHcwQ2NqLy9ZR1FHSkM4NkN2bmNrajUrOUp5UjE4VkZCVGFld3NxNExJSDA5WkZSRTVvUWVYUVg4Z2ZhdlpQODlzUHYvSTdKL2dQMG4xd3pzSUM4UE4zaTg0akJ6R0p1dDlqSVo5djlaUTFQNlZUcmRrZHJWREszZ1RVMjlhNEpYT2lieFVUc1NYc3ExRkwwaEx4enU4OGQwb2FVL0Zoc2I3bnZsWFUrMkVTbjRrUHBCY0pnbENTN1NFVDB4S01yUGdHUGExMkVpc24wVUYyMkJLMEYybGxtRWh3VVpyenZXdHJYbm5ocFN1TlZnRjFYbDZoalBhTmtPRnAyM3JqM0pNOGdxQUEvSFVwRTZ2U2w1cWwyb0U2OUIyVzVIS1VLR2ZjdjdhSXNYTEIyQWI1UmxDRENyRnJWTzJaQ3VnTGFFVEViNHd5cENXZXNwK3ZxemZYK1A1ckg2V2RGaDVFRGx4N0dUVVcybnJqYSsyY0lGZDJCMHhKOXFSMHVHMHUxOGNhVlVsdkdrS2JvWVE0Si9NMnlkYkRWaGJJa0Y1SitGeXBpcVlIaGxvOGVVREZVUjFFbkk2QmJHZTMzYk9vaU52Q1JjYlYrS05jalo5WGhVSXAvN3FnRHBmclRVUFI1NWgzekt1Y3BPMWtGOHhaMk10TlhJRTVuQWpKTHFpbDNPUGJTcUJMTFhmUmRkSmEwcStxY0hLS24wWVlmYm9WV3ltcGJ5OWVWdVJZc2J2cFlhNVc3QVZ4Qy9aaFJxUysxTGZsbnpLa0VVd2NSTFp4Y2dzVG55MnRrM3E5WVcwWk5hbWxwQjM4N2Z4akIzblNhcVg4WkxyRHZKMzZ3WUNQcEZleGx1T0gzMEVhTnBZY25xcjNMaGlWTE15VEdzalVGVzl1YUovUFUvckR5aVhnV1FnOFlpeFdYbVhPL2NDVHE1cUkwS2FIekYyUEVweE5jdFpSWEdQRVBHU3psZjlyV1VjdUw1TDdwTDduRjhtT3Y1VzJYZTkwL0k5Q3FoaHZ4RnkzRlRETjFjYUE2NTJsUlIydTlmN2pOSEtIU2p2RWovK3pNSDVwQnBWMytuZFE3MXR2S1gzc0Fvclk3SDFudDIvUkUzNlVHQmw0R0ZCOSsyeE5CRGhRRnNVL0JrQmpoRTUrOTdCSXowTmYxK2Z2SXQ3ZHF0Ylp6RXJQY2EreGd3VVpUak9lV3hxem1GbUpHUlFQbDgwRXlnL3EzbHNIclJmYWN0dTRSK2pvS3gxWEFJR1J0TndZemtPQnd1cFJXVmpWZGN6TE9XZjVvc1h2cXgyU1dZK3Mxb1BObmUxaVhOekYrdFR6ellwV0pJYmp4TmlJd01LekIrVGRad3lwb2FIL2ZVcFNNa1pxR0tpNVJ2VjJldnBHOUhLUnF2dUZMcTJ5THNRU2xqKzhsQ01uTHR6clJaUmRHQVN2WUhnNGljS1lQdlR0Y1ZabzAydDRLK2UvdGMycVM0UEZkeGNIbkFXRlI3cS9mZDhadGoyR1NhVndsRlJmOUVMcWJrVmU2RUhoTkQrcU5EMmh6am1QcUVlaDVhOWFYcFpDRHFQRGVtYU1ScERtelJQNEVEODQ5QkxTNnViS3lBT291ZkswQ0YvdnpqKzgvYnhXSXB6bEJLdHpINU4zUHN5UFFNUW5SVkpsOGNHc3psSDRuZml0Wmx2UDN6QklCSU12VUxaYnpSeTdNUGl4RmQyWnJHNnN6SXZsTXhFMkVaY0dEM0U5bTlzYWF0WUVhdlRpcGE0Wm4xcERtTlJGUU1hblVtbHNhT29pVmJZL2Jzb1JuRjQ3c1V0Z2k4RU9PUmUzalM3Q2owR0gxd09LSm9UU0pnOTBxTHdaT3l1YlhkcEFmb0tObE4zWmc5N1dnRnFJNHhOQ0pGN0hTcDVNQitnUitKUm8vWG15ZWpqS0RiWmlkajMrWEw0Wkx5MVVkWngyZ0w4VFBtdmFKNXFzeG1DQTVHOUQxQ1dkSkc0bU1GZ0xSV3F1eWtIbEU0aVNYckh5R1FubjgweHMrMUEzSmwzdGgvYlNZYTdRN0VieVhGcW5OZ25lK0M2RnRIVnRIMThFMFZXc2NoeUdPTG9jcVNVTzJpWUJmZ1pvalkwUTdwMkoraUpVQk5lY2Nrb2w4ZHcyZ1plZ1k0V2dBNktjSDRlZmx0aWlPbzE2N1pPaEd0Y3lpamNDMWMzajJ4elE3dXdRMzI2ZUlCRGIyMkxQL3NpVEsxTjVRWE5XZkx2UGQwcFdvT0ZSTXhHaUZwVi90U1ZZNThNUXUyeUhXcHl3MGlsN00xYWtuMXdkcURiU1lYWEpaU3lBRUR3MGJOOVR1SUR2WXdHdkRSU1VBMGFKTUFpZ1BrdXFjZmZSbGM2RVVrdFF1TXN2emdYZWhFZEFPSkpWSFJpekpwaUtvV25ZVklLTW9tUzVUcnNNNkxwZ3Bnc0Rsa1ZZVUVHN3h4UjFoYWdHRktXRXFnUWdKSWpJdFdLZmZHR2h1UXZ1SHVOZWhBNnVUaytqME83Q0gxYUFyelZ3aFhna1d1OU1UUmlkT2VmU1RoMWd1R3ZjUkRrSlVPQWp0ajNsVUl5akxUSWZ5ZUQ0dTdGK0tpOTFaaVRpNGluZVdIbzZFVG10cmxLUHB0cnE1UVRNbkNXb1ZZVS9wR2FQc1pTTENUS0JMdHk0SHhSVUhYZ0ZuSE9Cc29BcGhsVm94SDg5SzBOQ2JYN0dhRGREdGpEM0dQanhkN2dhb0lOSkp3VVhwMXd4SDhPWW5rcTk0V2VFMkt6WjJmQWs4TktSdUZmdVhBK3JlU2pUbXczOHlVTUdhbmdaTU5RSzE0R1pZWk1EUFNrMmJSSjBwWE56VXhpSzljanpCT3lDUFN4RVI3cGloVTBmTkd1STBidVZReEpVYWZTVW1NclZ6dXNQL09ocnV0MjVMTGJaYzBIZHlSc2RTODNEUmJNRjV0UEh0cENCR3BVZmxxN3RqSWljK1pKZ0VYWGJKY1U3bFgyUFU1MmxBelc4MjIyRzc3M09EZnA1OTBNVmlMTFFzTnVCbStUL21JdlRDMG9ES29OSElFTGkzcW5TRS8vRkpPWER2eE4wVDNwbjY5SVYzMWR5K2JSYUZ2MGxvQkdmaERLU3JyMWxMYnUrSHgrODM3S2NYRUx2djlMRk1McGloNnM2WkFvZnRsbXV1QVl5TUhkbFB4WjlGRlgyYUc3a2JKaG1qY29aRnpndlBvcDZTNmh2NjByeDJKK1VlZzRrcjJlTXRJanpkY0dFb3RlV042Z2JFbENSVjIrbmNWdm5zTVpmYU5FVExkTXVnUmlYaWNlR0NMVlFhdU5GQko2YTVFZDNlTC9iWm02TnJVRk1hL3hIcFhHZWhBZ1lMSnBtSXZvSXllSmhTOHZXT1NUbkt0YndkKzJoM3VqOS82YWpKVXRnSnNNa25hSFlIKzViclVBQng1amxvNXlWRGJ1dmttZWRJdXhTMkJnV29aLy9oaWVjbDJlQ3o2ZGFGYVNIblcvT1ZTeDJsTFczZytkcnQweWNYcFNkMUtvZFh6d21HSFNnMnJWTnJIUlgwdjE4ZFpQdGpxeXV2U05sNDJnMmpQc0FMYm9DNk41T3JFb3Azbk95U2lwWlNuK210blN5bllmOGpwTHQrTjFQUkNPYVhGbzZrWnQ2MUw5Wnh0S2tyeU5paElnL3kyWEF4NXVpUjMzdVRlanZQZUJYWnZUWitwN3VMZWxsenNlNFNpcVdNZ0kwYlhxcG5rQnVxOEU5UDFBS1lTdDdRYUlKVXBUWmJyb21QOG9URHZVM2UvU2FWellGZHF4cXYwam9WV1lMVmVCckFWNmlad1BkNG9VY2lHM3BFUUt5M3ZTcERmM25JZU5WT0d5SDJSVzUyT01xeEwrMCsvRGlHTytGQWhxKzNCZFVaaVJnZGRGbkNJOTZ0RVdSZk5FN0RMZ1huSUc2RGlmZTVnZmg2MUdwNG1VN0dMTHNORTNtcTRxZjJzRWpNcDM1aG44dk9YRDFpUG5POU0xL1AxNERWdnZjWW01eUcrTkJ5ZXovQzBidDhWMTI2cDBlekhlcjZEYStpRDdRcUJ4aHZ0YWhOc0pRamhEdW9CQ2w2dGxtVUV4d3Z0VTdjYUFvWHJTeHFmZUxhOGZ1TDBXSUNpclVwSjFibnRaeUE1Zk10elk5czBxTTI0aG16YklPZVNoblJmR3l3cWZZV1U4ck1mSytCUElGdkZuM05KazNWSnFUSUxjSWlkSk92ZGxMYktrdDdMb0VhemdPN0I3SE1ENVZsTEJxRHRWcDdScU1PUndjZlBpbFhsM0lzZEhES1pIMFlxN3piZGF4ZWFadW04OTRFa1VXQXdPU3BRdXFTNGtCRFZnOUpwcEppZWlRb3RoUHhkMzMrRkgxenpSQ0dBdkw4OHpHU3Y0c0wyYkxRM1dPY3JVQmhtcEd4aVduYnhVczQ5MzhLT1lXN1cxV0ZKZS9hMEM0Q2tSRk54UUpJcEIxMWJkRHhNY08xQnFqNHdPMG5zeGtYL0NpVnlZQ0pidmZLdkh0MzFmVUZZWng4V1E3T0ZhK2p6cXYzbVFOSWFaWVlReHo2ODc5b2pMNVBId0cxd1lCdmU4MzVYR3R0eW1QQlJmbmRMTjI1M0tpOC9VRjZlcWxHZUNudnhvd1FRRUpScTBNYzZWQzRaWjJ1NGhVUXNWN2pnVllBKzQ4R1FyR2RZOVlIR3VlVVZsMkIzVmFNaGtUdDNuRU9YOEQ0U1plZjZ6cmcrMFZ0UkQrazZmYi9OTmpNd1I5eEdYNmp2ZEtveW9oOFJIOW1mWW42ZGxNU0JOUzdmQTBjWVRadk5ZS0VIdEFLbWRNV2FRenFnL0JSVEE0cmJ1K3hsUVUrQlQxdlRCTHVOV0lIbGMreHVVZzB6RzVqNkdieEVGRzlWWkZRTG8xbm5KK0dKRW90ZEN3ZGJwUm1FYUdYZkNrSi9iN3N4bExMZUlVQ2t2ZXdRMEYrQU8zeWZtZHIwQnhNK0VUcDZsV1J3TWdSSHRyQS9COFl2Qml3azFtL2lPcW5LN2R3czFLcEtaQ0ttKzN1TWcvS2JhUjJLRUxHSEtnZGkwZXNHMzVVVXAvU3FyTHQzNTB0SVpaOGljOVlqTzNvZFoxVVpoajNFMlVQOXRJVWU0dlFLZmVRZTk5VWhwdVI2ZHEyajRWQS8weDVxMjdOa1dZSU1IL2JBUWgxeFV6R2lmUFU3U25EL05ac0hLWWFNY1YyTXJhTGJJN29tbGNUSFZWdFRMTWR1WEhPd0cxcGxvTFgyZjI4L0ZFdGxpMEg0Y2d4S2ZyK2svY0JWQ09jT2pZSk5qSkl5WC9BSlc1Z01qcnhqbnlPaG9CMHdyZytCWUIvelh2WG9aNHVjS3U3M3AwT21RYUJKcjd4bmdtcnIrMnJ5NjlxNkJPcmRocjJveS9wYWR1Tzc3V0pEK1cwT1NBN011Y3Y0L2RWVzZ4TnFiNXdJZDh2UjA0VGNzRFczbEF5OTFmR3NoVGI3OGJSemU3cnFvWHRwcU5FcWQ5Y21UUi95aWYyWFdYNUppZlhKdGc0aWxmSXBMbm5udnBUOXVXSithd0ZTMmNoWDNYOW16czFMQXV4NW9rejdxZGl4RnVJNzgzaWlzSDZlSTlNVzJxUXRUQXYya2VyNkU5cDFQaTNVOVZVQTk5bmRUbzNBMWtZdm5RTkxJb25yalNSTVVvM0ErSXo3c3d4NEwxcEJkMTBtRjU3YWVvSElJTW9FdEVRa0tlOGw5clZFY0w5YWZsdjNsT0FBYm1PV3hrMWNSSUZvZnJvOXloNWhCYVJYRndheVJhR2I5R0dSN1lVZXFoWW90V3VXQ2J6dG11bkoyWjFmSmlzVk0weDJQdGZQQmw2N3psNzNtZEJQYzI5NHhvRVpmRm5PbUs1bWkrUUJieGtqR3l1QUlJT2NZU1lmTzVsTFRJOVZZVWxCbmlCdlh6amlVQWZ0T1FjR09Kc3JSSnZWZ09qVVZ0RWZiNzFITEI5STRtN29WclVNSWFLM1hheHhVdi9VbjlGbkdER0N2V1lxby9oTmNVMzhOWjBlK2VHME9mbTBrWW52NkFiaWcvN0VhSFZHakRJZHZhbktPRy9laDNRdnFTdENZa2gxVXoxN2lyRUxqaTAxTmUwWS9aR0RoR2NYQUs1VFdzOXJ2UmovZFJPbmhhODYyN2VtTUkza0VkM1JOWTMxTUhMUGl4d01qWmNma1htK2M0MjJwbW1idFhweStYblozMk5rMVpGaVZmWG1rTjZCY04vSG1CQks5dFZ5WGF5eHV2ZTBqZnAwbjJmWTUzSWJOZXI3eUY1Vk5kWUFBUGNBVGMxZ3dKTWVyaGRtemhKbHFoTytvUTlqdXExeFVvUk1MeWlpZEdZQUtIUUROVlp6WnkyQU9vdEpmT0NtREhNTzZ6SHNLL0dweFNFRHAxK1N4NXdQbitrYTVzQXVzY1Fxc0pIZjQwelZxOWF0YlkzYnErbWJ5aTdqNmZGS05ZZVNwNW9hVC92TU5UNUNKR25XYitMREpuT3NETkF6dXpFNUw0TlNneUlDK1hvWktJVXVvc3pYemNnZ1hydGFDQWNHZG8rdVJlWVhGQ0F6RGtmcmN3czNjZ0R3S1ZlbGhLekZMRHYvMTUyWmdGMEYvYjhpbFI3aGRZOWpaK29OWlhiMURIUENNMUhXRy9pR3lOcXl2NWNuckkwb1dScW8xR0pwRVZ2SnVPd1RzOHpNMkltKzBLeUNrM1IxdDhDbnkvRkdGT2FaUEsrL2l6WDB5OXhEc3IwMEhsK2R1NWk2YVp6cG5LMStzVUc0Y2NXbEl0SGt1ZThBbjdPbDlGKy9Tamxid3Y2Wm91K0NDS1p2YXpNWWtSWjduS1czWDJGbXdoNGtBVFg0VGQxZURreHFJMVlDZzZoOVZVM2ZVb0oyaHpxcElwQjNDYlRZWTBpc1Q5eVlBbWU5S1BnbGlBanMwYmZ1WGE4Qkd0dm9IYUpEWk1qVHRwa0RlNEJuV1VaVnJzczNEU0pxTTdyUk0wUUdCeGJIc3F1T3ZzRDl6djNPbnByQnBaaHFnYlBNSkNDT1lPMEE2TEFrUTZoeWJEbUNJRE1OcXFJNTNzOWwxdDBNMmhOYm0rbUJnNkowK0FOVEZZYTloVmZqUk5nc1hCSnJuRlBOUVBEM2xrQzM5aTZsTDN3bE14enZOVGdpVmlkM1R5Q3BpWDcwblY4bVhGR2pwaGRvUVpMOXhzRnRvU3BQemVUZnZLbWJLcEc1VFU3QVExV21sMzVYOE9MQTZvTXJnNEtvM2xkSDUxbE50SVYzaW42MHo0VlJvVVdCSEpqbzR5SHZ0dm9uUGE4SjNqVEJCMlkvWWVVbnNyUHp5WW9OOVMxUDd1UHp0STIwcTNCYlI5L1d0azJFN2Z0cUJYRmdEYitPRFpQY2tyODRiQ1JvVko5eXlWSGNNM1pLTThmYzcvWW9NOXhVSDNQQ1k1MmVWMWtsaHdhSGhIUGphVCtzY2ZaaGwzaWlucnZOZUZDVGtGdTJ2bFJXMGJjUTU5Qm55UTkrYWY1bHhVT2l6RU9jK1VxSkFxelR2OGUxUzdETUFOV3U2c1RJbjVUa3VONGU2V3cvQXNYUWNHSXpJMUY0Ym5VaVNOQzlWQU9zSklTWlJGVlpMWDl4YW82ekdRMmJWUkR5NzJoOTI1WnJnbis4dG54M3hnWmQrekw1WTFheHVxMUxabGJSWExHNndaSzZZWVM2WWZoc1VPUHMyOGphTVJ1dlV5b3Y3VzY4NWVkVzJ3ZVMxVjc4WHhHY00vMHZVRXNCQWhRREZBQUFBQWdBTEZzNFczZ3pHM1d1QVFBQTV3TUFBQXdBQ1FBQUFBQUFBQUFBQUxhQkFBQUFBR1J2WTNWdFpXNTBMbmh0YkZWVUJRQUhwR1RUYUZCTEFRSVVBeFFBQUFBSUFDeGJPRnUwRHF5cmZoTUFBSnNNQVFBUEFBa0FBQUFBQUFBQUFBQzJnZGdCQUFCd1lXZGxjeTl3WVdkbE1TNTRiV3hWVkFVQUI2UmswMmhRU3dFQ0ZBTVVBQUFBQ0FBc1d6aGJKUERiK0RvQUFBQTZBQUFBRGdBSkFBQUFBQUFBQUFBQXRvR0RGUUFBY21Wc2N5OWZjbVZzY3k1NGJXeFZWQVVBQjZSazAyaFFTd0VDRkFNVUFBQUFDQUFzV3poYkpQRGIrRG9BQUFBNkFBQUFFd0FKQUFBQUFBQUFBQUFBdG9IcEZRQUFjbVZzY3k5d1lXZGxNVjl5Wld4ekxuaHRiRlZVQlFBSHBHVFRhRkJMQVFJVUF4UUFBQUFJQUN4Yk9Gc090YXJYc1FNQUFHTWZBQUFKQUFrQUFBQUFBQUFBQUFDMmdWUVdBQUIwYUdWdFpTNTRiV3hWVkFVQUI2UmswMmhRU3dFQ0ZBTVVBQUFBQ0FBc1d6aGJCcUpMNjZnU0FBQnBGUUFBRGdBSkFBQUFBQUFBQUFBQXRvRXNHZ0FBZEdoMWJXSnVZV2xzTG1wd1pXZFZWQVVBQjZSazAyaFFTd1VHQUFBQUFBWUFCZ0NkQVFBQUFDMEFBQUFBIiwKCSJGaWxlTmFtZSIgOiAi57uY5Zu+MSgxKS5lZGR4Igp9Cg=="/>
    </extobj>
    <extobj name="F360BE8B-6686-4F3D-AEAF-501FE73E4058-6">
      <extobjdata type="F360BE8B-6686-4F3D-AEAF-501FE73E4058" data="ewoJIkZpbGVDb250ZW50IiA6ICJVRXNEQkJRQUFBQUlBR0piT0Z0RWRkTkhyZ0VBQU9jREFBQU1BQUFBWkc5amRXMWxiblF1ZUcxc2haTlJiNXN3RklYZkorMC9XSDRuTlE1c0VNR3FqTFJkcFhTdHl0byt1M0FCSzhhdWpPblNUZnZ2cytrVUdwcG9QQ0J4dnVOamMrOTFjcnB0QlhvRzNYRWxVK3pQQ0VZZ0MxVnlXYWU0TjVVWDRkTXZIejhrSzFYMExVaURydk1VUDNDSjBmMXVFWjJSV1l5UnRWejB2RXp4NzNsVVZPeVJNTzlURklkZVVFSGdzVENpWG1BQksrZUVQTWJ6UDlqR0l2dTQ2RXpKaXRmL2hFSE1sZWlOalVmM0tRNkpqMDhtOElwMUc4ZklQcmw3S3BtQkcxYkRkOWFDTTV3djEvblpaSG1qZmw1b1hqcjg0L2J1QUwzdEJlamoyUDBtQ0M3aHVNVWQ0YXNHdGpsc3VkYjFzamRxelY1VWJ3NWIydmIvanJVcU50bHJrZDdqeTFvcURTdW9NbWx5OHlLT2xXUG5PMWZTSFBHY0NTaU01Z1VUbVZaZHQ0c2J5NStjVFB1WTVNYU9FaGZkWG0xZU5YVERUR05ISjVoVWJvOEdiOEluV2NteU1QeDVhUFNsTEdFN09ZdlRPNmVOZzVPc252aWd6R2c0aW5taEFlUURMMDB6d0ppU0tmd0d2RzZHdXZna2VydUhZS1pTdW5Xa2hHNHprc3oyM1VDNXNpOEhLYUdoUjN5UCtzajNGNFF1Z3ZuRXE0WlorN1Z0UnYzS1hzR0tUME5pandZdWhINWVrUENkZVM5bDZNZHdaZTNIWDFCTEF3UVVBQUFBQ0FCaVd6aGJ0RGRid0U0VEFBQkRDZ0VBRHdBQUFIQmhaMlZ6TDNCaFoyVXhMbmh0Yk8xZFc1TWJ4M1YrVDVYL0F3cCtvUkp1WSs2WEt0Q3F2Wk1wN2hMZUJhbmR2QTEzaDd0akFoZ1VNS1RGUE1teXBJU1c1Q2dXaXlwS2RralpjcGt1bHlNN29xS1VtUHliWUVFKzVTK2t1K2VPNmJuMERJREY3dmJ5Z1pqcDAzMU9uKzQrL2ZYcDB6M05OOS91ZG1yM3pjSFFzbnRYNmp6ZzZqV3pkMkFmV3IyaksvV2I3WTBscmY3bWozN3dOODJXY1dUV3JxMUJFZzZTdEIvMHpTdDE5SzVlMnphNjhQZnJMNzlkNHV1MWY3RHRMcVNwMTI3MkxPZEt2ZHV0MTFvRHMyWDB6Y0dWT2lTQVJkWGdIeTZ1TmJEN1ErOEZmdm1XZGVnYzEyN0IvTHdnQUZtb042S3BWMDNyNk5qQnliS21BaW1laXZnRitRV2VTNmFHK1FWZGpTY2phVllHcG5FM1c0S0FMQ3hLMVVXZ2N2d0VuVDF3Qm9hRkNUYVdyKyt1eDVPWDd6bjJydldQSmtwdTc5eGNUMkZ5M2J5RFMrQlMwdHQySHlVdlRUTDMwM2NDZGFVUXJOaU9ZM2NKRkxzSEE3dlQyY1BNZ2F6enZLU1FDUFpkQW9WWEZHVkNvWnNENjNERlBMSjZlNFFhQkluN3FScThNVGhhc3dibWdRTjdaVnpBWm1PeTZ6U3ZHdy9zZTA0MCs5L2Y2L2EzN0VPVFVEZVV0T3M4NkpnRXdYQ2ExekFUTmQ2KzE3MTkzYnh2ZGdqWnV0MHQ0eWYyQVBlc1pKTFZjNU1tdXlTczRpMXpzR1lOSFZKR21IclZ6a2xkSGc1Um9qWXhUUHE3QjRaYlBabWJUSUpqOFFDVzZXbVZBd2tDeURIUUhCZFJla3pIaVArR1pYWU9FWFhIZUZEYlBiWi8yanEySGR2djc3VnQzTU9EUjV6WXNvZW8wQm9lWkZBaHNGWTFkeVJCZFhNZTBYV3JaL3FFYmZOdEIrcklzV0NGL0tJbTFJREZ3UHk5c2VUYUtOOHFqZjd3NmVpVGo5Mm5tMWZxNkw5NmJhTmpITG5sVzA3SEpCU01DNzlsZE81aE5VQmJkcVcrMjk2SnFRcVRiTmc5cDdaaGRLM09neXYxTFFzT2lxRU54K3krQVd0VnI3a0tnTTFlVzdVN05qUi9QNVR3WDF6bERiOFNoU29tQkJYNzZzV3JMeDhGRmNNMU9kTTFVNEtKNU9mUFgzLzJQS2pabXRrM0JrN1g3RGxuc0hwZTcwZjFVLzM2clhjTnF4TlV6M3M2eXpYVGdqNzUzZS8vOTM5K1BYNzA3YXV2ZnhOVThDMDRxbnVMM2pYREY1NUZtelIwdzhBU2JsaWR6b1k5NkJxT0I0SzJVZldDNUpYTmpZSGRiUitiM1luSnA5a2FXRDFuMTNUdTlXc2JGcHg0ZDQ5TjB3a1U2ZUVtTGpTUENNTUU1aEVobGdpa1F0Qmd5eGpBS2RTdEs1N3FveThnTm9nK3VqTjk1RTBnRmJUckVQdEZkWVBmZUMzNjZ1Y2ZuVHo1T3JDcDEzcjNyYUYxTzJ5KzJuWDc0SzQvaW5FRi9ZZGxPSFhmRCtsV2pJTzdSd1A3WHUvUUo5anRHWDBTL0lteUgvMzFYWVFwUGNPWHh0MmZZa2pzM2Fjb2Q0K2F3QjVQY3FFeW1tNGpJdVppYUp6ZStYejg2SGxzRXNKa3VMUGh5VmlNVndlbnJ0KzVBNkVNU2hZVlFqS2E1bkFpSVczVjd2VmdYcmR3V1lvSWk1UDlwNjJ0VUZvSmRRakQ2dDFHNDVUekpiOWxPVWJIY2g1a3lDNnBtYkpMWElic3hNVGRZNGo3SjFLYkRVOVcvOWtsY3NjU0ttMmxBMXZWNjNJY2JIYmNLTUhNQjYzQ0RwVEg2QjExZ3FWSCtDSW13Y0RvRGUvQWtUcHBRRUtNTCtrUTNjcEpFeFBDZTBTaENucVNaQm54UzJKQm5MYlo4bkN2TEtsQTFYZ3l4YjY3ekpBMG9DWUpZTS8yQzFFbG9Pb3FIUDQ3R0kzWGExdVRtRGFTQXhjcXdCeWFJc1Z5Q0FSRDJySDZCSGdlcE8wVG9HNkRwTlhtbGpVOGlLOFBVSnQ2VnZMSDk2eUR1MXZHOEM2cXJaeXcrTm4yTkt3ZWhJVXUyVVJLa1BxV1NWN3Z4SWhXRGJ4bWdwT1JrMDdVTWh6SEhQUThxMGNrdzh1WDVjSEEvaW1tNHZ5SlJ5S1RyL2NPaXhQanFrS3RaT3Fqa2FxUXBqdGkwNVVGRytjUWlvSlFQckh0R3lrRk5CdVJabzJOTkRocWg1T2xZTU1RdytKdCtHdjliY2ZzSGZxc1NkS2xEZHVBSURGOFVUZm5VNFpGa0NzYzBqSVh5WkVjRmtHT2pCRWUwR3pTRGRKWVBvcWhHdVFqbVlVTjEyeUNOZyt3YXY0V2xaTlRRcHgzcEFSWFRkbEZ0TjkyWENTWUJkTXdKZEZhaE9YNHhyNTJhN2xqSFVGZ3NncFJ2amx3MTMxdU4zUHRCZ0kweHUxZHg0WlR0a2JzTnJqQVlDTDc0WjA3dkk3K3BWZGk5ZGdZR0FlUVcrM2FIbWFRaHlqNUVGSG1sZDJDUlI4TmpQNnhYL1p1SDQxV0Q5NTVkWlVRb0RuY3NBWkRCOVBBQjRUcS9OODdMdTdEbVkwRGM4V0VXalRENStVN0Rwb1VNN3FtQy9hR05iZFF5Y09JK0ZjYjZWSHlVV0dhSFFyYUtDVU5wL2Y3dFpaYng5VzlsQkVkbzNmNlB1SG9nNC9IajU2Ky90bW5yNzc3ZXZUVng2TlAvbm44L0p2UnYzOSs4dmhKcytIMHM1ZzIrcG5KNVdWU09mUlhuajNzOEdSOXVRbTRzeWVzN1VRVzkwVU1rVythZHRkMEJwYVpNTEpleWdNU3kyMGJUeUtwQmd3U29GNlpRYkRhc1lmbVljYU11bTJqeFdBbUM0U3pNMHJZc3UrYmJUdE5uU25vSkVnbklKUWdyWkZhTko1Z2M1aFN6UzJaWXFReW00MFlQbURObStJcUNwYlhLQXNpQmxXak5CdUU0UlM4REVlZmg0Tkk2eGY4MjErN2lJUzFTMnRnSDVqRG9RK0pUcjc5MmZqNWg3VExGbzREaWlBbWdWc0U0NGlBNThVWkxsczRSUVFLb2Z3SVFKRTVJRUloYU5ZdENwQmxSWi9mdWdVNzlOY014MGl1Tm01Znc0WXZPVFUya1g4bkpSMTJMRUtKemRXV2JmV1NDTmw5N2ZXRWxzTUhiaGEzTDVIaGNVYTNiOUlvc2VGeXo1RkpDSnd2dVRJVmErNVFUdExDbzVCTW9pdVRXRUFtZjZUa21jOFphRTV5cFpSbW9EbC9jR2ZaVm9LVS9xc1l0RUFyOThtc04yNy9CQzcva05oWUt4TTlmQ0pIYy8yK1NlamIrTzNhd04yaDVQQVNZM0pFSmpLbWVRMEVSZUQxQW82RFhidGpIUkxWSEYwWXVIOEVoWVhsblpidllRZDVLSzNlRVY3ZXdiNm9jMHA2YVl2bHBFalZQU2FPTGN3NFhwUFE0QTFjajdCSFEyYkhCdklKNkdoeGJ0NUJibnRlbGc5UzZ0L3d1VE92aUUrUVFBZTBYcEVDUmlYSVJ1VWFLVzdlZ253VTVqaklSMEllNVYwalBtL21HbUd1a2ZtN1J0NS9lZktMcjVnYndpTllERGNFbFYwdGpOTXdkVVZYQmJWZ00zRlZUSFVwUGkybXhadWdtcHRtaG4xalZxNEtiMk1aRmU4N0xDU0N3eUpHNWlLVzZLdllNdGZ1a1JlNllTQ2c3MWxBOCtyeXpmYU5sZlhOYTl1dDdmWWxUTkkyamk1REVBci9leU9KdjhLQVFaN1RPU0RJWlFxQkNVUTUxcmZYQ2hmZzdkc0tJdERwQ29BTE1JS0dDamg4QkNCcW5LaWFTd3JtaHlxeDVPbzB5d2NraWtCUkZON1BzdTltMmMvMENTSGF6WnZMTzJ1WE9FTGxFdzRpUk83V2VlL3ZrRlJ2RU5GUmRMZWJVd0duUmZMdG8zejdLZmtpa0k0SHZNN3hPbFpCWVg4U3J3Qk5GSGtLZjFKWWZ4d21RdEJCeE1HVVQreDNCM2ZtUWZSNEJQS2NDUFp3c3hNN0dDbURRTXBRY1RkZTE4LzVabnpTUmVxck9DU1djb2pMcjNOZEpCeGI1eUkvR2c1UzR2MVZMc2Rsell1THZzU3RpZ2hUOFZ4aFJKZ08rTTdweGxRZVV6R2xIMWZERWZoMUVJcm14b0xESHR6QlA0SW8zcU1lWElpaEdQb3d5ZzRGMmtlTkxoMGdrV2NQU0hRTmNMcUFUUzJjd1BjdXdRVXFYR21ENnpkVzBYd2VtT3ZXOGs3czJYT2xnajN4Y3VMZHZ2akdHemtBeHQwOThaanV6NUNwRDNnVVJRT2FtbE5OWllLakVuTGtMeWZlN2ZOcEhDa3FXWlZsYVV5bGNrQlZOUm84eGMwQ1NTa1FwVWxsa0ZSRXUzUklTcFFobXRRcFVCUjNIdkNUd3ZBVHcwK1JCSWFmTGloK0lnUXRGT082OFBncEZudWluTlhZRTVYWEFjOWlUMWhzU1ZRbUZsdkNZa3RxOGJkVGl5MlJCRWxrc1NYeDBoWXJ0b1FkZ0lrVFZBNzFrRmlVQjR2eVlGRWVweHpsY2ZLWEZ5Y2ZQMzMxem1jaU8zSVNFTEJZanlrTHhtSTlwaXpHV1l6MWlMa0cxTFBxR3NnL2xxS3JDZ3JLdUdDZUFaY0ZPNVZDa29sNURwam5vQloveTA2bHhJak9zK2VBblVvNTY2NEtkaXFGK1NzOFd1YXZPR1YveFNmdm4zejRFZk5VZUFUTVU4RThGU1daTWs4RlRSQ29OdGRUS2VuUmtlcEVxS0lhaGlwS2x4UHY5cVhjSUZCT0JKS2FFeDg1RmFha1V5K2xnbDBGUXR5cGtCTUZLcXJBQXoybFFsMExzU3dkQmJyRUFZN2pZRlBnY1VKNXRvWVhaeEVSV3Zwc0RTZEFnRmtpSUhSSkJod0NwdWFTVEh1MmhsTXB2R0x6aWcxVmFXTkRpY0drTERZMG9tWVdHOHBpUXlNbG5OZlkwTnl6TlNsZXA4V1BEWjI4VnhuZENUN0RlNVUxQ2FncVlac244Z1VYVlFHY1RMajR1TkJPa01qcitCQkRwWjBnSFIycjFXbm1QRTBEbktESjg5c0ptdm9XamQ4eXhiWWVDdGFYd3FsZlpPcGtsMFN6R0xrcE9wNEw5bmljSzJxZjFCazRuWXVabkZnK2lvRVk1Q01adWRKTzU0RDN3amlkMjNZLzZYSG1kVVZCcmdMbWRqNFZ0M084S2p5NUtueThLZ1Yxems5VjV3WDk0enlsZjV5di8ralZlMzhkZi9tbjhkTnZYbjN3TC8vMzM1OUxzc2J6MDduSnVvUXc0MmN2WGovNXovR24zNDJmUFQ3NThNUFIrdzlQdnZrOWxJclhkRldzRUc1WVVTd1U4NGpsa0dST09UMHhSbDk4UC9ybzhlamh1MUFTdGRLTjN4VUZlZjJySjY5ZVBELzU3dVhvRjg5Y2NaVFRGR2YweGIrTkh6MUgydm4rS1pRRm1uNU5PYzIrZ2pxS0lralRWVWpHaE10MnFCSUVaM01sVDRYNlpuaDlPN1VZL3JyNGxPOU5YeEF4VHZQNmRvRS92M0d5bXM0QlhzemVGbUNCc3Y1YkZpaExrSk1GeXBiVkhBdVV4ZFFzVUhhQjNJY3NVSFpoL0pVc1VKWUZ5aVlLWkI3TGlCQ0xIaWc3ZnZaaS9OdGZOc1ovL3VMMU93OVp2S3hIc0JqZUNCWXZPOGNWK2JTWXNualpZaDZMbVYzNkpmTkFKeXlsSTl1bG9nSWc0Q3Zwc0ZBbENXaUU4bW1pT1ZRWjZEVGZ5Rlkwd0tucUhMK1JmUjZkRlFXVk9IVm5SWkhHRHFXY2k2dkNIU0xGUEJWVFZSdUZwNEpPYmY2WXZqaCtDbllWV0xLMHhmSlRzRENuT01Ia0ZFMGI1VlJnaUFmWnFMd0dSVTFOa0l2Q01BYjVrdE4vYVk5QndKbDVESmpIWU80ZWc5ZS8vV3o4SDc4YVAvempkQUlkeWh6dS9mWEQ4Y3YzeGkvL0NZZWdUQzNzbzR3a256MExKQkZFb0Fxbko4bGZubzQrZXJ3b3JjSURYbHFJUnVGQWhTWmhUcTBrUVhXbkZzWGtYeGphWStxS1BpMWF1UzZPUzZ0NEMxUnphYzJ1Wjh6dkJMaElpc1NaeFdlQXhPeVQwUUlmUDZZTW54TmY1SW04eS8wTWtCK0ZrM2syZWpwTWFUNERKRXg4azBjZ2ZKTkhLUHdaSU05MWwxM0hxaHlyZlFWSWxXbU9mbXNLekNMcGkvUXhJQjNta3dXaDdNZUFOSTNDYnlxSk1JZEtjd1p1VHVlKzRTQ2dPL2N0c0c4Q3NYUGYwWVRGY0NDeGM5OWx3Rm9sbkNxZENpN041YXBsaFUvTjdnTklkR3dYNlpRN0FUb0tpd0Vkcys3eEVRbjMrT1JCeHlLb2FqbzhHWEtNQ1ZjRk9YcVhEUzBVY2d4MVBHdmd1Q1JQWGpDMEVMQ1Ircm9nQmhzWmJJd2xNTmg0UVdIaitmMlU1T1IxUVNMcFE5elR1eTVJMVlBa1pjYVhTVHFRVldHR0IrSTRHZDFTbURYamFUb1FrSStsK0hFNENUSlY1bmhiRUx0Z2gwV2VUSll5aDhnVGIvVFNIbGpoWmhCMVVtaU14ckpSak5RZ0g4RW9sRCtwNHJObWNTY3M3aVN0cldjV2R6SjYrZjM0ei84Nit2N3B5ZU1uS01SQTVvUnAzVDVTSmdybTBic24vL1U3RlBiQmM0TEd2b25uRXl4R2tNSHAzT05CTTduTThCNFBhakY4d0hyS0YyZ3NpQmp6dnNlRDRBZ21uWTJaM1MzeXl6ZmJOMWJXTjY5dEk5ZWs3M3E2N0RxVXNtTUNCQjNvdkZLbUVOSXQ3NmlJOWUyMXdnVjRHd0FpN0RVYVZRR2wvYWc2bEZWU1Zld2JQTlAzcjJ1U0FsVHZQbjg2WDZvRU5GMFE5WE55LzdvbzB6cFVpUnYzektFYVVUTnpxSjZaNWJSUWNUa3RSSVplZTMydi9kYTF0ZmJWUzk3U2tMQmRGcFFRR2tkQm5Tamo2dnExemF2dElvVlFyYlp6YUx5dlVnQmR5MXFuUmV3Z1gyRWR6WXVBTGFMTExxSnJLM2Y5TnluSDFnSnU1Mk5aZmJyclFMYlZFays2MEY5bWlCN2dSemNKbk0wckIzTlA4R3VxREhnNWU0ZUYzVGpvdjJVM0RoTGtaRGNPbHRYY3hidHhrSjNrVDViRzlsUFB4bjVxeVFzQXBSbnNwN0s3L3k3ZVl2Q2NMLzJDTmtwSncra1ZkbFQ5YnljSUl0QXJuTmRtVzVoSkFuYjVYeWpZeFRrcHpTNy9vOWptbE9aMVZGcklQU3FOS3JJSzU1eGh5N25FWFliL2dLYkllU2VpVlJsb3NwWjdJcnA0MmNIeEZWMENzcUJuU3kzcThkTWs4RGx4bWlUeUx1ZjhpdS95eUt4TVpaYmxOMTRWSUltS1NubUFSZVVrWlVhSG55VUZpQ1cyWGFHV1pVNHBzKzJxQVlIWGFOeE5zUDZpTElnQ3phMlJpM3I2R1hZcXR1dktkbDNEaE1WWWRMTzlsVElBckJMNDFETVd4V2Y3R0VzU0h5SFRQY2N3c0ZKWHlVaUVXMTJrdlBQQXZBS1VFSlRSWHlWVG5Da3B6S3pVdVdlQmNBWlp5RDRSakx4RGVZaXFNc3ZTaUlvNzR4RnM1YStSNGM1RDRCbzFoQ0lmSFdZUUtxSm1CcUVZaElxVWNGNGgxUGtOVHlGQUtOSlo0T2xDS0lubjNjK21aa0VMbm92UDgvQTU0VG1KdkV0eDF0QmRxVElkbmo2Q2tuUVZTRGxYcW1TaEdaNkFacXBmcVZLWlkybjhwTWtRdzNKMEhpazVjbkJnbWhoS2tpV2dDTkw4TGxTUkJLQkpNcFUzU2dDTGVhVUtIQUg1UUlwalFJb0JLUWFrR0pDS01VMjVleTZmNjhJRHFkaUh1bVlZNTVzMVd5cUUxR0lYcU1EWlVGY3pwajFWbG9IS1pYK2hTNmJ4RW9nY0MrcXRFdFNicjc4WnhQTXVXaWh2d1REZWFlbUtLb0szc0s2VTdJdFN6bFhjTGxjRXRKMzVxRjBXakh1V2duRnBBM0Z6eG11UWd6SVFsem9HTjllcUJWa201dWpTa2JkaVBETUx1bVZCdDVOdGxKS0cwNnQ4UHV1OTBWZnZqVC81Z01YYmVnUUxFMjlMRVU5WndIQldEN05sSWJZRXBvVTBYelc2ZHRvOVlacEJ0ZDdhbitRUHFLR0ZIaVpHdFVBT1lmZ01yVEkwZjdyNzRDSVBaQW9ETXJRK3NWMGkvRE5jSVRUb1dQQkNLZytCeUtNQUE1bTZEdDVEdUFpalpKSlJDeVhLaFk5eTRRdHcwWXBWUlkweWtXZ2JSQ3RZbFpqQ2hDZ1hJWjhMam56TnI0ckFWMm1WT0pQMHFnaVZXa1VVU3JRS2RWV0V1VlJGS2NpRlR4bndSVnBlS2FRdWRBVnpxZkV1MGZjc09TeWZleFArUTlIMXRJelNsWVdPVEpSdkVxR1lDWTRQRk5veEx4UTF3bXFWTVM4VXM4UThWMGxmUlMyeFdvQUwzdHIxWjhwbW8yVWNvU24wL3dGUVN3TUVGQUFBQUFnQVlsczRXeVR3Mi9nNkFBQUFPZ0FBQUE0QUFBQnlaV3h6TDE5eVpXeHpMbmh0YkxPeHI4ak5VU2hMTFNyT3pNK3pWVExVTTFCU1NNMUx6ay9KekV1M1ZTb3RTZE8xVUxLMzQrV3lDVXJOU1N3QnFpbk95Q3dvMWdlS0FBQlFTd01FRkFBQUFBZ0FZbHM0V3lUdzIvZzZBQUFBT2dBQUFCTUFBQUJ5Wld4ekwzQmhaMlV4WDNKbGJITXVlRzFzczdHdnlNMVJLRXN0S3M3TXo3TlZNdFF6VUZKSXpVdk9UOG5NUzdkVktpMUowN1ZRc3JmajViSUpTczFKTEFHcUtjN0lMQ2pXQjRvQUFGQkxBd1FVQUFBQUNBQmlXemhiWkpsM2JMY0RBQUJqSHdBQUNRQUFBSFJvWlcxbExuaHRiTzFaUzIvVFFCQytJL0VmVnU2NVRSd25kaXpGVkcxcFJLVUdsU2JpY1RUMk9ySHFyQ1BIcFMwbkx2d0FKTlFEM0JBSExoUU8zQkQ4bTFMeUw1aDkyRTdpaDFLcGI3eDdzY2Z6MnZsbVp1MTFhL1Z3NktGWE9CaTdQakVrZWFVcUlVd3MzM1pKMzVEMlEyZTVLYTArdUgrdjFSdmdJUjdERllMQjc5RFdRME5TVkFrOU5vZllrQ1p2UHB5OS95SUpsb1J0dy9mOEFIVUhwdTBmR05KU1RhNnlJVEh4cGhLSi96bitQdmwwUEMzT1ZERHByc1hzclZrV0pxRU1TaHluam0zTmFraUNwbkNhM0doWWFrUlRHYTFwVzFYSGlXaE5Sbk93YnN0YVJHdHdtbU5aRFNXaTFRVk53NW9lMFdyY2hxclpEbzVvR3FOcHVpNkRqY3Fpdmp1TzJsU1ZPZDluMXFObTJHOU8yNXJ4ZlhiZDlRdy91ZS9WcXFMcjlxenZZdDNUdnJjcUNXNHBORGNoZWxZNEJ6M0JCNGc5bFZQNEFlNGozUGFEb1JtaUovdXV0ZGN4eDN1R3RKemlaTnh0MS9NRWMrOW9CSnE3dnVmYVdheEpnRkhpTFNTd2hKNktkZEdSd29Tdkx6R1Q5WGpiSlRqM2FjenhETHY5UVVpdHlTc3FEQzNUVnN5K1lZNG9iOXN6dzJMR0hUTU1jVUJZaE9WODFuWGNkOGxhRVBnSGpCUEtxZXUraG9EVjgwVTJpWDArQVJZSUNOVWlXRENCTkI2UTBidllBVVIwTmlUV0IwQlhveG9CcGJLWjcwUWw4aUlUeVVLc1dqeFppN0hralFsMWZPcFdOU2RoQ2hTMUtsTXBmczNabjRwMnp5VWhOTms0MkpqTnE2bUtzaDZ5RWVKSUNJVEt0TDlqYWErVWFYL0JDREdWWlRrVWw4UFZ2L1NVZVg2TzF4MDlUblNsUm1lWjZKZlk5OVU0MkRhbTgwcnFvYmFpMEZGV3hUbXFRb3VCYW1oMGxsVnhLVlVob3Axc3RuV056bktiWUNJM3FTQVdnb2pwdk5VRjBmWkpPSCs2TkJjdEhnVlpwelBiK20zaUszb3Z1MEM3VUx3WmtSWEhlUnlzak5OWlFvQU9xbW4rTitxenA3bG5KMTlQUC85QTZXTzlXSXdmYjk2aFZsR3doYyswaXZvQ0FoZlFLbXBScTJCSDV2d0ZKejdrTE1nWHB1N21kNG44UElwUG9RVkRLbk43K0JEeVpzMXorOFNRTmpBQjBQay9CUVhpQk0rNFJiN1gwdENaTDd1aFArSk5sdWY0NmUrVHY3KytUVDYrbmZ4OGwvM2pRY1JaL0xGSUgvQVB6TUMwd0RCcW0wUFhPektram1zRi90aDNRdlRDZklUZEtFZGsrcnZqT2ZORDRMcVUweE5hTzZDeUg1aWpBZXFPS0VKVUdNVEVPaUhydG9pOWpaMlFLUk02Z2RSMmczRVkzZXpTbXNwQ3BOVXhBMGo3TWVyUlNJQXl3UWxYNjM0WStrTjJ5ZFdudDBEV3VEbFEyK1BNcEVrWUVMdU1GMC92ZU5CVEVZS0s3bE5mRi9uQXpRR0M1MHRpdkhTdGRPM211U1l2NEZybU44Ri9IYlhyZG0zNjBXelhFenNVM1dzRVZWRGdUbHpSSCtiL0FGQkxBd1FVQUFBQUNBQmlXemhiTGx0a2FQVVRBQUNoRmdBQURnQUFBSFJvZFcxaWJtRnBiQzVxY0dWbjVaWjVVSlBabHNDRGdDZzBSQVNKZ0VJckFyS21WUllGSmUwQ0VlaUE3TElJN1FLWXBDSFNnTVFtUU11cXJNcVdGb1NJRUNKckd0a2FDRVJJQWlLTlNNS09Ba2tFRllGOFFZamZnNUE4ZW1icXpVek4vREUxNzYrcHViZE8zYnAxVHAwNnZ6cm4zSHVrRTlJNXlCNG5CMGNIaUl5TURBUy92U0hTYWNqNXYyNy8xUHJMeVQvclEwYjZBcUs2Q3pJQ0taU1ZPUXpab1NvanF5b2paVUowSVJBWitYODFnUHpia3RraEt5ZS9VMkhYYmtXbGJZUG1QWkFkTXJLeU8rUms1ZVhsNUxhMWNkdDZpSnlxL041RHg4N3VWSE83cW5BNFF2MzQzWWRsdS9UT05YVHZjeDhHanB5NDluUGlia1VOMkg1TkxYMER3Nk5HeGhhV1Z0WW5UOW1jdjJEdmdMem82T1RoNmVYdGM5blg3L3FONEpEUW0yaE1aRlQwN1JqOG5WK1NrbE5TMCs3ZFQ4L055eThvSlA3MnFPaHBlUVc1a3ZLc3F2cDVZMU56UytzZmJlMDlEQ2FydCs5bC95czJaMlIwYkh4aWNvckw0NytmWC9qdzhkT2ljUFhMMnJyb0svaTNqYis0WkNDeS8wRC9iN2xVdDdsMnlNbkp5aW44eFNXekkrWXZBMVU1K1VQSGR1NDk2Nlp3TlVMdDhQRzd1OVRQUFN4cjZONnRkOElkMkhmdDUyRkZqU01XWEgzaFgyai9RdlkvQTB2OFg1SDlBK3pmdWFZZzM4aktiQ2RQVmhXQ2dFZ2tSNSttUS80L3k4QTQzTklNWVQ4cVdJczdKRDViTTRrbWZ2MGxNT25nZXYwamcrWm4vbjREbG9WNU91VUU3OTRlbEFOWHI5RjVZTXpaT2VRMzFNK2ZGRzJoNW9BMUUzcmY3dkQ0Y2hOT1E2dzJmbHJtUnRRVmg0M05JSm93Sm9WMnR0SnZVUlQ1TVNPc3pEOXJMOCsvK01PSVdUUjZoVHRTdU4vMHpTY2ZVU2JxN1FsNzZBQkNWV0Y1L3FuNGNodWJvTTl6aHFvU0xJVEllMnZUZFFwTUcyaVBGQUpCNlRJU29KaVo0K3ltUjJ0RDZwVDdkb1kzaThiVGkzdTZkTnJvWTlIWUVoUFU3N1RSMnFMWHFNT2hIZXptREd3MnlYOU1Dc0c2cW42K1BTYVJhK09rcFZuWUtpZjBGRkV5b3l4QnQ1cVBYYVpDWXZLUFFzdlVPbXA5UmhXKzhvc2ZrTnc2QTJmL0NEd3VWWXREK2hON3BxakZXN1JYN1NGMU11TktqbDdKRVM0VkI0M3pQN3VKTEt1TjdmcFVYWWlXdmk0SE1sUnRma01QdWdlK2p2NXVvdWhOa0RlKzJqaGEzK3NKMzhqTkkvbUtrbGYwSjBmUGJBTkxZemRSMUpQWjA5RXBOcm1TZzVwc2l2ZHo1dXNTWEkwRDZXMit0MVVTdHRZUHZYQW0wa3VyVTB3c1NubnpoNGJHRkw2bHNhT3pkSUhodkJwMkk5ZUkvdHlVbklTeUp0T212NFNKK2d2MFN4NzhOQmJtTy9YcGIzVmV5OVYwL3pQbTljVStxQnJyZk1PaGZYYSszVTdMUnZXK2ZzdjJmOHdJRjd4ek0vTkQxZGxWdTFCT3U1Nm1HMm1vdTlsRC9yTUV3Rm5hbXV1dXFhUTlUZE5YdEdhWlB0YVNYY0lySmExcEs0TDFMZlB4Z05JUDUraXBCdzkvOEFESXBXVzhMRHRsSjZUL0tSekIrbW9zMWE5aTBPb2hPdUtaUGcyK1QvOW96OCtabnZQN25keVNDTlh1anMyd0l4VzhpaVhxZ0VtZ0tCYm1va0srZVBibWg1UGRpSmc3anNobHAyT2ZSZVQ5WDNQOTZoZlR4YVpFcmlFTERBRm1jNXFoazg0OTdYL09xa2pNMEg2dnMrU0htSWhwTlc5aEpabTNyQkpueUpwU3VPL2pNcW8zaGdzbklDcTJXajQ0eWw0ZU80MEVCaWtjZUJUMjN2cCtIdHZDTnFHdFMwZHNLVVJtckFzTzRFbE1oQ0xOaEp0MUE5T3ExVG0vMHNCSFpNZEVnRWw4dzZRUFdQcE83SVl5OGY2aE44dmw0QldjOWIzVDltRVJkc1NyZTRQNlFpbG5LWi9HTjM2d1VuQlpTdEZ5c1hqbnRGaGNZRnhBa1YvQ2VGSmNMRzRWVkEza25rd3g2cVczMWo1Yk5UVHFQWW5jMzhhcjRieVlOelNKYmZxdzJlK1JwZUJ0bm5sajNtT2ZZbTZka1VIVnVTTHkyU29QcjYwS2NsYW0xKy9HZUZMSFRlb1JZQklFUW9BOGZBOGlPV0thQmtQMnVlSERjWm9veTg2WGNaNlQ4T1I2eTR2Zk92K2hxWDNlbnpKbTlsTUZNc01MWC80Z3dMY1Arem02NEtMeHovTmVSaU9OMktMaTR1elN5R1J0bEc5bDNoVjRGRnU5Zm1vKzkzbDdYak5aNEdJK0Z2YnU1SmtqVDk4R0dGQjM5N3Arc2VaUmxvMkV1WnQ5OUlPbXArV0ZmQkZtcTBnTTNVU0lmd0ptbHdRMWJ3bUVyY2NTZlhIY2FMd2UvZ3N6cUpIWVRaM0NJRlR4b1o2QXdyTHZwdTE1YnR4aFRnOUMwK1A3TnFCVGtFcnd1U05YS2l0VXlBd24rT3pNcTZyUEtTTnNiWnJaYjU0RDVTamRRYW16d0NVcFpJTGFSeXc5QnBLRkdmeklteHQ5WWpVQnY2NDFIYjRPblRMaHhlVFEwWFR0OHhWQmZnbmRaOWZDakRubnRQcVl1bnVkdVkvcTEwck9vWFFkaVE3c2RkdVNJTGM5R1lKclc1VTRldkJRVW9JR3dmY09Md2MwOWlJdHlmQ2hHUnVGYVVMblBvU0tBbk5vUW8xaEpsUmoyU0NTVDJzREhVaXdMTEpDTW82UWtaaURiSk9YTkUyQSttSkd0Ylc0WjZNM2gzdE1OM0ZwWlc2WXc0VFdZbUtrRU1YNFAwa3RDdDI0OUs0OW5VSW9Dd0dlVkthZDRSODBFZDNkcXFEQnVMT0s3OFFYcEpERUM2QmZtRC8zQTBNd1pjMmpNbklTQS9XVEhJWFFwZHNFNU9sWnRmamRIK1BsaFdHdk84b0QvZEFTQXlLTFdFUk40UTZ2eGJrd25INy9hblIxOFhXK29ZTjZtNzREOFhubWFudXpQa3dyU3NQQXl5UWg1RnJob1JIcXNyNkxXODMrNGVSeW5kREJsNUd2dkNOUlRldEJMRzhQVVJacjBvZHkwemlnSVdwWjh4VEYyb3FrOTFVS21heVJLS1VBREJHWkk5RkN6eW9taEZEdjY5aUM1VUxZaXlsRTVsWFFHZmdzYXR5TzF3dGYwM2ViR3MyTlRWRDdQQlZIdnh0TkFvOGlrK0xOK3FTUVhhTTFnVlkxWVh6ZGxLNmR3dkNIWWRkdnpjQUJYSEt6Y3hqU2dTT1pTQlBWYmozQjFldThob01HWDVleDNGYWJ1UG0zZnBSc3liY1NwaXFJZDhXYUZmV0ZSbHIza0tiNGZJWDdUM05YYmUvblRrempuVVFPN1JkbFh4U0ZpdXJyeW04bDdCZkx6dEZUN0w3YkR1V00yQndNbzNSWGlHM0JzRTJ2UlRzWlFLTUFHNjIvM1BKb2pxNlEwRzBxaGVBRUtxQy9hMnRua2U5Q1IrTEFlVTZ0V1ZsN0licmlqMnpMZ3ZtSGo5czJzYndFRmowdGFHZVRVcEFhNFFkaElJbXJyQ0tGZUxlOE1ZMCs2R1E3K1dQYkdEVnNaYVYyRFdUM2pLM2NMdVVwYWJmcHVXbnNQL2RLKzQ0WGpzUjhuV25vZm1raHhkRFhJZDgvdlVyZi9YbUtvbEx4STV0bTh0Rkx5V3I1SDl3eGU4Si96ckExY2tCMW43VEpNa2YzV285OWwxR0NYS25wTlQ2V1R6NlNtK21SOS95SGdRWWhoYVdVby9KeG8wRFFuZEdKWU1LR3dkOFh1N1R0emdBRmI0YjFoNzIvU0ZTYjhud1RneG9XVmNIQnVXYU5YRi9tNEZNa0lhZU9oUUVDTHBSbWxRVmhiQXF6S2pGYUxSbVIzRUdYMVZkS0djczdWNys0anBnM1pWUmRoNXFUSW1JcjNzNmdpUjcrcDQ0NW5rbDVOMWliU1M0cnVuQW9oMGxYUU55VVF1NlhtalFDdUh1MFdHcjhZQjRlN2lVMG95YzE0L2FJTGNmc1RHZXRHbmwxc1Vpc1FQbGp2Tkx2UXRja2k2cjNIWTZsMmlXWU9PZmJKSlVIT2pjRjF6cHkzRnJaZGl3Z0tFdHNKSVF4Q25YTUFaZFdOQSt1dkJqeS9qSkdaQmN6R1o1VjhtZEx6RG1FM2RFYmY4SXVvWEJIYjQ3VU50am9lTjd0dE1lM2FxblBsYitjTnc1dmFqdFRFVmVyWjIxVG9CN3dhWlJ5cExSZXNkaGxwYnhRRmIzcTZCMloyVGJpRjBWMkNZK09VRlMwUEtUaSswZWNxNW9pcHNUUnpzbXlzN3JBeitQVzRyT242UzlHL3VQSVlUSmtaejZOdWdOUWVNRWxYU1ZiMUlqb09laCsvN1BrclJxM0JzbHdhUUowVWRYK0JpNHFKc2U3Q1hiOGVFOTRWTC9hcFY5UEZRNnl1ZGV2Zm94MnZkVFFNbW9LYnhwZ0ZkU3VhOXNXYTVNVEZ4WmVoN1IwcEN4L3VJd3pYV2lsTmVlejlPNnRoQmttTGlnY3ZteVE3WVVNK095UmhiRzgyZS9nVnVNU05hL3BjRHdqazhjYktULzY2bmdHaXFMcDRJYjV4S29jN3RLcUxyL1BHQ05hbXhtdlZROFV2aDJqdUo4Z3RLSWpmZEczQ3picWhsaUlGSWtlMk1sTlVQWER3eG1JeHRSd1N5bEUvdnpjZEJZMmlJM0FhTk5WM29GWVB4dVhSMC9mTHNKc0Z1cW9hS3VpZ3kwVTZpSk1SMys4NlRlNENwRnNPWFg1aW4xb1dHeU03bVQ4N2xFQ2xndUgzUXhVQm5GQUZON0hKWmZCbXRrNUhrMVZ3eWZ3emNhU3UweUJSR3pna1ZZYTIzTFFZUVpsQlUzWklONmplVks1czdERlNFWWNmOWRzRUdkdHdOazNLczVxZDN6cHFFUUZWQWdZYWVyMGQyc1k5OXUwQjVyN2txSmFtb1QwN0tocDdCbkZSZlpDNzQxMHhnL0NnK1M3bzZpNnQ4Tjl2Rk5tSk9ZdFhlT0xsamZuVzF2eEhTV3k1OWppWTAvUmRnZUd6WXFHa0cvV1BxTk1uSnRpaTJ0NlczNXZ1R3UyZkJYYjhXa0ZGKzUzOHJyOWlYY0JyaEZHOGd1RlNOTytyc3VsTjN0ZGk3eWtrRHRhQlJUQnE5cUFHZzRaNzVuLzhmemtwWHo5NEhQdUJYNmNuQ1kzaGtkSi9ORkxGQ2U3M3Z3YndFcVdRWmxOMXFicEZWTnpIZFU2TFVMOXZsTW1uR1pEUTNra05KV2lxRjVsNm1xdzg4bzU5cGRMYlBoUGgwZk4xMnczMzlrc3NNMnd5QnlYSWlrRVNXdHJ3WHQ0c25uakZzdlhIUXNGcm85WTd6Si82YzJyUmc5WkhETXZvd1JPYTlhUndScUpwZ2xmc0hWRUNoRXRTQ0dNQkNsRWppMkZmTUw3dkIzeE1Za0orMWd2Q0g2K3RtcVpQcDk1UGNiY3MrQzl3REFZMjcrT3U3M1J1S3JFOWJsUE83K3BqczhURFFEV2ZmQUQ4Uk1KK3dtdXdtTFJyMG04MWg1b3RrM29VckN3UnBRL0VvMlFENVQwenpiQ0dVb29WNWFDNk5qV293U3VJNGoxQUVoTWFwcWR6UnN6Z2x3NzdLNmw5anNZb3ozMEhtNU5EY2ZEUncvNmNPeStrVUs2N2VPL3dYYnBsQWlhcVZORGZPVTN3b1QwMDZZenBnQkp2SGRJb3FqTnBVUFJVN05KTkdUY1hCQU03eUtGTENFYWMrNUZUWitKN0k2M0JiYWZCdG9KM2doOUxHemx0RzA5Mmk4bmJiMERoZkI0czI0MnRwNlFUbXB4WmVMdVNTRXRCM082NmR0bjR4Q0RKQ3Q1SllYQUxLZ3BZMTI2d3B5bFltR3NLQVBNNERQYnR2TG9JVkxJbEkzQWk3TkNnMjVlRmU5bzBtcmFvUFJ1K2ZjVUlWSnFUK3M5YzcyamtWSHhzdjB4a2NoaGR2bHZIaUljMk9vVWF3T2ZQZGsweTAwVVFhNEJtS2tSbHZOeExKUTdndzhYcTdueVNYZkZFWGFkd2k5OGhVdzdoUGhjSzdzdVI2enU0NXc5eEFEdzA3eVlkQXZxTjY1M3lvSmNyd2FIS3RPK1lFV2lCeGcvWXYzSEgrZk5mMWsvaGEzZHFUWjk5cHJ3d0lPbjNMUU4yaWg4aVlheWlUYTI3eXVLV25UQ3pWUXVPanlPZXpSa25oQlJNMlZaWFgxN1BpUC9QYW5KUFROaWoraWhvMk8zVjVJYnhvT2lFMzNxQUducDAzYld4OEc1aEZEZENaYytQbXo1ODJZby9qd3ZaMmtZNEhDdDcwVUZLZUJqa1Z1SjYyYXlYQmhyR2pIWkdBU3E4cFlOejQ5dTkvVUVrV1YzU0ZpWTh3U1A0QVV4cVRLZmNzVklvUTlUZTNyYXpBR3F1dGplMjh4WE9vaGc3WWxqOGVvVXVHbmQxTW5ORjEzS1d6VVNhenlkMTV6OU1MNWRqZ1NMTitvbjQ2LzNkcDBRdWxRRjg4NEdiNVZ2ang2R1BTU1ZOZWZZNlRqRnJ4N0RGcWxzMnFuUVh6WkNTb0pqNnpFMlVrZ0dTM0EvR3Y0WUVVSUhqV042QkJtSVJ0SUwzZlRTMHlCNmMzdktPQVVTQVE5dUVCT3FPVUhZTms2TTNDNmpDK0l3WUtPUEZYOGNNRS9pSVZSOVFiWGVlTzJ0SXBvdmQxWUR0SnErUEVJOUJQVGRYOU5WQjRuMjQwMFhHa2FqNkh1d1Z0YTNNTllJVC93NFA0ZEJWU2VZQXpOdHp3am00Q1lmdmt0c3o2Ylo4cFN0R1J2STdxRDBkbVRtYmVkWWc0YktLV3k4K2tnVDZSdjhBRU9yTTdsZERlT1grckRPRngxVEtMbzEzZmtXaXEzeUpRc2UvdmJsVmFYaDFPYXVFWHpob3RHVTU1M1JlTXlEelBmdm44eWp6MldoallmSmJwd2E0OHNwdXNFZWpkK1U1Q1ZXODdXT2cvcjlscnM1SW5ScktIN3o4MVMzL3BCcjZZRTNxTmNJYS9HT3RqZExCT1c1bG16WFJIZXg5akROSTZJYXpQRUhFcklSTjg4aytCS1pFZzNnbXlrcEpLMXlXRjlvbFJLc3YzRVpIM1BSdVE3RGNXL0hRWWV3MTgxS0tuOHJldnhnZ3JHaERHeE1keGRLOWd6ZkFBbGp6L0dJU3kwMkxXbG5zdDZOTGhjTWxsYnB6Wm9ObHJEZWMvNE1DejJoYWZibVpPcFIzOE90RitjdThvTks0dVh3MERrUnFhTHI0Unc5bVFRVGExWmlPYjZMUkZuZUR6cG5maS9jQ1dSVHl2RWQzemZrZ3hTbWRldkdEU3N0NnIyc3JvSWZIekoweXN4VDZ2MW1NaVpNQTdGRE5VMTE1Z1AybkoraXNxd01FeG1vNXRUWHJ6WE56Y01yc21ma1ZIdXBrWGRNdi9xb3FDdHpBbHhOMlZhQmpnZjdyMCtuMXhsUVhMd3dqdFZWUjN2SjFtZDdWRy85WEdCek84dm04WnYwTEVPWThYY0JlWStuTWdJczBMNTlieG1ySGw1WGh4U1BsUnU5MnZmNVZkWkZUdWJlSnlNUmw1K05WbGI3cEZlNVYzd2NUYkhoVkZLSDdmZjFSS2VvdTMwdi8xL2swdmZmSnNySS9aajA4dHQxdVppZGVaMGx1ZUd2K3pzTU5nellZU1lyUzh1VFN3b3Y0aEhnOVRsbFY5YU1JWmdCMUlnRVFzRlNteFNpRk1xOGhTZng1SE82M3dXSnJNWUpaNFMyUElPa09mb3V3bkZYVFV4TVFsUG8wbGNoM3plSitVc0NnNTQ2SXdmOHNJRkxhaFpBUVl3WnZGc0V5d04vd2lkK0NCaUxEaXFXUWtJRXlnU0NjSHRpaFdvUVFyY0wrMG44U0tuUytKTGtwSVF0Z1EwVGJPOXdxYUJCK0YwS21NUU42aG1hMHVXbEpVclU4USs1eFNLOXJwRVZZaTlpSncwK1I5K0gzVmdwcVBWRnQ0OHVORHdEaVQwUm4rdzBScHFPcEFrU1lQSDlwQjNSeXlwWEVCZEFOeUNQOFVzZFRRb0pCMFJWaGowNWN2ZzBGTEJBL3JZdGRYV0QwVlBVOHR1TTdsNk1GWEdqb091Slh2T3Y3L29KWHptMnN3eGNCRXh2RGpjeHplMzZ0WWdRYUFFTWRjL3FJQ3ZoNmZ3R0UwQ0JPNTRTYmpGQnU5VGl6eC9HV1F6RTF0VHQ4bThFSDd5MXlqT3J3UndETTZmL3ZKYmsySkRkVVpaQk10VXp0RjlsMmIrdWhDcDVZMVNmNUIvUzlDeHpqdzVXSFBZc055NUFrODhYOUQyay9CQmVJcjgwYXhsUzdZU3BUc3JYZDNEYW14L3laTkU0MnNpRmNzUS82NktuYThtcnJLTGlEVjB1THVtMExNRG5VaGpiZmFDcjJMUmxleEVNQlQ1M2QybUJDZHRmaEFNYi9tSFVZbEN0dTJ2MzhQSnBPSGR3NzRCYk8yM0VYR0MyRm1ibzFNelp5MXZkV0YxMWZiNndzb0FsV1RrSVRKUVlnUnJBVUpJRk5rZ0ZSRERhWVNtbkVkZkdsYStYNGJFWE9XdG1Xb1AxSzhHMGR1d1Z1SE5yOC9OV2JISGJoL1kvdm51UmluMUVMa1d4WHk1Tk4vY1pHam0rOG9qV041ZzM2cmMwNnY5c1pERnZmY2RxbXZaK2ZReTE2RFRzMTM5a3l0RzIzbk1xeHo1MEFGdFJXN0pkWWMvVGoxWjg5elQ5S09UL2lNaEtKLzhPVUVzQkFoUURGQUFBQUFnQVlsczRXMFIxMDBldUFRQUE1d01BQUF3QUNRQUFBQUFBQUFBQUFMYUJBQUFBQUdSdlkzVnRaVzUwTG5odGJGVlVCUUFIQ1dYVGFGQkxBUUlVQXhRQUFBQUlBR0piT0Z1ME4xdkFUaE1BQUVNS0FRQVBBQWtBQUFBQUFBQUFBQUMyZ2RnQkFBQndZV2RsY3k5d1lXZGxNUzU0Yld4VlZBVUFCd2xsMDJoUVN3RUNGQU1VQUFBQUNBQmlXemhiSlBEYitEb0FBQUE2QUFBQURnQUpBQUFBQUFBQUFBQUF0b0ZURlFBQWNtVnNjeTlmY21Wc2N5NTRiV3hWVkFVQUJ3bGwwMmhRU3dFQ0ZBTVVBQUFBQ0FCaVd6aGJKUERiK0RvQUFBQTZBQUFBRXdBSkFBQUFBQUFBQUFBQXRvRzVGUUFBY21Wc2N5OXdZV2RsTVY5eVpXeHpMbmh0YkZWVUJRQUhDV1hUYUZCTEFRSVVBeFFBQUFBSUFHSmJPRnRrbVhkc3R3TUFBR01mQUFBSkFBa0FBQUFBQUFBQUFBQzJnU1FXQUFCMGFHVnRaUzU0Yld4VlZBVUFCd2xsMDJoUVN3RUNGQU1VQUFBQUNBQmlXemhiTGx0a2FQVVRBQUNoRmdBQURnQUpBQUFBQUFBQUFBQUF0b0VDR2dBQWRHaDFiV0p1WVdsc0xtcHdaV2RWVkFVQUJ3bGwwMmhRU3dVR0FBQUFBQVlBQmdDZEFRQUFJeTRBQUFBQSIsCgkiRmlsZU5hbWUiIDogIue7mOWbvjEoMSkuZWRkeCIKfQo="/>
    </extobj>
  </extobjs>
</s:customData>
</file>

<file path=customXml/item2.xml><?xml version="1.0" encoding="utf-8"?>
<contractReview xmlns="http://schemas.wps.cn/vas-ai-hub/contract-review">
  <reviewItems xmlns="http://schemas.wps.cn/vas-ai-hub/contract-review">
    <reviewItem xmlns="http://schemas.wps.cn/vas-ai-hub/contract-review">
      <errorID xmlns="http://schemas.wps.cn/vas-ai-hub/contract-review">c1b46642-f9c5-4c4c-ae55-8c13470e793f</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6050F4B3</paraID>
      <start xmlns="http://schemas.wps.cn/vas-ai-hub/contract-review">50</start>
      <end xmlns="http://schemas.wps.cn/vas-ai-hub/contract-review">51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6804873a-a59c-4d3b-b674-538702bbb61f</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6050F4B3</paraID>
      <start xmlns="http://schemas.wps.cn/vas-ai-hub/contract-review">84</start>
      <end xmlns="http://schemas.wps.cn/vas-ai-hub/contract-review">85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28c091ea-f845-4f97-93aa-31c20b703095</errorID>
      <errorWord xmlns="http://schemas.wps.cn/vas-ai-hub/contract-review">（2024）32号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〔2024〕32号</item>
      </candidateList>
      <explain xmlns="http://schemas.wps.cn/vas-ai-hub/contract-review">发文字号格式错误。</explain>
      <paraID xmlns="http://schemas.wps.cn/vas-ai-hub/contract-review">2D56961A</paraID>
      <start xmlns="http://schemas.wps.cn/vas-ai-hub/contract-review">17</start>
      <end xmlns="http://schemas.wps.cn/vas-ai-hub/contract-review">26</end>
      <status xmlns="http://schemas.wps.cn/vas-ai-hub/contract-review">modified</status>
      <modifiedWord xmlns="http://schemas.wps.cn/vas-ai-hub/contract-review">〔2024〕32号</modifiedWord>
      <trackRevisions xmlns="http://schemas.wps.cn/vas-ai-hub/contract-review">false</trackRevisions>
    </reviewItem>
    <reviewItem xmlns="http://schemas.wps.cn/vas-ai-hub/contract-review">
      <errorID xmlns="http://schemas.wps.cn/vas-ai-hub/contract-review">5c7e5ca7-ea09-42c8-bd7b-6d646aed180d</errorID>
      <errorWord xmlns="http://schemas.wps.cn/vas-ai-hub/contract-review">（2024）69号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〔2024〕69号</item>
      </candidateList>
      <explain xmlns="http://schemas.wps.cn/vas-ai-hub/contract-review">发文字号格式错误。</explain>
      <paraID xmlns="http://schemas.wps.cn/vas-ai-hub/contract-review">7FF8B6BD</paraID>
      <start xmlns="http://schemas.wps.cn/vas-ai-hub/contract-review">11</start>
      <end xmlns="http://schemas.wps.cn/vas-ai-hub/contract-review">20</end>
      <status xmlns="http://schemas.wps.cn/vas-ai-hub/contract-review">modified</status>
      <modifiedWord xmlns="http://schemas.wps.cn/vas-ai-hub/contract-review">〔2024〕69号</modifiedWord>
      <trackRevisions xmlns="http://schemas.wps.cn/vas-ai-hub/contract-review">false</trackRevisions>
    </reviewItem>
    <reviewItem xmlns="http://schemas.wps.cn/vas-ai-hub/contract-review">
      <errorID xmlns="http://schemas.wps.cn/vas-ai-hub/contract-review">25e78c24-f23a-4391-84d5-d87432f96257</errorID>
      <errorWord xmlns="http://schemas.wps.cn/vas-ai-hub/contract-review">（2006）17号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〔2006〕17号</item>
      </candidateList>
      <explain xmlns="http://schemas.wps.cn/vas-ai-hub/contract-review">发文字号格式错误。</explain>
      <paraID xmlns="http://schemas.wps.cn/vas-ai-hub/contract-review">426546AE</paraID>
      <start xmlns="http://schemas.wps.cn/vas-ai-hub/contract-review">43</start>
      <end xmlns="http://schemas.wps.cn/vas-ai-hub/contract-review">52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9a253af5-fab7-41cb-8330-89fcc74c573e</errorID>
      <errorWord xmlns="http://schemas.wps.cn/vas-ai-hub/contract-review">（2007）276号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〔2007〕276号</item>
      </candidateList>
      <explain xmlns="http://schemas.wps.cn/vas-ai-hub/contract-review">发文字号格式错误。</explain>
      <paraID xmlns="http://schemas.wps.cn/vas-ai-hub/contract-review">426546AE</paraID>
      <start xmlns="http://schemas.wps.cn/vas-ai-hub/contract-review">111</start>
      <end xmlns="http://schemas.wps.cn/vas-ai-hub/contract-review">121</end>
      <status xmlns="http://schemas.wps.cn/vas-ai-hub/contract-review">modified</status>
      <modifiedWord xmlns="http://schemas.wps.cn/vas-ai-hub/contract-review">〔2007〕276号</modifiedWord>
      <trackRevisions xmlns="http://schemas.wps.cn/vas-ai-hub/contract-review">false</trackRevisions>
    </reviewItem>
    <reviewItem xmlns="http://schemas.wps.cn/vas-ai-hub/contract-review">
      <errorID xmlns="http://schemas.wps.cn/vas-ai-hub/contract-review">ddb6f1c8-8922-4dbf-b05a-426049482857</errorID>
      <errorWord xmlns="http://schemas.wps.cn/vas-ai-hub/contract-review">（2017）19号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〔2017〕19号</item>
      </candidateList>
      <explain xmlns="http://schemas.wps.cn/vas-ai-hub/contract-review">发文字号格式错误。</explain>
      <paraID xmlns="http://schemas.wps.cn/vas-ai-hub/contract-review">21AD9B94</paraID>
      <start xmlns="http://schemas.wps.cn/vas-ai-hub/contract-review">99</start>
      <end xmlns="http://schemas.wps.cn/vas-ai-hub/contract-review">108</end>
      <status xmlns="http://schemas.wps.cn/vas-ai-hub/contract-review">modified</status>
      <modifiedWord xmlns="http://schemas.wps.cn/vas-ai-hub/contract-review">〔2017〕19号</modifiedWord>
      <trackRevisions xmlns="http://schemas.wps.cn/vas-ai-hub/contract-review">false</trackRevisions>
    </reviewItem>
    <reviewItem xmlns="http://schemas.wps.cn/vas-ai-hub/contract-review">
      <errorID xmlns="http://schemas.wps.cn/vas-ai-hub/contract-review">2afb8273-6e04-4d9a-9985-7d0c96c7b162</errorID>
      <errorWord xmlns="http://schemas.wps.cn/vas-ai-hub/contract-review">（2017）59号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〔2017〕59号</item>
      </candidateList>
      <explain xmlns="http://schemas.wps.cn/vas-ai-hub/contract-review">发文字号格式错误。</explain>
      <paraID xmlns="http://schemas.wps.cn/vas-ai-hub/contract-review">21AD9B94</paraID>
      <start xmlns="http://schemas.wps.cn/vas-ai-hub/contract-review">146</start>
      <end xmlns="http://schemas.wps.cn/vas-ai-hub/contract-review">155</end>
      <status xmlns="http://schemas.wps.cn/vas-ai-hub/contract-review">modified</status>
      <modifiedWord xmlns="http://schemas.wps.cn/vas-ai-hub/contract-review">〔2017〕59号</modifiedWord>
      <trackRevisions xmlns="http://schemas.wps.cn/vas-ai-hub/contract-review">false</trackRevisions>
    </reviewItem>
    <reviewItem xmlns="http://schemas.wps.cn/vas-ai-hub/contract-review">
      <errorID xmlns="http://schemas.wps.cn/vas-ai-hub/contract-review">3d6f79a0-13e1-4eb1-8ff1-a1ff81aa351f</errorID>
      <errorWord xmlns="http://schemas.wps.cn/vas-ai-hub/contract-review">（2017）145号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〔2017〕145号</item>
      </candidateList>
      <explain xmlns="http://schemas.wps.cn/vas-ai-hub/contract-review">发文字号格式错误。</explain>
      <paraID xmlns="http://schemas.wps.cn/vas-ai-hub/contract-review">21AD9B94</paraID>
      <start xmlns="http://schemas.wps.cn/vas-ai-hub/contract-review">197</start>
      <end xmlns="http://schemas.wps.cn/vas-ai-hub/contract-review">207</end>
      <status xmlns="http://schemas.wps.cn/vas-ai-hub/contract-review">modified</status>
      <modifiedWord xmlns="http://schemas.wps.cn/vas-ai-hub/contract-review">〔2017〕145号</modifiedWord>
      <trackRevisions xmlns="http://schemas.wps.cn/vas-ai-hub/contract-review">false</trackRevisions>
    </reviewItem>
    <reviewItem xmlns="http://schemas.wps.cn/vas-ai-hub/contract-review">
      <errorID xmlns="http://schemas.wps.cn/vas-ai-hub/contract-review">f3b283bc-fe77-41f9-8dc9-94d7d46561b8</errorID>
      <errorWord xmlns="http://schemas.wps.cn/vas-ai-hub/contract-review">拋光</errorWord>
      <group xmlns="http://schemas.wps.cn/vas-ai-hub/contract-review">L1_Word</group>
      <groupName xmlns="http://schemas.wps.cn/vas-ai-hub/contract-review">字词问题</groupName>
      <ability xmlns="http://schemas.wps.cn/vas-ai-hub/contract-review">L2_Fanti</ability>
      <abilityName xmlns="http://schemas.wps.cn/vas-ai-hub/contract-review">繁转简</abilityName>
      <candidateList xmlns="http://schemas.wps.cn/vas-ai-hub/contract-review">
        <item xmlns="http://schemas.wps.cn/vas-ai-hub/contract-review">抛光</item>
      </candidateList>
      <explain xmlns="http://schemas.wps.cn/vas-ai-hub/contract-review"/>
      <paraID xmlns="http://schemas.wps.cn/vas-ai-hub/contract-review">622B52F3</paraID>
      <start xmlns="http://schemas.wps.cn/vas-ai-hub/contract-review">42</start>
      <end xmlns="http://schemas.wps.cn/vas-ai-hub/contract-review">44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04384d28-cdca-4bbb-82ad-a76f1e499338</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 2B7240C</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bceb0f1e-33a6-4a31-a519-847267c87df7</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4AD22F03</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a20740e2-fe4d-4ff7-aa29-239e4cb25303</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7ADD3E34</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cc9d5465-4d27-4614-8921-957745edd14c</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4D0AC230</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66c27658-cf0d-4dc1-9a13-e0d4cd567fb6</errorID>
      <errorWord xmlns="http://schemas.wps.cn/vas-ai-hub/contract-review">4、</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4.</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764C6A26</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d8b42095-c3a9-4363-8f96-f73ca7234a1c</errorID>
      <errorWord xmlns="http://schemas.wps.cn/vas-ai-hub/contract-review">所在区城</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所在区域</item>
      </candidateList>
      <explain xmlns="http://schemas.wps.cn/vas-ai-hub/contract-review"/>
      <paraID xmlns="http://schemas.wps.cn/vas-ai-hub/contract-review">1E3CAA25</paraID>
      <start xmlns="http://schemas.wps.cn/vas-ai-hub/contract-review">3</start>
      <end xmlns="http://schemas.wps.cn/vas-ai-hub/contract-review">7</end>
      <status xmlns="http://schemas.wps.cn/vas-ai-hub/contract-review">modified</status>
      <modifiedWord xmlns="http://schemas.wps.cn/vas-ai-hub/contract-review">所在区域</modifiedWord>
      <trackRevisions xmlns="http://schemas.wps.cn/vas-ai-hub/contract-review">false</trackRevisions>
    </reviewItem>
    <reviewItem xmlns="http://schemas.wps.cn/vas-ai-hub/contract-review">
      <errorID xmlns="http://schemas.wps.cn/vas-ai-hub/contract-review">083b032a-5778-4f68-a11e-45368069d452</errorID>
      <errorWord xmlns="http://schemas.wps.cn/vas-ai-hub/contract-review">）中</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item>
      </candidateList>
      <explain xmlns="http://schemas.wps.cn/vas-ai-hub/contract-review"/>
      <paraID xmlns="http://schemas.wps.cn/vas-ai-hub/contract-review">77B77B5C</paraID>
      <start xmlns="http://schemas.wps.cn/vas-ai-hub/contract-review">6</start>
      <end xmlns="http://schemas.wps.cn/vas-ai-hub/contract-review">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dd1728c0-a044-415d-8a50-a3013f50f04f</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7076C4DA</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fe340dc7-e708-4590-bd93-177eb13b8756</errorID>
      <errorWord xmlns="http://schemas.wps.cn/vas-ai-hub/contract-review">（2024）69号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〔2024〕69号</item>
      </candidateList>
      <explain xmlns="http://schemas.wps.cn/vas-ai-hub/contract-review">发文字号格式错误。</explain>
      <paraID xmlns="http://schemas.wps.cn/vas-ai-hub/contract-review">7076C4DA</paraID>
      <start xmlns="http://schemas.wps.cn/vas-ai-hub/contract-review">51</start>
      <end xmlns="http://schemas.wps.cn/vas-ai-hub/contract-review">60</end>
      <status xmlns="http://schemas.wps.cn/vas-ai-hub/contract-review">modified</status>
      <modifiedWord xmlns="http://schemas.wps.cn/vas-ai-hub/contract-review">〔2024〕69号</modifiedWord>
      <trackRevisions xmlns="http://schemas.wps.cn/vas-ai-hub/contract-review">false</trackRevisions>
    </reviewItem>
    <reviewItem xmlns="http://schemas.wps.cn/vas-ai-hub/contract-review">
      <errorID xmlns="http://schemas.wps.cn/vas-ai-hub/contract-review">680235e6-8e78-446e-917d-0bdf4a88f113</errorID>
      <errorWord xmlns="http://schemas.wps.cn/vas-ai-hub/contract-review">（2024）69号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〔2024〕69号</item>
      </candidateList>
      <explain xmlns="http://schemas.wps.cn/vas-ai-hub/contract-review">发文字号格式错误。</explain>
      <paraID xmlns="http://schemas.wps.cn/vas-ai-hub/contract-review"> C7BCA56</paraID>
      <start xmlns="http://schemas.wps.cn/vas-ai-hub/contract-review">50</start>
      <end xmlns="http://schemas.wps.cn/vas-ai-hub/contract-review">59</end>
      <status xmlns="http://schemas.wps.cn/vas-ai-hub/contract-review">modified</status>
      <modifiedWord xmlns="http://schemas.wps.cn/vas-ai-hub/contract-review">〔2024〕69号</modifiedWord>
      <trackRevisions xmlns="http://schemas.wps.cn/vas-ai-hub/contract-review">false</trackRevisions>
    </reviewItem>
    <reviewItem xmlns="http://schemas.wps.cn/vas-ai-hub/contract-review">
      <errorID xmlns="http://schemas.wps.cn/vas-ai-hub/contract-review">6ba4aae7-6a3e-4f90-a15e-eab02e912b9c</errorID>
      <errorWord xmlns="http://schemas.wps.cn/vas-ai-hub/contract-review">，</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，在</item>
      </candidateList>
      <explain xmlns="http://schemas.wps.cn/vas-ai-hub/contract-review"/>
      <paraID xmlns="http://schemas.wps.cn/vas-ai-hub/contract-review">4F5E903A</paraID>
      <start xmlns="http://schemas.wps.cn/vas-ai-hub/contract-review">38</start>
      <end xmlns="http://schemas.wps.cn/vas-ai-hub/contract-review">39</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92f88879-639b-4ba5-ab6c-7ca3d29d0132</errorID>
      <errorWord xmlns="http://schemas.wps.cn/vas-ai-hub/contract-review">（2024）69号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〔2024〕69号</item>
      </candidateList>
      <explain xmlns="http://schemas.wps.cn/vas-ai-hub/contract-review">发文字号格式错误。</explain>
      <paraID xmlns="http://schemas.wps.cn/vas-ai-hub/contract-review"> 683C0B8</paraID>
      <start xmlns="http://schemas.wps.cn/vas-ai-hub/contract-review">56</start>
      <end xmlns="http://schemas.wps.cn/vas-ai-hub/contract-review">65</end>
      <status xmlns="http://schemas.wps.cn/vas-ai-hub/contract-review">modified</status>
      <modifiedWord xmlns="http://schemas.wps.cn/vas-ai-hub/contract-review">〔2024〕69号</modifiedWord>
      <trackRevisions xmlns="http://schemas.wps.cn/vas-ai-hub/contract-review">false</trackRevisions>
    </reviewItem>
    <reviewItem xmlns="http://schemas.wps.cn/vas-ai-hub/contract-review">
      <errorID xmlns="http://schemas.wps.cn/vas-ai-hub/contract-review">3a414659-e385-44b7-a56c-fc7897d56606</errorID>
      <errorWord xmlns="http://schemas.wps.cn/vas-ai-hub/contract-review">《产业结构调整指导目录》（2024年本）</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《产业结构调整指导目录（2024年本）》</item>
      </candidateList>
      <explain xmlns="http://schemas.wps.cn/vas-ai-hub/contract-review">疑似政策文件、法律法规名称等书写不规范，请注意检查。</explain>
      <paraID xmlns="http://schemas.wps.cn/vas-ai-hub/contract-review">2C688D55</paraID>
      <start xmlns="http://schemas.wps.cn/vas-ai-hub/contract-review">2</start>
      <end xmlns="http://schemas.wps.cn/vas-ai-hub/contract-review">22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de619705-31f7-40a1-9ff0-366eea5c2023</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2C688D55</paraID>
      <start xmlns="http://schemas.wps.cn/vas-ai-hub/contract-review">34</start>
      <end xmlns="http://schemas.wps.cn/vas-ai-hub/contract-review">35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a133f6b5-031f-4ff6-b3cb-c8256b80b4bc</errorID>
      <errorWord xmlns="http://schemas.wps.cn/vas-ai-hub/contract-review">上线</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上限</item>
      </candidateList>
      <explain xmlns="http://schemas.wps.cn/vas-ai-hub/contract-review"/>
      <paraID xmlns="http://schemas.wps.cn/vas-ai-hub/contract-review">7D702C7C</paraID>
      <start xmlns="http://schemas.wps.cn/vas-ai-hub/contract-review">91</start>
      <end xmlns="http://schemas.wps.cn/vas-ai-hub/contract-review">93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6bd55f23-1c92-4721-8299-3ac1ae1b449b</errorID>
      <errorWord xmlns="http://schemas.wps.cn/vas-ai-hub/contract-review">（2017）448号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〔2017〕448号</item>
      </candidateList>
      <explain xmlns="http://schemas.wps.cn/vas-ai-hub/contract-review">发文字号格式错误。</explain>
      <paraID xmlns="http://schemas.wps.cn/vas-ai-hub/contract-review">1A529F11</paraID>
      <start xmlns="http://schemas.wps.cn/vas-ai-hub/contract-review">33</start>
      <end xmlns="http://schemas.wps.cn/vas-ai-hub/contract-review">43</end>
      <status xmlns="http://schemas.wps.cn/vas-ai-hub/contract-review">modified</status>
      <modifiedWord xmlns="http://schemas.wps.cn/vas-ai-hub/contract-review">〔2017〕448号</modifiedWord>
      <trackRevisions xmlns="http://schemas.wps.cn/vas-ai-hub/contract-review">false</trackRevisions>
    </reviewItem>
    <reviewItem xmlns="http://schemas.wps.cn/vas-ai-hub/contract-review">
      <errorID xmlns="http://schemas.wps.cn/vas-ai-hub/contract-review">25b73c9c-9ed7-410e-aaea-6234092a4642</errorID>
      <errorWord xmlns="http://schemas.wps.cn/vas-ai-hub/contract-review">（2018）112号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〔2018〕112号</item>
      </candidateList>
      <explain xmlns="http://schemas.wps.cn/vas-ai-hub/contract-review">发文字号格式错误。</explain>
      <paraID xmlns="http://schemas.wps.cn/vas-ai-hub/contract-review">1A529F11</paraID>
      <start xmlns="http://schemas.wps.cn/vas-ai-hub/contract-review">89</start>
      <end xmlns="http://schemas.wps.cn/vas-ai-hub/contract-review">99</end>
      <status xmlns="http://schemas.wps.cn/vas-ai-hub/contract-review">modified</status>
      <modifiedWord xmlns="http://schemas.wps.cn/vas-ai-hub/contract-review">〔2018〕112号</modifiedWord>
      <trackRevisions xmlns="http://schemas.wps.cn/vas-ai-hub/contract-review">false</trackRevisions>
    </reviewItem>
    <reviewItem xmlns="http://schemas.wps.cn/vas-ai-hub/contract-review">
      <errorID xmlns="http://schemas.wps.cn/vas-ai-hub/contract-review">a48c1292-bdf1-46f4-9076-7e76dd31a5d0</errorID>
      <errorWord xmlns="http://schemas.wps.cn/vas-ai-hub/contract-review">中共中央国务院</errorWord>
      <group xmlns="http://schemas.wps.cn/vas-ai-hub/contract-review">L1_Political</group>
      <groupName xmlns="http://schemas.wps.cn/vas-ai-hub/contract-review">政治性问题</groupName>
      <ability xmlns="http://schemas.wps.cn/vas-ai-hub/contract-review">L2_Keyword</ability>
      <abilityName xmlns="http://schemas.wps.cn/vas-ai-hub/contract-review">固定表述</abilityName>
      <candidateList xmlns="http://schemas.wps.cn/vas-ai-hub/contract-review">
        <item xmlns="http://schemas.wps.cn/vas-ai-hub/contract-review">中共中央、国务院</item>
      </candidateList>
      <explain xmlns="http://schemas.wps.cn/vas-ai-hub/contract-review">注意检查当前固定表述标点是否使用规范。</explain>
      <paraID xmlns="http://schemas.wps.cn/vas-ai-hub/contract-review">5FCEE883</paraID>
      <start xmlns="http://schemas.wps.cn/vas-ai-hub/contract-review">6</start>
      <end xmlns="http://schemas.wps.cn/vas-ai-hub/contract-review">13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a5341700-d9c9-4bfe-8123-e751cf19606e</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5FCEE883</paraID>
      <start xmlns="http://schemas.wps.cn/vas-ai-hub/contract-review">45</start>
      <end xmlns="http://schemas.wps.cn/vas-ai-hub/contract-review">46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65873609-22d2-44f2-9b1f-49cb9056f6b3</errorID>
      <errorWord xmlns="http://schemas.wps.cn/vas-ai-hub/contract-review">上线</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上限</item>
      </candidateList>
      <explain xmlns="http://schemas.wps.cn/vas-ai-hub/contract-review"/>
      <paraID xmlns="http://schemas.wps.cn/vas-ai-hub/contract-review">5FCEE883</paraID>
      <start xmlns="http://schemas.wps.cn/vas-ai-hub/contract-review">105</start>
      <end xmlns="http://schemas.wps.cn/vas-ai-hub/contract-review">107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d1633c0a-fd31-4600-a279-1ef5ed1b67db</errorID>
      <errorWord xmlns="http://schemas.wps.cn/vas-ai-hub/contract-review">（2023）81号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〔2023〕81号</item>
      </candidateList>
      <explain xmlns="http://schemas.wps.cn/vas-ai-hub/contract-review">发文字号格式错误。</explain>
      <paraID xmlns="http://schemas.wps.cn/vas-ai-hub/contract-review">5FCEE883</paraID>
      <start xmlns="http://schemas.wps.cn/vas-ai-hub/contract-review">177</start>
      <end xmlns="http://schemas.wps.cn/vas-ai-hub/contract-review">186</end>
      <status xmlns="http://schemas.wps.cn/vas-ai-hub/contract-review">modified</status>
      <modifiedWord xmlns="http://schemas.wps.cn/vas-ai-hub/contract-review">〔2023〕81号</modifiedWord>
      <trackRevisions xmlns="http://schemas.wps.cn/vas-ai-hub/contract-review">false</trackRevisions>
    </reviewItem>
    <reviewItem xmlns="http://schemas.wps.cn/vas-ai-hub/contract-review">
      <errorID xmlns="http://schemas.wps.cn/vas-ai-hub/contract-review">b0d23aea-3b19-4464-9e34-1566ac2c6413</errorID>
      <errorWord xmlns="http://schemas.wps.cn/vas-ai-hub/contract-review">（2023）9号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〔2023〕9号</item>
      </candidateList>
      <explain xmlns="http://schemas.wps.cn/vas-ai-hub/contract-review">发文字号格式错误。</explain>
      <paraID xmlns="http://schemas.wps.cn/vas-ai-hub/contract-review">5FCEE883</paraID>
      <start xmlns="http://schemas.wps.cn/vas-ai-hub/contract-review">222</start>
      <end xmlns="http://schemas.wps.cn/vas-ai-hub/contract-review">230</end>
      <status xmlns="http://schemas.wps.cn/vas-ai-hub/contract-review">modified</status>
      <modifiedWord xmlns="http://schemas.wps.cn/vas-ai-hub/contract-review">〔2023〕9号</modifiedWord>
      <trackRevisions xmlns="http://schemas.wps.cn/vas-ai-hub/contract-review">false</trackRevisions>
    </reviewItem>
    <reviewItem xmlns="http://schemas.wps.cn/vas-ai-hub/contract-review">
      <errorID xmlns="http://schemas.wps.cn/vas-ai-hub/contract-review">282117ce-5b7a-47d7-875a-3b7b3d3f9212</errorID>
      <errorWord xmlns="http://schemas.wps.cn/vas-ai-hub/contract-review">（2024）9号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〔2024〕9号</item>
      </candidateList>
      <explain xmlns="http://schemas.wps.cn/vas-ai-hub/contract-review">发文字号格式错误。</explain>
      <paraID xmlns="http://schemas.wps.cn/vas-ai-hub/contract-review">5FCEE883</paraID>
      <start xmlns="http://schemas.wps.cn/vas-ai-hub/contract-review">306</start>
      <end xmlns="http://schemas.wps.cn/vas-ai-hub/contract-review">314</end>
      <status xmlns="http://schemas.wps.cn/vas-ai-hub/contract-review">modified</status>
      <modifiedWord xmlns="http://schemas.wps.cn/vas-ai-hub/contract-review">〔2024〕9号</modifiedWord>
      <trackRevisions xmlns="http://schemas.wps.cn/vas-ai-hub/contract-review">false</trackRevisions>
    </reviewItem>
    <reviewItem xmlns="http://schemas.wps.cn/vas-ai-hub/contract-review">
      <errorID xmlns="http://schemas.wps.cn/vas-ai-hub/contract-review">c1992484-fe90-4f35-a53e-f15669a4644c</errorID>
      <errorWord xmlns="http://schemas.wps.cn/vas-ai-hub/contract-review">（2024）9号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〔2024〕9号</item>
      </candidateList>
      <explain xmlns="http://schemas.wps.cn/vas-ai-hub/contract-review">发文字号格式错误。</explain>
      <paraID xmlns="http://schemas.wps.cn/vas-ai-hub/contract-review"> EE597AA</paraID>
      <start xmlns="http://schemas.wps.cn/vas-ai-hub/contract-review">125</start>
      <end xmlns="http://schemas.wps.cn/vas-ai-hub/contract-review">133</end>
      <status xmlns="http://schemas.wps.cn/vas-ai-hub/contract-review">modified</status>
      <modifiedWord xmlns="http://schemas.wps.cn/vas-ai-hub/contract-review">〔2024〕9号</modifiedWord>
      <trackRevisions xmlns="http://schemas.wps.cn/vas-ai-hub/contract-review">false</trackRevisions>
    </reviewItem>
    <reviewItem xmlns="http://schemas.wps.cn/vas-ai-hub/contract-review">
      <errorID xmlns="http://schemas.wps.cn/vas-ai-hub/contract-review">58eaca40-45b7-4831-952f-8d62d17dc1ce</errorID>
      <errorWord xmlns="http://schemas.wps.cn/vas-ai-hub/contract-review">，</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，对</item>
      </candidateList>
      <explain xmlns="http://schemas.wps.cn/vas-ai-hub/contract-review"/>
      <paraID xmlns="http://schemas.wps.cn/vas-ai-hub/contract-review">15C41472</paraID>
      <start xmlns="http://schemas.wps.cn/vas-ai-hub/contract-review">74</start>
      <end xmlns="http://schemas.wps.cn/vas-ai-hub/contract-review">75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a4e63e23-9621-4dc4-916b-f5a95c562395</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61B3B909</paraID>
      <start xmlns="http://schemas.wps.cn/vas-ai-hub/contract-review">24</start>
      <end xmlns="http://schemas.wps.cn/vas-ai-hub/contract-review">25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2bbacf50-6254-4a85-8ddf-f4eb5dc70d6f</errorID>
      <errorWord xmlns="http://schemas.wps.cn/vas-ai-hub/contract-review">数值能</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数值</item>
      </candidateList>
      <explain xmlns="http://schemas.wps.cn/vas-ai-hub/contract-review"/>
      <paraID xmlns="http://schemas.wps.cn/vas-ai-hub/contract-review">7DCFBEE4</paraID>
      <start xmlns="http://schemas.wps.cn/vas-ai-hub/contract-review">12</start>
      <end xmlns="http://schemas.wps.cn/vas-ai-hub/contract-review">14</end>
      <status xmlns="http://schemas.wps.cn/vas-ai-hub/contract-review">modified</status>
      <modifiedWord xmlns="http://schemas.wps.cn/vas-ai-hub/contract-review">数值</modifiedWord>
      <trackRevisions xmlns="http://schemas.wps.cn/vas-ai-hub/contract-review">false</trackRevisions>
    </reviewItem>
    <reviewItem xmlns="http://schemas.wps.cn/vas-ai-hub/contract-review">
      <errorID xmlns="http://schemas.wps.cn/vas-ai-hub/contract-review">fe6d2e06-b727-4f2b-aa7e-d32e927a5ace</errorID>
      <errorWord xmlns="http://schemas.wps.cn/vas-ai-hub/contract-review">涉</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涉及</item>
      </candidateList>
      <explain xmlns="http://schemas.wps.cn/vas-ai-hub/contract-review">〈动〉牵涉到；关联到：案子～好几个人｜这个问题～面很广。</explain>
      <paraID xmlns="http://schemas.wps.cn/vas-ai-hub/contract-review">67C0E8CC</paraID>
      <start xmlns="http://schemas.wps.cn/vas-ai-hub/contract-review">4</start>
      <end xmlns="http://schemas.wps.cn/vas-ai-hub/contract-review">6</end>
      <status xmlns="http://schemas.wps.cn/vas-ai-hub/contract-review">modified</status>
      <modifiedWord xmlns="http://schemas.wps.cn/vas-ai-hub/contract-review">涉及</modifiedWord>
      <trackRevisions xmlns="http://schemas.wps.cn/vas-ai-hub/contract-review">false</trackRevisions>
    </reviewItem>
    <reviewItem xmlns="http://schemas.wps.cn/vas-ai-hub/contract-review">
      <errorID xmlns="http://schemas.wps.cn/vas-ai-hub/contract-review">ea6fbded-08e4-4d36-b44e-a2e748fb5945</errorID>
      <errorWord xmlns="http://schemas.wps.cn/vas-ai-hub/contract-review">属</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属于</item>
      </candidateList>
      <explain xmlns="http://schemas.wps.cn/vas-ai-hub/contract-review"/>
      <paraID xmlns="http://schemas.wps.cn/vas-ai-hub/contract-review">52623CBB</paraID>
      <start xmlns="http://schemas.wps.cn/vas-ai-hub/contract-review">40</start>
      <end xmlns="http://schemas.wps.cn/vas-ai-hub/contract-review">42</end>
      <status xmlns="http://schemas.wps.cn/vas-ai-hub/contract-review">modified</status>
      <modifiedWord xmlns="http://schemas.wps.cn/vas-ai-hub/contract-review">属于</modifiedWord>
      <trackRevisions xmlns="http://schemas.wps.cn/vas-ai-hub/contract-review">false</trackRevisions>
    </reviewItem>
    <reviewItem xmlns="http://schemas.wps.cn/vas-ai-hub/contract-review">
      <errorID xmlns="http://schemas.wps.cn/vas-ai-hub/contract-review">3c4a6719-ce9b-40c1-bc63-65a2273b3ff9</errorID>
      <errorWord xmlns="http://schemas.wps.cn/vas-ai-hub/contract-review">程</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程中</item>
      </candidateList>
      <explain xmlns="http://schemas.wps.cn/vas-ai-hub/contract-review"/>
      <paraID xmlns="http://schemas.wps.cn/vas-ai-hub/contract-review">2ACA143B</paraID>
      <start xmlns="http://schemas.wps.cn/vas-ai-hub/contract-review">9</start>
      <end xmlns="http://schemas.wps.cn/vas-ai-hub/contract-review">11</end>
      <status xmlns="http://schemas.wps.cn/vas-ai-hub/contract-review">modified</status>
      <modifiedWord xmlns="http://schemas.wps.cn/vas-ai-hub/contract-review">程中</modifiedWord>
      <trackRevisions xmlns="http://schemas.wps.cn/vas-ai-hub/contract-review">false</trackRevisions>
    </reviewItem>
    <reviewItem xmlns="http://schemas.wps.cn/vas-ai-hub/contract-review">
      <errorID xmlns="http://schemas.wps.cn/vas-ai-hub/contract-review">9cda7c8b-fc1f-4677-82b4-4f704db16da5</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2ACA143B</paraID>
      <start xmlns="http://schemas.wps.cn/vas-ai-hub/contract-review">36</start>
      <end xmlns="http://schemas.wps.cn/vas-ai-hub/contract-review">37</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003d1ae1-6104-4dc5-87ac-a4ba8287d155</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2ACA143B</paraID>
      <start xmlns="http://schemas.wps.cn/vas-ai-hub/contract-review">39</start>
      <end xmlns="http://schemas.wps.cn/vas-ai-hub/contract-review">40</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f3704d10-1bee-481f-acec-fa68d7b55f76</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247C1E57</paraID>
      <start xmlns="http://schemas.wps.cn/vas-ai-hub/contract-review">61</start>
      <end xmlns="http://schemas.wps.cn/vas-ai-hub/contract-review">62</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86f77e19-e503-41b0-b1b0-c61e11251f00</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247C1E57</paraID>
      <start xmlns="http://schemas.wps.cn/vas-ai-hub/contract-review">64</start>
      <end xmlns="http://schemas.wps.cn/vas-ai-hub/contract-review">65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974c8a3d-5d18-4bb5-b598-7f6d7b4eb547</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28E8A5D9</paraID>
      <start xmlns="http://schemas.wps.cn/vas-ai-hub/contract-review">28</start>
      <end xmlns="http://schemas.wps.cn/vas-ai-hub/contract-review">29</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776e96b4-3cc2-4d76-adaa-b23fd8647380</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28E8A5D9</paraID>
      <start xmlns="http://schemas.wps.cn/vas-ai-hub/contract-review">31</start>
      <end xmlns="http://schemas.wps.cn/vas-ai-hub/contract-review">32</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f2b25165-1982-4b0a-a6a1-628b4932c8d8</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28E8A5D9</paraID>
      <start xmlns="http://schemas.wps.cn/vas-ai-hub/contract-review">48</start>
      <end xmlns="http://schemas.wps.cn/vas-ai-hub/contract-review">49</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d5b78cec-0818-42c4-9036-d13275416ef6</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28E8A5D9</paraID>
      <start xmlns="http://schemas.wps.cn/vas-ai-hub/contract-review">51</start>
      <end xmlns="http://schemas.wps.cn/vas-ai-hub/contract-review">52</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36698af4-e22d-40ef-84e4-222585799936</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28E8A5D9</paraID>
      <start xmlns="http://schemas.wps.cn/vas-ai-hub/contract-review">77</start>
      <end xmlns="http://schemas.wps.cn/vas-ai-hub/contract-review">78</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aeb44f81-6a26-4b3a-a76c-f7eda2334168</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28E8A5D9</paraID>
      <start xmlns="http://schemas.wps.cn/vas-ai-hub/contract-review">80</start>
      <end xmlns="http://schemas.wps.cn/vas-ai-hub/contract-review">81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e9bc5840-528f-4364-9e67-acd7940fd686</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231DF1C</paraID>
      <start xmlns="http://schemas.wps.cn/vas-ai-hub/contract-review">47</start>
      <end xmlns="http://schemas.wps.cn/vas-ai-hub/contract-review">48</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073f6c37-9c52-4473-ae75-0d3b6764a8c7</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231DF1C</paraID>
      <start xmlns="http://schemas.wps.cn/vas-ai-hub/contract-review">60</start>
      <end xmlns="http://schemas.wps.cn/vas-ai-hub/contract-review">61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3e60918f-6252-459c-b51a-1934a58c98aa</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231DF1C</paraID>
      <start xmlns="http://schemas.wps.cn/vas-ai-hub/contract-review">63</start>
      <end xmlns="http://schemas.wps.cn/vas-ai-hub/contract-review">64</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ceefb5ab-caaa-4a3e-84a4-990cac72967a</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231DF1C</paraID>
      <start xmlns="http://schemas.wps.cn/vas-ai-hub/contract-review">69</start>
      <end xmlns="http://schemas.wps.cn/vas-ai-hub/contract-review">70</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99df1408-ab68-467d-801a-97ff0481e85d</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231DF1C</paraID>
      <start xmlns="http://schemas.wps.cn/vas-ai-hub/contract-review">80</start>
      <end xmlns="http://schemas.wps.cn/vas-ai-hub/contract-review">81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bea6525d-05b6-4df2-8477-9e1d1f855b69</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231DF1C</paraID>
      <start xmlns="http://schemas.wps.cn/vas-ai-hub/contract-review">83</start>
      <end xmlns="http://schemas.wps.cn/vas-ai-hub/contract-review">84</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161e9b3a-fe3a-4a38-83ef-0be2234b52ab</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231DF1C</paraID>
      <start xmlns="http://schemas.wps.cn/vas-ai-hub/contract-review">108</start>
      <end xmlns="http://schemas.wps.cn/vas-ai-hub/contract-review">109</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df8ba074-1fe6-42e0-adff-14782d83c245</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231DF1C</paraID>
      <start xmlns="http://schemas.wps.cn/vas-ai-hub/contract-review">111</start>
      <end xmlns="http://schemas.wps.cn/vas-ai-hub/contract-review">112</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4f0387a1-d00d-45f9-b17a-93d1ba88a59a</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6ED3A604</paraID>
      <start xmlns="http://schemas.wps.cn/vas-ai-hub/contract-review">20</start>
      <end xmlns="http://schemas.wps.cn/vas-ai-hub/contract-review">21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673e8e6a-cd8d-49d1-a8ba-46c6c779e1b1</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6ED3A604</paraID>
      <start xmlns="http://schemas.wps.cn/vas-ai-hub/contract-review">49</start>
      <end xmlns="http://schemas.wps.cn/vas-ai-hub/contract-review">50</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4c2e6734-2d1f-4492-bb37-77b7b1a53d2c</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6ED3A604</paraID>
      <start xmlns="http://schemas.wps.cn/vas-ai-hub/contract-review">63</start>
      <end xmlns="http://schemas.wps.cn/vas-ai-hub/contract-review">64</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187f908c-c42a-4f85-a76e-8bed8d5ec180</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1AAB116A</paraID>
      <start xmlns="http://schemas.wps.cn/vas-ai-hub/contract-review">22</start>
      <end xmlns="http://schemas.wps.cn/vas-ai-hub/contract-review">23</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ec71ca3f-fb5a-4c31-ba6e-51863f69c1ff</errorID>
      <errorWord xmlns="http://schemas.wps.cn/vas-ai-hub/contract-review">（2022）113号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〔2022〕113号</item>
      </candidateList>
      <explain xmlns="http://schemas.wps.cn/vas-ai-hub/contract-review">发文字号格式错误。</explain>
      <paraID xmlns="http://schemas.wps.cn/vas-ai-hub/contract-review"> A7DA25E</paraID>
      <start xmlns="http://schemas.wps.cn/vas-ai-hub/contract-review">41</start>
      <end xmlns="http://schemas.wps.cn/vas-ai-hub/contract-review">51</end>
      <status xmlns="http://schemas.wps.cn/vas-ai-hub/contract-review">modified</status>
      <modifiedWord xmlns="http://schemas.wps.cn/vas-ai-hub/contract-review">〔2022〕113号</modifiedWord>
      <trackRevisions xmlns="http://schemas.wps.cn/vas-ai-hub/contract-review">false</trackRevisions>
    </reviewItem>
    <reviewItem xmlns="http://schemas.wps.cn/vas-ai-hub/contract-review">
      <errorID xmlns="http://schemas.wps.cn/vas-ai-hub/contract-review">808e2c1d-6ea2-4ece-abfb-860511a36d2d</errorID>
      <errorWord xmlns="http://schemas.wps.cn/vas-ai-hub/contract-review">（2022）113号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〔2022〕113号</item>
      </candidateList>
      <explain xmlns="http://schemas.wps.cn/vas-ai-hub/contract-review">发文字号格式错误。</explain>
      <paraID xmlns="http://schemas.wps.cn/vas-ai-hub/contract-review">40A580D1</paraID>
      <start xmlns="http://schemas.wps.cn/vas-ai-hub/contract-review">7</start>
      <end xmlns="http://schemas.wps.cn/vas-ai-hub/contract-review">17</end>
      <status xmlns="http://schemas.wps.cn/vas-ai-hub/contract-review">modified</status>
      <modifiedWord xmlns="http://schemas.wps.cn/vas-ai-hub/contract-review">〔2022〕113号</modifiedWord>
      <trackRevisions xmlns="http://schemas.wps.cn/vas-ai-hub/contract-review">false</trackRevisions>
    </reviewItem>
    <reviewItem xmlns="http://schemas.wps.cn/vas-ai-hub/contract-review">
      <errorID xmlns="http://schemas.wps.cn/vas-ai-hub/contract-review">c6999571-ca9f-4c7b-a41f-916ef3694e2d</errorID>
      <errorWord xmlns="http://schemas.wps.cn/vas-ai-hub/contract-review">（2022）113号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〔2022〕113号</item>
      </candidateList>
      <explain xmlns="http://schemas.wps.cn/vas-ai-hub/contract-review">发文字号格式错误。</explain>
      <paraID xmlns="http://schemas.wps.cn/vas-ai-hub/contract-review">44D751B2</paraID>
      <start xmlns="http://schemas.wps.cn/vas-ai-hub/contract-review">50</start>
      <end xmlns="http://schemas.wps.cn/vas-ai-hub/contract-review">60</end>
      <status xmlns="http://schemas.wps.cn/vas-ai-hub/contract-review">modified</status>
      <modifiedWord xmlns="http://schemas.wps.cn/vas-ai-hub/contract-review">〔2022〕113号</modifiedWord>
      <trackRevisions xmlns="http://schemas.wps.cn/vas-ai-hub/contract-review">false</trackRevisions>
    </reviewItem>
    <reviewItem xmlns="http://schemas.wps.cn/vas-ai-hub/contract-review">
      <errorID xmlns="http://schemas.wps.cn/vas-ai-hub/contract-review">615471e6-eb41-42a7-8a12-36e042a1ba24</errorID>
      <errorWord xmlns="http://schemas.wps.cn/vas-ai-hub/contract-review">（2023）2号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〔2023〕2号</item>
      </candidateList>
      <explain xmlns="http://schemas.wps.cn/vas-ai-hub/contract-review">发文字号格式错误。</explain>
      <paraID xmlns="http://schemas.wps.cn/vas-ai-hub/contract-review">7EBE5DB1</paraID>
      <start xmlns="http://schemas.wps.cn/vas-ai-hub/contract-review">45</start>
      <end xmlns="http://schemas.wps.cn/vas-ai-hub/contract-review">53</end>
      <status xmlns="http://schemas.wps.cn/vas-ai-hub/contract-review">modified</status>
      <modifiedWord xmlns="http://schemas.wps.cn/vas-ai-hub/contract-review">〔2023〕2号</modifiedWord>
      <trackRevisions xmlns="http://schemas.wps.cn/vas-ai-hub/contract-review">false</trackRevisions>
    </reviewItem>
    <reviewItem xmlns="http://schemas.wps.cn/vas-ai-hub/contract-review">
      <errorID xmlns="http://schemas.wps.cn/vas-ai-hub/contract-review">1f60d120-002b-4459-9e73-8c65de66ae70</errorID>
      <errorWord xmlns="http://schemas.wps.cn/vas-ai-hub/contract-review">（2023）2号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〔2023〕2号</item>
      </candidateList>
      <explain xmlns="http://schemas.wps.cn/vas-ai-hub/contract-review">发文字号格式错误。</explain>
      <paraID xmlns="http://schemas.wps.cn/vas-ai-hub/contract-review">530A5445</paraID>
      <start xmlns="http://schemas.wps.cn/vas-ai-hub/contract-review">7</start>
      <end xmlns="http://schemas.wps.cn/vas-ai-hub/contract-review">15</end>
      <status xmlns="http://schemas.wps.cn/vas-ai-hub/contract-review">modified</status>
      <modifiedWord xmlns="http://schemas.wps.cn/vas-ai-hub/contract-review">〔2023〕2号</modifiedWord>
      <trackRevisions xmlns="http://schemas.wps.cn/vas-ai-hub/contract-review">false</trackRevisions>
    </reviewItem>
    <reviewItem xmlns="http://schemas.wps.cn/vas-ai-hub/contract-review">
      <errorID xmlns="http://schemas.wps.cn/vas-ai-hub/contract-review">5caddd3e-cd3e-49c2-b071-31060ad2f6b5</errorID>
      <errorWord xmlns="http://schemas.wps.cn/vas-ai-hub/contract-review">》</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》和</item>
      </candidateList>
      <explain xmlns="http://schemas.wps.cn/vas-ai-hub/contract-review"/>
      <paraID xmlns="http://schemas.wps.cn/vas-ai-hub/contract-review"> C112D84</paraID>
      <start xmlns="http://schemas.wps.cn/vas-ai-hub/contract-review">16</start>
      <end xmlns="http://schemas.wps.cn/vas-ai-hub/contract-review">18</end>
      <status xmlns="http://schemas.wps.cn/vas-ai-hub/contract-review">modified</status>
      <modifiedWord xmlns="http://schemas.wps.cn/vas-ai-hub/contract-review">》和</modifiedWord>
      <trackRevisions xmlns="http://schemas.wps.cn/vas-ai-hub/contract-review">false</trackRevisions>
    </reviewItem>
    <reviewItem xmlns="http://schemas.wps.cn/vas-ai-hub/contract-review">
      <errorID xmlns="http://schemas.wps.cn/vas-ai-hub/contract-review">b7acb6c4-1f00-4b90-a6a6-40d033ed5712</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 C112D84</paraID>
      <start xmlns="http://schemas.wps.cn/vas-ai-hub/contract-review">59</start>
      <end xmlns="http://schemas.wps.cn/vas-ai-hub/contract-review">60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26b040dd-33ae-49f2-9339-6bd88daff3bd</errorID>
      <errorWord xmlns="http://schemas.wps.cn/vas-ai-hub/contract-review">热点</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热电</item>
      </candidateList>
      <explain xmlns="http://schemas.wps.cn/vas-ai-hub/contract-review"/>
      <paraID xmlns="http://schemas.wps.cn/vas-ai-hub/contract-review">748D825C</paraID>
      <start xmlns="http://schemas.wps.cn/vas-ai-hub/contract-review">77</start>
      <end xmlns="http://schemas.wps.cn/vas-ai-hub/contract-review">79</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848613ad-d2be-49f9-9973-8c2abda399a9</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640A2B4B</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f80d49d6-2a87-4c16-b97a-288160fc46a4</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 8274385</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ea31140c-29e4-40ef-8f7a-c1b443db1044</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26AB0E92</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865358b2-8aef-4b37-9b08-2b55dc3107be</errorID>
      <errorWord xmlns="http://schemas.wps.cn/vas-ai-hub/contract-review">，</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，在</item>
      </candidateList>
      <explain xmlns="http://schemas.wps.cn/vas-ai-hub/contract-review"/>
      <paraID xmlns="http://schemas.wps.cn/vas-ai-hub/contract-review">56485E87</paraID>
      <start xmlns="http://schemas.wps.cn/vas-ai-hub/contract-review">167</start>
      <end xmlns="http://schemas.wps.cn/vas-ai-hub/contract-review">168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75fa2d09-3a17-451e-a4cf-774fd4e1e4ad</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318C57BA</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595eeca3-4abd-41ad-8028-1821ec168ebe</errorID>
      <errorWord xmlns="http://schemas.wps.cn/vas-ai-hub/contract-review">一岗双责</errorWord>
      <group xmlns="http://schemas.wps.cn/vas-ai-hub/contract-review">L1_Political</group>
      <groupName xmlns="http://schemas.wps.cn/vas-ai-hub/contract-review">政治性问题</groupName>
      <ability xmlns="http://schemas.wps.cn/vas-ai-hub/contract-review">L2_Keyword</ability>
      <abilityName xmlns="http://schemas.wps.cn/vas-ai-hub/contract-review">固定表述</abilityName>
      <candidateList xmlns="http://schemas.wps.cn/vas-ai-hub/contract-review">
        <item xmlns="http://schemas.wps.cn/vas-ai-hub/contract-review">‘一岗双责’</item>
      </candidateList>
      <explain xmlns="http://schemas.wps.cn/vas-ai-hub/contract-review">注意检查当前固定表述标点是否使用规范。</explain>
      <paraID xmlns="http://schemas.wps.cn/vas-ai-hub/contract-review"> 6689BDB</paraID>
      <start xmlns="http://schemas.wps.cn/vas-ai-hub/contract-review">18</start>
      <end xmlns="http://schemas.wps.cn/vas-ai-hub/contract-review">24</end>
      <status xmlns="http://schemas.wps.cn/vas-ai-hub/contract-review">modified</status>
      <modifiedWord xmlns="http://schemas.wps.cn/vas-ai-hub/contract-review">‘一岗双责’</modifiedWord>
      <trackRevisions xmlns="http://schemas.wps.cn/vas-ai-hub/contract-review">false</trackRevisions>
    </reviewItem>
    <reviewItem xmlns="http://schemas.wps.cn/vas-ai-hub/contract-review">
      <errorID xmlns="http://schemas.wps.cn/vas-ai-hub/contract-review">2346eae6-31a9-4556-b0c1-73f6ff5b3b33</errorID>
      <errorWord xmlns="http://schemas.wps.cn/vas-ai-hub/contract-review">（2023）2号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〔2023〕2号</item>
      </candidateList>
      <explain xmlns="http://schemas.wps.cn/vas-ai-hub/contract-review">发文字号格式错误。</explain>
      <paraID xmlns="http://schemas.wps.cn/vas-ai-hub/contract-review">483BF270</paraID>
      <start xmlns="http://schemas.wps.cn/vas-ai-hub/contract-review">54</start>
      <end xmlns="http://schemas.wps.cn/vas-ai-hub/contract-review">62</end>
      <status xmlns="http://schemas.wps.cn/vas-ai-hub/contract-review">modified</status>
      <modifiedWord xmlns="http://schemas.wps.cn/vas-ai-hub/contract-review">〔2023〕2号</modifiedWord>
      <trackRevisions xmlns="http://schemas.wps.cn/vas-ai-hub/contract-review">false</trackRevisions>
    </reviewItem>
    <reviewItem xmlns="http://schemas.wps.cn/vas-ai-hub/contract-review">
      <errorID xmlns="http://schemas.wps.cn/vas-ai-hub/contract-review">a60f5842-b62c-444d-9dd1-a155a5574d03</errorID>
      <errorWord xmlns="http://schemas.wps.cn/vas-ai-hub/contract-review">（2023）9号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〔2023〕9号</item>
      </candidateList>
      <explain xmlns="http://schemas.wps.cn/vas-ai-hub/contract-review">发文字号格式错误。</explain>
      <paraID xmlns="http://schemas.wps.cn/vas-ai-hub/contract-review">1E8273C5</paraID>
      <start xmlns="http://schemas.wps.cn/vas-ai-hub/contract-review">37</start>
      <end xmlns="http://schemas.wps.cn/vas-ai-hub/contract-review">45</end>
      <status xmlns="http://schemas.wps.cn/vas-ai-hub/contract-review">modified</status>
      <modifiedWord xmlns="http://schemas.wps.cn/vas-ai-hub/contract-review">〔2023〕9号</modifiedWord>
      <trackRevisions xmlns="http://schemas.wps.cn/vas-ai-hub/contract-review">false</trackRevisions>
    </reviewItem>
    <reviewItem xmlns="http://schemas.wps.cn/vas-ai-hub/contract-review">
      <errorID xmlns="http://schemas.wps.cn/vas-ai-hub/contract-review">cb920203-b5e5-461a-b6c5-c6f33a524d99</errorID>
      <errorWord xmlns="http://schemas.wps.cn/vas-ai-hub/contract-review">（2023）9号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〔2023〕9号</item>
      </candidateList>
      <explain xmlns="http://schemas.wps.cn/vas-ai-hub/contract-review">发文字号格式错误。</explain>
      <paraID xmlns="http://schemas.wps.cn/vas-ai-hub/contract-review">24D49F81</paraID>
      <start xmlns="http://schemas.wps.cn/vas-ai-hub/contract-review">9</start>
      <end xmlns="http://schemas.wps.cn/vas-ai-hub/contract-review">17</end>
      <status xmlns="http://schemas.wps.cn/vas-ai-hub/contract-review">modified</status>
      <modifiedWord xmlns="http://schemas.wps.cn/vas-ai-hub/contract-review">〔2023〕9号</modifiedWord>
      <trackRevisions xmlns="http://schemas.wps.cn/vas-ai-hub/contract-review">false</trackRevisions>
    </reviewItem>
    <reviewItem xmlns="http://schemas.wps.cn/vas-ai-hub/contract-review">
      <errorID xmlns="http://schemas.wps.cn/vas-ai-hub/contract-review">5e174b4f-ec5a-4a50-9cbe-a1de393097b6</errorID>
      <errorWord xmlns="http://schemas.wps.cn/vas-ai-hub/contract-review">（2022）29号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〔2022〕29号</item>
      </candidateList>
      <explain xmlns="http://schemas.wps.cn/vas-ai-hub/contract-review">发文字号格式错误。</explain>
      <paraID xmlns="http://schemas.wps.cn/vas-ai-hub/contract-review"> E49BAD1</paraID>
      <start xmlns="http://schemas.wps.cn/vas-ai-hub/contract-review">55</start>
      <end xmlns="http://schemas.wps.cn/vas-ai-hub/contract-review">64</end>
      <status xmlns="http://schemas.wps.cn/vas-ai-hub/contract-review">modified</status>
      <modifiedWord xmlns="http://schemas.wps.cn/vas-ai-hub/contract-review">〔2022〕29号</modifiedWord>
      <trackRevisions xmlns="http://schemas.wps.cn/vas-ai-hub/contract-review">false</trackRevisions>
    </reviewItem>
    <reviewItem xmlns="http://schemas.wps.cn/vas-ai-hub/contract-review">
      <errorID xmlns="http://schemas.wps.cn/vas-ai-hub/contract-review">e5c9b37a-c482-4b5d-aba2-d25b0394c014</errorID>
      <errorWord xmlns="http://schemas.wps.cn/vas-ai-hub/contract-review">境管</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监管</item>
      </candidateList>
      <explain xmlns="http://schemas.wps.cn/vas-ai-hub/contract-review"/>
      <paraID xmlns="http://schemas.wps.cn/vas-ai-hub/contract-review">3B25F199</paraID>
      <start xmlns="http://schemas.wps.cn/vas-ai-hub/contract-review">6</start>
      <end xmlns="http://schemas.wps.cn/vas-ai-hub/contract-review">8</end>
      <status xmlns="http://schemas.wps.cn/vas-ai-hub/contract-review">modified</status>
      <modifiedWord xmlns="http://schemas.wps.cn/vas-ai-hub/contract-review">监管</modifiedWord>
      <trackRevisions xmlns="http://schemas.wps.cn/vas-ai-hub/contract-review">false</trackRevisions>
    </reviewItem>
    <reviewItem xmlns="http://schemas.wps.cn/vas-ai-hub/contract-review">
      <errorID xmlns="http://schemas.wps.cn/vas-ai-hub/contract-review">d927af5e-c0c3-4cff-ac4d-442d7da018f8</errorID>
      <errorWord xmlns="http://schemas.wps.cn/vas-ai-hub/contract-review">（2023）9号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〔2023〕9号</item>
      </candidateList>
      <explain xmlns="http://schemas.wps.cn/vas-ai-hub/contract-review">发文字号格式错误。</explain>
      <paraID xmlns="http://schemas.wps.cn/vas-ai-hub/contract-review">5131B248</paraID>
      <start xmlns="http://schemas.wps.cn/vas-ai-hub/contract-review">47</start>
      <end xmlns="http://schemas.wps.cn/vas-ai-hub/contract-review">55</end>
      <status xmlns="http://schemas.wps.cn/vas-ai-hub/contract-review">modified</status>
      <modifiedWord xmlns="http://schemas.wps.cn/vas-ai-hub/contract-review">〔2023〕9号</modifiedWord>
      <trackRevisions xmlns="http://schemas.wps.cn/vas-ai-hub/contract-review">false</trackRevisions>
    </reviewItem>
    <reviewItem xmlns="http://schemas.wps.cn/vas-ai-hub/contract-review">
      <errorID xmlns="http://schemas.wps.cn/vas-ai-hub/contract-review">9ba13d3a-cf50-4745-b102-b1b073497ac7</errorID>
      <errorWord xmlns="http://schemas.wps.cn/vas-ai-hub/contract-review">（2023）215号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〔2023〕215号</item>
      </candidateList>
      <explain xmlns="http://schemas.wps.cn/vas-ai-hub/contract-review">发文字号格式错误。</explain>
      <paraID xmlns="http://schemas.wps.cn/vas-ai-hub/contract-review">54E11DD2</paraID>
      <start xmlns="http://schemas.wps.cn/vas-ai-hub/contract-review">25</start>
      <end xmlns="http://schemas.wps.cn/vas-ai-hub/contract-review">35</end>
      <status xmlns="http://schemas.wps.cn/vas-ai-hub/contract-review">modified</status>
      <modifiedWord xmlns="http://schemas.wps.cn/vas-ai-hub/contract-review">〔2023〕215号</modifiedWord>
      <trackRevisions xmlns="http://schemas.wps.cn/vas-ai-hub/contract-review">false</trackRevisions>
    </reviewItem>
    <reviewItem xmlns="http://schemas.wps.cn/vas-ai-hub/contract-review">
      <errorID xmlns="http://schemas.wps.cn/vas-ai-hub/contract-review">653f319b-655a-48c0-8f8f-ea809428e828</errorID>
      <errorWord xmlns="http://schemas.wps.cn/vas-ai-hub/contract-review">（2023）215号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〔2023〕215号</item>
      </candidateList>
      <explain xmlns="http://schemas.wps.cn/vas-ai-hub/contract-review">发文字号格式错误。</explain>
      <paraID xmlns="http://schemas.wps.cn/vas-ai-hub/contract-review">368261CD</paraID>
      <start xmlns="http://schemas.wps.cn/vas-ai-hub/contract-review">8</start>
      <end xmlns="http://schemas.wps.cn/vas-ai-hub/contract-review">18</end>
      <status xmlns="http://schemas.wps.cn/vas-ai-hub/contract-review">modified</status>
      <modifiedWord xmlns="http://schemas.wps.cn/vas-ai-hub/contract-review">〔2023〕215号</modifiedWord>
      <trackRevisions xmlns="http://schemas.wps.cn/vas-ai-hub/contract-review">false</trackRevisions>
    </reviewItem>
    <reviewItem xmlns="http://schemas.wps.cn/vas-ai-hub/contract-review">
      <errorID xmlns="http://schemas.wps.cn/vas-ai-hub/contract-review">c58bb8a5-070e-47d1-8247-dfbb39d073dd</errorID>
      <errorWord xmlns="http://schemas.wps.cn/vas-ai-hub/contract-review">，</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，对</item>
      </candidateList>
      <explain xmlns="http://schemas.wps.cn/vas-ai-hub/contract-review"/>
      <paraID xmlns="http://schemas.wps.cn/vas-ai-hub/contract-review">54B53453</paraID>
      <start xmlns="http://schemas.wps.cn/vas-ai-hub/contract-review">69</start>
      <end xmlns="http://schemas.wps.cn/vas-ai-hub/contract-review">71</end>
      <status xmlns="http://schemas.wps.cn/vas-ai-hub/contract-review">modified</status>
      <modifiedWord xmlns="http://schemas.wps.cn/vas-ai-hub/contract-review">，对</modifiedWord>
      <trackRevisions xmlns="http://schemas.wps.cn/vas-ai-hub/contract-review">false</trackRevisions>
    </reviewItem>
    <reviewItem xmlns="http://schemas.wps.cn/vas-ai-hub/contract-review">
      <errorID xmlns="http://schemas.wps.cn/vas-ai-hub/contract-review">c35ee29b-d641-4a30-8de3-f9ea74b8a749</errorID>
      <errorWord xmlns="http://schemas.wps.cn/vas-ai-hub/contract-review">铊污染监测</errorWord>
      <group xmlns="http://schemas.wps.cn/vas-ai-hub/contract-review">L1_Knowledge</group>
      <groupName xmlns="http://schemas.wps.cn/vas-ai-hub/contract-review">知识性问题</groupName>
      <ability xmlns="http://schemas.wps.cn/vas-ai-hub/contract-review">L2_Term</ability>
      <abilityName xmlns="http://schemas.wps.cn/vas-ai-hub/contract-review">专业术语</abilityName>
      <candidateList xmlns="http://schemas.wps.cn/vas-ai-hub/contract-review">
        <item xmlns="http://schemas.wps.cn/vas-ai-hub/contract-review">水污染监测</item>
      </candidateList>
      <explain xmlns="http://schemas.wps.cn/vas-ai-hub/contract-review"/>
      <paraID xmlns="http://schemas.wps.cn/vas-ai-hub/contract-review">54B53453</paraID>
      <start xmlns="http://schemas.wps.cn/vas-ai-hub/contract-review">195</start>
      <end xmlns="http://schemas.wps.cn/vas-ai-hub/contract-review">200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4d96ce55-3877-4b08-8848-90e0123d3dce</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6A16B74E</paraID>
      <start xmlns="http://schemas.wps.cn/vas-ai-hub/contract-review">43</start>
      <end xmlns="http://schemas.wps.cn/vas-ai-hub/contract-review">44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962ed3d1-766d-43a1-bd70-4dae09cb05a6</errorID>
      <errorWord xmlns="http://schemas.wps.cn/vas-ai-hub/contract-review">l、</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l.</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72C66CB5</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0407f5f6-ce08-4a19-a1c8-5a3c906a4ea9</errorID>
      <errorWord xmlns="http://schemas.wps.cn/vas-ai-hub/contract-review">4、</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4.</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3E8E05FB</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668c74be-81e1-4e1e-81ad-9fba1680e637</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4C025DD5</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1fa1700e-0d04-4a84-908f-00f4e86fdfc1</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84F2E23</paraID>
      <start xmlns="http://schemas.wps.cn/vas-ai-hub/contract-review">32</start>
      <end xmlns="http://schemas.wps.cn/vas-ai-hub/contract-review">33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a1e6414a-4b3d-4ddb-90da-2b3f8959e937</errorID>
      <errorWord xmlns="http://schemas.wps.cn/vas-ai-hub/contract-review">纳入了</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纳入</item>
      </candidateList>
      <explain xmlns="http://schemas.wps.cn/vas-ai-hub/contract-review">〈动〉放进；归入（多用于抽象事物）：～正轨｜～计划。</explain>
      <paraID xmlns="http://schemas.wps.cn/vas-ai-hub/contract-review"> 84F2E23</paraID>
      <start xmlns="http://schemas.wps.cn/vas-ai-hub/contract-review">51</start>
      <end xmlns="http://schemas.wps.cn/vas-ai-hub/contract-review">53</end>
      <status xmlns="http://schemas.wps.cn/vas-ai-hub/contract-review">modified</status>
      <modifiedWord xmlns="http://schemas.wps.cn/vas-ai-hub/contract-review">纳入</modifiedWord>
      <trackRevisions xmlns="http://schemas.wps.cn/vas-ai-hub/contract-review">false</trackRevisions>
    </reviewItem>
    <reviewItem xmlns="http://schemas.wps.cn/vas-ai-hub/contract-review">
      <errorID xmlns="http://schemas.wps.cn/vas-ai-hub/contract-review">33dcf849-aace-40fd-bdac-a047bc23dbf6</errorID>
      <errorWord xmlns="http://schemas.wps.cn/vas-ai-hub/contract-review">污梁</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污染</item>
      </candidateList>
      <explain xmlns="http://schemas.wps.cn/vas-ai-hub/contract-review">存在字形相近字词的误用。</explain>
      <paraID xmlns="http://schemas.wps.cn/vas-ai-hub/contract-review">5F0305D6</paraID>
      <start xmlns="http://schemas.wps.cn/vas-ai-hub/contract-review">20</start>
      <end xmlns="http://schemas.wps.cn/vas-ai-hub/contract-review">22</end>
      <status xmlns="http://schemas.wps.cn/vas-ai-hub/contract-review">modified</status>
      <modifiedWord xmlns="http://schemas.wps.cn/vas-ai-hub/contract-review">污染</modifiedWord>
      <trackRevisions xmlns="http://schemas.wps.cn/vas-ai-hub/contract-review">false</trackRevisions>
    </reviewItem>
    <reviewItem xmlns="http://schemas.wps.cn/vas-ai-hub/contract-review">
      <errorID xmlns="http://schemas.wps.cn/vas-ai-hub/contract-review">5953ca6b-119a-44a5-ad79-c8a8bfe1e140</errorID>
      <errorWord xmlns="http://schemas.wps.cn/vas-ai-hub/contract-review">（2023）215号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〔2023〕215号</item>
      </candidateList>
      <explain xmlns="http://schemas.wps.cn/vas-ai-hub/contract-review">发文字号格式错误。</explain>
      <paraID xmlns="http://schemas.wps.cn/vas-ai-hub/contract-review">5F0305D6</paraID>
      <start xmlns="http://schemas.wps.cn/vas-ai-hub/contract-review">34</start>
      <end xmlns="http://schemas.wps.cn/vas-ai-hub/contract-review">44</end>
      <status xmlns="http://schemas.wps.cn/vas-ai-hub/contract-review">modified</status>
      <modifiedWord xmlns="http://schemas.wps.cn/vas-ai-hub/contract-review">〔2023〕215号</modifiedWord>
      <trackRevisions xmlns="http://schemas.wps.cn/vas-ai-hub/contract-review">false</trackRevisions>
    </reviewItem>
    <reviewItem xmlns="http://schemas.wps.cn/vas-ai-hub/contract-review">
      <errorID xmlns="http://schemas.wps.cn/vas-ai-hub/contract-review">c3db6bba-ee8c-427d-b1d1-3549f8885ca0</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7FBFD9D1</paraID>
      <start xmlns="http://schemas.wps.cn/vas-ai-hub/contract-review">21</start>
      <end xmlns="http://schemas.wps.cn/vas-ai-hub/contract-review">22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3799277f-26ef-47d0-b4d9-d083ab45ff88</errorID>
      <errorWord xmlns="http://schemas.wps.cn/vas-ai-hub/contract-review">（2023]372号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〔2023〕372号</item>
      </candidateList>
      <explain xmlns="http://schemas.wps.cn/vas-ai-hub/contract-review">发文字号格式错误。</explain>
      <paraID xmlns="http://schemas.wps.cn/vas-ai-hub/contract-review">7FBFD9D1</paraID>
      <start xmlns="http://schemas.wps.cn/vas-ai-hub/contract-review">27</start>
      <end xmlns="http://schemas.wps.cn/vas-ai-hub/contract-review">37</end>
      <status xmlns="http://schemas.wps.cn/vas-ai-hub/contract-review">modified</status>
      <modifiedWord xmlns="http://schemas.wps.cn/vas-ai-hub/contract-review">〔2023〕372号</modifiedWord>
      <trackRevisions xmlns="http://schemas.wps.cn/vas-ai-hub/contract-review">false</trackRevisions>
    </reviewItem>
    <reviewItem xmlns="http://schemas.wps.cn/vas-ai-hub/contract-review">
      <errorID xmlns="http://schemas.wps.cn/vas-ai-hub/contract-review">6470cd9e-0ceb-4d96-9e31-b2216faea14f</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 5B33157</paraID>
      <start xmlns="http://schemas.wps.cn/vas-ai-hub/contract-review">1</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d924b5e3-06f3-432b-bf6f-39d9be0231f2</errorID>
      <errorWord xmlns="http://schemas.wps.cn/vas-ai-hub/contract-review">（2023]372号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〔2023〕372号</item>
      </candidateList>
      <explain xmlns="http://schemas.wps.cn/vas-ai-hub/contract-review">发文字号格式错误。</explain>
      <paraID xmlns="http://schemas.wps.cn/vas-ai-hub/contract-review"> 5B33157</paraID>
      <start xmlns="http://schemas.wps.cn/vas-ai-hub/contract-review">7</start>
      <end xmlns="http://schemas.wps.cn/vas-ai-hub/contract-review">17</end>
      <status xmlns="http://schemas.wps.cn/vas-ai-hub/contract-review">modified</status>
      <modifiedWord xmlns="http://schemas.wps.cn/vas-ai-hub/contract-review">〔2023〕372号</modifiedWord>
      <trackRevisions xmlns="http://schemas.wps.cn/vas-ai-hub/contract-review">false</trackRevisions>
    </reviewItem>
    <reviewItem xmlns="http://schemas.wps.cn/vas-ai-hub/contract-review">
      <errorID xmlns="http://schemas.wps.cn/vas-ai-hub/contract-review">b5a7de6a-6b6c-4b50-90e2-0b990cd8629b</errorID>
      <errorWord xmlns="http://schemas.wps.cn/vas-ai-hub/contract-review">II类</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Ⅱ类</item>
      </candidateList>
      <explain xmlns="http://schemas.wps.cn/vas-ai-hub/contract-review"/>
      <paraID xmlns="http://schemas.wps.cn/vas-ai-hub/contract-review">497785A5</paraID>
      <start xmlns="http://schemas.wps.cn/vas-ai-hub/contract-review">190</start>
      <end xmlns="http://schemas.wps.cn/vas-ai-hub/contract-review">192</end>
      <status xmlns="http://schemas.wps.cn/vas-ai-hub/contract-review">modified</status>
      <modifiedWord xmlns="http://schemas.wps.cn/vas-ai-hub/contract-review">Ⅱ类</modifiedWord>
      <trackRevisions xmlns="http://schemas.wps.cn/vas-ai-hub/contract-review">false</trackRevisions>
    </reviewItem>
    <reviewItem xmlns="http://schemas.wps.cn/vas-ai-hub/contract-review">
      <errorID xmlns="http://schemas.wps.cn/vas-ai-hub/contract-review">e827d22b-c7e6-45bc-8745-64c916c49f83</errorID>
      <errorWord xmlns="http://schemas.wps.cn/vas-ai-hub/contract-review">》</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》等</item>
      </candidateList>
      <explain xmlns="http://schemas.wps.cn/vas-ai-hub/contract-review"/>
      <paraID xmlns="http://schemas.wps.cn/vas-ai-hub/contract-review">798B1BBF</paraID>
      <start xmlns="http://schemas.wps.cn/vas-ai-hub/contract-review">35</start>
      <end xmlns="http://schemas.wps.cn/vas-ai-hub/contract-review">36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8eda1375-c99d-4861-8c34-c42c66d8458d</errorID>
      <errorWord xmlns="http://schemas.wps.cn/vas-ai-hub/contract-review">II类</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Ⅱ类</item>
      </candidateList>
      <explain xmlns="http://schemas.wps.cn/vas-ai-hub/contract-review"/>
      <paraID xmlns="http://schemas.wps.cn/vas-ai-hub/contract-review">213EC2D8</paraID>
      <start xmlns="http://schemas.wps.cn/vas-ai-hub/contract-review">296</start>
      <end xmlns="http://schemas.wps.cn/vas-ai-hub/contract-review">298</end>
      <status xmlns="http://schemas.wps.cn/vas-ai-hub/contract-review">modified</status>
      <modifiedWord xmlns="http://schemas.wps.cn/vas-ai-hub/contract-review">Ⅱ类</modifiedWord>
      <trackRevisions xmlns="http://schemas.wps.cn/vas-ai-hub/contract-review">false</trackRevisions>
    </reviewItem>
    <reviewItem xmlns="http://schemas.wps.cn/vas-ai-hub/contract-review">
      <errorID xmlns="http://schemas.wps.cn/vas-ai-hub/contract-review">214ca79b-3c42-44d8-9260-9c127fd0942f</errorID>
      <errorWord xmlns="http://schemas.wps.cn/vas-ai-hub/contract-review">同其它</errorWord>
      <group xmlns="http://schemas.wps.cn/vas-ai-hub/contract-review">L1_Word</group>
      <groupName xmlns="http://schemas.wps.cn/vas-ai-hub/contract-review">字词问题</groupName>
      <ability xmlns="http://schemas.wps.cn/vas-ai-hub/contract-review">L2_Alias</ability>
      <abilityName xmlns="http://schemas.wps.cn/vas-ai-hub/contract-review">也作/曾用词</abilityName>
      <candidateList xmlns="http://schemas.wps.cn/vas-ai-hub/contract-review">
        <item xmlns="http://schemas.wps.cn/vas-ai-hub/contract-review">同其他</item>
      </candidateList>
      <explain xmlns="http://schemas.wps.cn/vas-ai-hub/contract-review">词汇[同其它]为不规范表述或旧称，其规范书面表述为[同其他]。</explain>
      <paraID xmlns="http://schemas.wps.cn/vas-ai-hub/contract-review">288E6D49</paraID>
      <start xmlns="http://schemas.wps.cn/vas-ai-hub/contract-review">19</start>
      <end xmlns="http://schemas.wps.cn/vas-ai-hub/contract-review">22</end>
      <status xmlns="http://schemas.wps.cn/vas-ai-hub/contract-review">modified</status>
      <modifiedWord xmlns="http://schemas.wps.cn/vas-ai-hub/contract-review">同其他</modifiedWord>
      <trackRevisions xmlns="http://schemas.wps.cn/vas-ai-hub/contract-review">false</trackRevisions>
    </reviewItem>
    <reviewItem xmlns="http://schemas.wps.cn/vas-ai-hub/contract-review">
      <errorID xmlns="http://schemas.wps.cn/vas-ai-hub/contract-review">8a5d0598-157c-4e4c-8d0d-de5aade41dee</errorID>
      <errorWord xmlns="http://schemas.wps.cn/vas-ai-hub/contract-review">生活废水</errorWord>
      <group xmlns="http://schemas.wps.cn/vas-ai-hub/contract-review">L1_Knowledge</group>
      <groupName xmlns="http://schemas.wps.cn/vas-ai-hub/contract-review">知识性问题</groupName>
      <ability xmlns="http://schemas.wps.cn/vas-ai-hub/contract-review">L2_Term</ability>
      <abilityName xmlns="http://schemas.wps.cn/vas-ai-hub/contract-review">专业术语</abilityName>
      <candidateList xmlns="http://schemas.wps.cn/vas-ai-hub/contract-review">
        <item xmlns="http://schemas.wps.cn/vas-ai-hub/contract-review">生活污水</item>
      </candidateList>
      <explain xmlns="http://schemas.wps.cn/vas-ai-hub/contract-review"/>
      <paraID xmlns="http://schemas.wps.cn/vas-ai-hub/contract-review">7B483AEA</paraID>
      <start xmlns="http://schemas.wps.cn/vas-ai-hub/contract-review">8</start>
      <end xmlns="http://schemas.wps.cn/vas-ai-hub/contract-review">12</end>
      <status xmlns="http://schemas.wps.cn/vas-ai-hub/contract-review">modified</status>
      <modifiedWord xmlns="http://schemas.wps.cn/vas-ai-hub/contract-review">生活污水</modifiedWord>
      <trackRevisions xmlns="http://schemas.wps.cn/vas-ai-hub/contract-review">false</trackRevisions>
    </reviewItem>
    <reviewItem xmlns="http://schemas.wps.cn/vas-ai-hub/contract-review">
      <errorID xmlns="http://schemas.wps.cn/vas-ai-hub/contract-review">ad0fb729-d932-45fc-bc37-60d0595a1417</errorID>
      <errorWord xmlns="http://schemas.wps.cn/vas-ai-hub/contract-review">经行</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进行</item>
      </candidateList>
      <explain xmlns="http://schemas.wps.cn/vas-ai-hub/contract-review">〈动〉❶从事（某种活动）：～讨论｜～工作｜～教育和批评｜会议正在～。注意“进行”总是用在持续性的和正式、严肃的行为，短暂性的和日常生活中的行为不用“进行”，例如不说“进行午睡”，“进行叫喊”。❷前进：～曲。</explain>
      <paraID xmlns="http://schemas.wps.cn/vas-ai-hub/contract-review">3D5EEB12</paraID>
      <start xmlns="http://schemas.wps.cn/vas-ai-hub/contract-review">5</start>
      <end xmlns="http://schemas.wps.cn/vas-ai-hub/contract-review">7</end>
      <status xmlns="http://schemas.wps.cn/vas-ai-hub/contract-review">modified</status>
      <modifiedWord xmlns="http://schemas.wps.cn/vas-ai-hub/contract-review">进行</modifiedWord>
      <trackRevisions xmlns="http://schemas.wps.cn/vas-ai-hub/contract-review">false</trackRevisions>
    </reviewItem>
    <reviewItem xmlns="http://schemas.wps.cn/vas-ai-hub/contract-review">
      <errorID xmlns="http://schemas.wps.cn/vas-ai-hub/contract-review">abb99946-e89d-40b8-8514-50aa791efd90</errorID>
      <errorWord xmlns="http://schemas.wps.cn/vas-ai-hub/contract-review">铊污染物</errorWord>
      <group xmlns="http://schemas.wps.cn/vas-ai-hub/contract-review">L1_Knowledge</group>
      <groupName xmlns="http://schemas.wps.cn/vas-ai-hub/contract-review">知识性问题</groupName>
      <ability xmlns="http://schemas.wps.cn/vas-ai-hub/contract-review">L2_Term</ability>
      <abilityName xmlns="http://schemas.wps.cn/vas-ai-hub/contract-review">专业术语</abilityName>
      <candidateList xmlns="http://schemas.wps.cn/vas-ai-hub/contract-review">
        <item xmlns="http://schemas.wps.cn/vas-ai-hub/contract-review">微污染物</item>
      </candidateList>
      <explain xmlns="http://schemas.wps.cn/vas-ai-hub/contract-review"/>
      <paraID xmlns="http://schemas.wps.cn/vas-ai-hub/contract-review">6A108491</paraID>
      <start xmlns="http://schemas.wps.cn/vas-ai-hub/contract-review">18</start>
      <end xmlns="http://schemas.wps.cn/vas-ai-hub/contract-review">22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c60eb119-0acc-4d3b-98c8-7d75bc5324df</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6C192C84</paraID>
      <start xmlns="http://schemas.wps.cn/vas-ai-hub/contract-review">30</start>
      <end xmlns="http://schemas.wps.cn/vas-ai-hub/contract-review">31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ea24dad4-7581-4de5-8b46-29037d73e2a6</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6C192C84</paraID>
      <start xmlns="http://schemas.wps.cn/vas-ai-hub/contract-review">33</start>
      <end xmlns="http://schemas.wps.cn/vas-ai-hub/contract-review">34</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3131eae0-ed4a-4fb4-bbf2-57eb43c34a0e</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739D45E8</paraID>
      <start xmlns="http://schemas.wps.cn/vas-ai-hub/contract-review">1</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892a9ad7-72d4-4def-aec1-cd66a0df123f</errorID>
      <errorWord xmlns="http://schemas.wps.cn/vas-ai-hub/contract-review">标</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标准</item>
      </candidateList>
      <explain xmlns="http://schemas.wps.cn/vas-ai-hub/contract-review">❶〈名〉衡量事物的准则：技术～｜实践是检验真理的唯一～。❷〈形〉本身合于准则，可供同类事物比较核对的：～音｜～时｜她的发音很～。</explain>
      <paraID xmlns="http://schemas.wps.cn/vas-ai-hub/contract-review">739D45E8</paraID>
      <start xmlns="http://schemas.wps.cn/vas-ai-hub/contract-review">28</start>
      <end xmlns="http://schemas.wps.cn/vas-ai-hub/contract-review">29</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3a3e7c75-35be-494a-915b-ad0a5eda0e74</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123368D0</paraID>
      <start xmlns="http://schemas.wps.cn/vas-ai-hub/contract-review">1</start>
      <end xmlns="http://schemas.wps.cn/vas-ai-hub/contract-review">2</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543655a2-9ec7-4a41-8037-2c715baebc77</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123368D0</paraID>
      <start xmlns="http://schemas.wps.cn/vas-ai-hub/contract-review">4</start>
      <end xmlns="http://schemas.wps.cn/vas-ai-hub/contract-review">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e919119e-8523-4316-8cd6-a97220440aa7</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123368D0</paraID>
      <start xmlns="http://schemas.wps.cn/vas-ai-hub/contract-review">5</start>
      <end xmlns="http://schemas.wps.cn/vas-ai-hub/contract-review">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38d9e669-5fa9-4272-943e-1d8bbafba3f1</errorID>
      <errorWord xmlns="http://schemas.wps.cn/vas-ai-hub/contract-review">，</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，对</item>
      </candidateList>
      <explain xmlns="http://schemas.wps.cn/vas-ai-hub/contract-review"/>
      <paraID xmlns="http://schemas.wps.cn/vas-ai-hub/contract-review">71B6B226</paraID>
      <start xmlns="http://schemas.wps.cn/vas-ai-hub/contract-review">40</start>
      <end xmlns="http://schemas.wps.cn/vas-ai-hub/contract-review">41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ab6a897d-0cb0-41ee-b255-ae6bee2fb0fd</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71B6B226</paraID>
      <start xmlns="http://schemas.wps.cn/vas-ai-hub/contract-review">80</start>
      <end xmlns="http://schemas.wps.cn/vas-ai-hub/contract-review">81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8adf9085-ff24-4d83-b973-da19e721f22e</errorID>
      <errorWord xmlns="http://schemas.wps.cn/vas-ai-hub/contract-review">台</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该</item>
      </candidateList>
      <explain xmlns="http://schemas.wps.cn/vas-ai-hub/contract-review">存在发音相近字词的误用。</explain>
      <paraID xmlns="http://schemas.wps.cn/vas-ai-hub/contract-review">75DCED26</paraID>
      <start xmlns="http://schemas.wps.cn/vas-ai-hub/contract-review">0</start>
      <end xmlns="http://schemas.wps.cn/vas-ai-hub/contract-review">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01a422ce-d9f9-4c2b-b3ba-9ed6deb499d7</errorID>
      <errorWord xmlns="http://schemas.wps.cn/vas-ai-hub/contract-review">明</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明确</item>
      </candidateList>
      <explain xmlns="http://schemas.wps.cn/vas-ai-hub/contract-review"/>
      <paraID xmlns="http://schemas.wps.cn/vas-ai-hub/contract-review">764A270F</paraID>
      <start xmlns="http://schemas.wps.cn/vas-ai-hub/contract-review">17</start>
      <end xmlns="http://schemas.wps.cn/vas-ai-hub/contract-review">18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0525f389-5fcf-4ab7-a275-05baee9819b6</errorID>
      <errorWord xmlns="http://schemas.wps.cn/vas-ai-hub/contract-review">影</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影响</item>
      </candidateList>
      <explain xmlns="http://schemas.wps.cn/vas-ai-hub/contract-review">❶〈动〉对别人的思想或行动起作用（如影之随形，响之应声）：父母应该用自己的模范行动去～孩子。❷〈名〉对人或事物所起的作用：这件事造成很大的～。❸〈书〉〈形〉传闻的；无根据的：模糊～之谈。</explain>
      <paraID xmlns="http://schemas.wps.cn/vas-ai-hub/contract-review">392AC660</paraID>
      <start xmlns="http://schemas.wps.cn/vas-ai-hub/contract-review">17</start>
      <end xmlns="http://schemas.wps.cn/vas-ai-hub/contract-review">18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f1d24e36-6b4c-4679-92d7-d301ec0463ec</errorID>
      <errorWord xmlns="http://schemas.wps.cn/vas-ai-hub/contract-review">为名</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为</item>
      </candidateList>
      <explain xmlns="http://schemas.wps.cn/vas-ai-hub/contract-review">（爲、為）wèi❶〈书〉帮助；卫护：～吕氏者右袒，～刘氏者左袒。❷〈介〉表示行为的对象；替：～你庆幸｜～人民服务｜～这本书写一篇序。❸〈介〉表示原因、目的：大家都～这件事高兴｜～建设伟大祖国而奋斗。❹〈书〉〈介〉对；向：不足～外人道。</explain>
      <paraID xmlns="http://schemas.wps.cn/vas-ai-hub/contract-review">7F7F7327</paraID>
      <start xmlns="http://schemas.wps.cn/vas-ai-hub/contract-review">4</start>
      <end xmlns="http://schemas.wps.cn/vas-ai-hub/contract-review">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6c23cacd-acab-4127-8536-8e647c078db3</errorID>
      <errorWord xmlns="http://schemas.wps.cn/vas-ai-hub/contract-review">政</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政策</item>
      </candidateList>
      <explain xmlns="http://schemas.wps.cn/vas-ai-hub/contract-review"/>
      <paraID xmlns="http://schemas.wps.cn/vas-ai-hub/contract-review"> A4778FD</paraID>
      <start xmlns="http://schemas.wps.cn/vas-ai-hub/contract-review">15</start>
      <end xmlns="http://schemas.wps.cn/vas-ai-hub/contract-review">16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e1569bb7-8b93-4aac-b046-5c8af996673a</errorID>
      <errorWord xmlns="http://schemas.wps.cn/vas-ai-hub/contract-review">。</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。污</item>
      </candidateList>
      <explain xmlns="http://schemas.wps.cn/vas-ai-hub/contract-review"/>
      <paraID xmlns="http://schemas.wps.cn/vas-ai-hub/contract-review">5368F7FA</paraID>
      <start xmlns="http://schemas.wps.cn/vas-ai-hub/contract-review">11</start>
      <end xmlns="http://schemas.wps.cn/vas-ai-hub/contract-review">12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2fd50c53-edda-43e7-84f7-d8aef322b266</errorID>
      <errorWord xmlns="http://schemas.wps.cn/vas-ai-hub/contract-review">环</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环境</item>
      </candidateList>
      <explain xmlns="http://schemas.wps.cn/vas-ai-hub/contract-review">〈名〉❶周围的地方：～优美｜～卫生。❷周围的情况和条件：客观～｜工作～。</explain>
      <paraID xmlns="http://schemas.wps.cn/vas-ai-hub/contract-review">5B1000EC</paraID>
      <start xmlns="http://schemas.wps.cn/vas-ai-hub/contract-review">17</start>
      <end xmlns="http://schemas.wps.cn/vas-ai-hub/contract-review">18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da797f8e-2655-462f-b914-6bff012b42ab</errorID>
      <errorWord xmlns="http://schemas.wps.cn/vas-ai-hub/contract-review">境的</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境内</item>
      </candidateList>
      <explain xmlns="http://schemas.wps.cn/vas-ai-hub/contract-review"/>
      <paraID xmlns="http://schemas.wps.cn/vas-ai-hub/contract-review">251C9203</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caf57b72-1d74-47b8-9fd9-051d7fdfa3a1</errorID>
      <errorWord xmlns="http://schemas.wps.cn/vas-ai-hub/contract-review">企</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企业</item>
      </candidateList>
      <explain xmlns="http://schemas.wps.cn/vas-ai-hub/contract-review">〈名〉从事生产、运输、贸易等经济活动的部门，如工厂、矿山、铁路、公司等。</explain>
      <paraID xmlns="http://schemas.wps.cn/vas-ai-hub/contract-review">1C463F5E</paraID>
      <start xmlns="http://schemas.wps.cn/vas-ai-hub/contract-review">17</start>
      <end xmlns="http://schemas.wps.cn/vas-ai-hub/contract-review">18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6758feca-7d83-4c6b-8758-f15b2ca1dace</errorID>
      <errorWord xmlns="http://schemas.wps.cn/vas-ai-hub/contract-review">山</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山东</item>
      </candidateList>
      <explain xmlns="http://schemas.wps.cn/vas-ai-hub/contract-review"/>
      <paraID xmlns="http://schemas.wps.cn/vas-ai-hub/contract-review">6B6B8D0C</paraID>
      <start xmlns="http://schemas.wps.cn/vas-ai-hub/contract-review">17</start>
      <end xmlns="http://schemas.wps.cn/vas-ai-hub/contract-review">18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c676bde9-433a-4cad-ba2e-826e01011144</errorID>
      <errorWord xmlns="http://schemas.wps.cn/vas-ai-hub/contract-review">等省份</errorWord>
      <group xmlns="http://schemas.wps.cn/vas-ai-hub/contract-review">L1_Knowledge</group>
      <groupName xmlns="http://schemas.wps.cn/vas-ai-hub/contract-review">知识性问题</groupName>
      <ability xmlns="http://schemas.wps.cn/vas-ai-hub/contract-review">L2_Location</ability>
      <abilityName xmlns="http://schemas.wps.cn/vas-ai-hub/contract-review">地名检查</abilityName>
      <candidateList xmlns="http://schemas.wps.cn/vas-ai-hub/contract-review">
        <item xmlns="http://schemas.wps.cn/vas-ai-hub/contract-review">等省（区）</item>
      </candidateList>
      <explain xmlns="http://schemas.wps.cn/vas-ai-hub/contract-review">注意行政区划中是否包含自治区、直辖市、特别行政区。</explain>
      <paraID xmlns="http://schemas.wps.cn/vas-ai-hub/contract-review">17CB918E</paraID>
      <start xmlns="http://schemas.wps.cn/vas-ai-hub/contract-review">236</start>
      <end xmlns="http://schemas.wps.cn/vas-ai-hub/contract-review">239</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5a60a1ef-6b2a-4cf1-8432-86ccf219db8a</errorID>
      <errorWord xmlns="http://schemas.wps.cn/vas-ai-hub/contract-review">境影响</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环境影响</item>
      </candidateList>
      <explain xmlns="http://schemas.wps.cn/vas-ai-hub/contract-review"/>
      <paraID xmlns="http://schemas.wps.cn/vas-ai-hub/contract-review">5BC0BA75</paraID>
      <start xmlns="http://schemas.wps.cn/vas-ai-hub/contract-review">0</start>
      <end xmlns="http://schemas.wps.cn/vas-ai-hub/contract-review">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1f0268c0-ae59-47e1-af85-ea84858468e7</errorID>
      <errorWord xmlns="http://schemas.wps.cn/vas-ai-hub/contract-review">经整</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精整</item>
      </candidateList>
      <explain xmlns="http://schemas.wps.cn/vas-ai-hub/contract-review"/>
      <paraID xmlns="http://schemas.wps.cn/vas-ai-hub/contract-review">56A93037</paraID>
      <start xmlns="http://schemas.wps.cn/vas-ai-hub/contract-review">16</start>
      <end xmlns="http://schemas.wps.cn/vas-ai-hub/contract-review">18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c62d2408-c992-40b1-b7e8-529f509eb2f9</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5C18A1B9</paraID>
      <start xmlns="http://schemas.wps.cn/vas-ai-hub/contract-review">14</start>
      <end xmlns="http://schemas.wps.cn/vas-ai-hub/contract-review">15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e39bbc5c-ff65-4d30-ba3d-53e84aa0ed86</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37D848AD</paraID>
      <start xmlns="http://schemas.wps.cn/vas-ai-hub/contract-review">24</start>
      <end xmlns="http://schemas.wps.cn/vas-ai-hub/contract-review">25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acf566b5-094b-4d1c-9cf2-e9b1c4ba2508</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120B7864</paraID>
      <start xmlns="http://schemas.wps.cn/vas-ai-hub/contract-review">0</start>
      <end xmlns="http://schemas.wps.cn/vas-ai-hub/contract-review">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dbfea0c9-135d-4d7b-87f9-47bef6069880</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44657C59</paraID>
      <start xmlns="http://schemas.wps.cn/vas-ai-hub/contract-review">7</start>
      <end xmlns="http://schemas.wps.cn/vas-ai-hub/contract-review">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c455262a-aa16-457b-93c0-fc82566182b2</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12942883</paraID>
      <start xmlns="http://schemas.wps.cn/vas-ai-hub/contract-review">7</start>
      <end xmlns="http://schemas.wps.cn/vas-ai-hub/contract-review">8</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b6d0330d-b116-4981-a620-e231b97bdefb</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12942883</paraID>
      <start xmlns="http://schemas.wps.cn/vas-ai-hub/contract-review">11</start>
      <end xmlns="http://schemas.wps.cn/vas-ai-hub/contract-review">12</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a2e3b4b3-6ddf-4241-936a-aed57cebbc73</errorID>
      <errorWord xmlns="http://schemas.wps.cn/vas-ai-hub/contract-review">[2024]33号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〔2024〕33号</item>
      </candidateList>
      <explain xmlns="http://schemas.wps.cn/vas-ai-hub/contract-review">发文字号格式错误。</explain>
      <paraID xmlns="http://schemas.wps.cn/vas-ai-hub/contract-review">65C3F3E8</paraID>
      <start xmlns="http://schemas.wps.cn/vas-ai-hub/contract-review">29</start>
      <end xmlns="http://schemas.wps.cn/vas-ai-hub/contract-review">38</end>
      <status xmlns="http://schemas.wps.cn/vas-ai-hub/contract-review">modified</status>
      <modifiedWord xmlns="http://schemas.wps.cn/vas-ai-hub/contract-review">〔2024〕33号</modifiedWord>
      <trackRevisions xmlns="http://schemas.wps.cn/vas-ai-hub/contract-review">false</trackRevisions>
    </reviewItem>
    <reviewItem xmlns="http://schemas.wps.cn/vas-ai-hub/contract-review">
      <errorID xmlns="http://schemas.wps.cn/vas-ai-hub/contract-review">517bda46-522d-42cb-8148-e012ba2a2e5d</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4.13.3.2节，标识相关项目（如时间、地域等）的起止，以及标识数值范围（由阿拉伯数字或汉字数字构成）的起止时，一般用一字线或长浪纹线。如“25～30g”“2011年2月3日—10日”。</explain>
      <paraID xmlns="http://schemas.wps.cn/vas-ai-hub/contract-review"> A07D6FA</paraID>
      <start xmlns="http://schemas.wps.cn/vas-ai-hub/contract-review">42</start>
      <end xmlns="http://schemas.wps.cn/vas-ai-hub/contract-review">43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1290b1ae-47a6-4fb9-bf61-19aad3bbf028</errorID>
      <errorWord xmlns="http://schemas.wps.cn/vas-ai-hub/contract-review">[2024]33号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〔2024〕33号</item>
      </candidateList>
      <explain xmlns="http://schemas.wps.cn/vas-ai-hub/contract-review">发文字号格式错误。</explain>
      <paraID xmlns="http://schemas.wps.cn/vas-ai-hub/contract-review">7E195F3A</paraID>
      <start xmlns="http://schemas.wps.cn/vas-ai-hub/contract-review">2</start>
      <end xmlns="http://schemas.wps.cn/vas-ai-hub/contract-review">11</end>
      <status xmlns="http://schemas.wps.cn/vas-ai-hub/contract-review">modified</status>
      <modifiedWord xmlns="http://schemas.wps.cn/vas-ai-hub/contract-review">〔2024〕33号</modifiedWord>
      <trackRevisions xmlns="http://schemas.wps.cn/vas-ai-hub/contract-review">false</trackRevisions>
    </reviewItem>
    <reviewItem xmlns="http://schemas.wps.cn/vas-ai-hub/contract-review">
      <errorID xmlns="http://schemas.wps.cn/vas-ai-hub/contract-review">851c7bad-49bf-44e8-9a62-d1d05c7469ae</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B7ED9E1</paraID>
      <start xmlns="http://schemas.wps.cn/vas-ai-hub/contract-review">236</start>
      <end xmlns="http://schemas.wps.cn/vas-ai-hub/contract-review">237</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71b596f5-179b-487e-a18d-63be0aa4c479</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B7ED9E1</paraID>
      <start xmlns="http://schemas.wps.cn/vas-ai-hub/contract-review">244</start>
      <end xmlns="http://schemas.wps.cn/vas-ai-hub/contract-review">245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47720862-b650-4e03-9980-c4a60570e294</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2AB8D32A</paraID>
      <start xmlns="http://schemas.wps.cn/vas-ai-hub/contract-review">24</start>
      <end xmlns="http://schemas.wps.cn/vas-ai-hub/contract-review">25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825b7d83-fef4-4de3-b0f8-c38d12822c18</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2AB8D32A</paraID>
      <start xmlns="http://schemas.wps.cn/vas-ai-hub/contract-review">34</start>
      <end xmlns="http://schemas.wps.cn/vas-ai-hub/contract-review">35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ee1f5dfb-3d66-48b1-b4d5-4f0ccef7fb5d</errorID>
      <errorWord xmlns="http://schemas.wps.cn/vas-ai-hub/contract-review">五、六个</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五六个</item>
      </candidateList>
      <explain xmlns="http://schemas.wps.cn/vas-ai-hub/contract-review"/>
      <paraID xmlns="http://schemas.wps.cn/vas-ai-hub/contract-review">5666CAFC</paraID>
      <start xmlns="http://schemas.wps.cn/vas-ai-hub/contract-review">34</start>
      <end xmlns="http://schemas.wps.cn/vas-ai-hub/contract-review">37</end>
      <status xmlns="http://schemas.wps.cn/vas-ai-hub/contract-review">modified</status>
      <modifiedWord xmlns="http://schemas.wps.cn/vas-ai-hub/contract-review">五六个</modifiedWord>
      <trackRevisions xmlns="http://schemas.wps.cn/vas-ai-hub/contract-review">false</trackRevisions>
    </reviewItem>
    <reviewItem xmlns="http://schemas.wps.cn/vas-ai-hub/contract-review">
      <errorID xmlns="http://schemas.wps.cn/vas-ai-hub/contract-review">e7415e43-d127-426f-bf6a-73d75b33fcc2</errorID>
      <errorWord xmlns="http://schemas.wps.cn/vas-ai-hub/contract-review">II类</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Ⅱ类</item>
      </candidateList>
      <explain xmlns="http://schemas.wps.cn/vas-ai-hub/contract-review"/>
      <paraID xmlns="http://schemas.wps.cn/vas-ai-hub/contract-review">5666CAFC</paraID>
      <start xmlns="http://schemas.wps.cn/vas-ai-hub/contract-review">195</start>
      <end xmlns="http://schemas.wps.cn/vas-ai-hub/contract-review">197</end>
      <status xmlns="http://schemas.wps.cn/vas-ai-hub/contract-review">modified</status>
      <modifiedWord xmlns="http://schemas.wps.cn/vas-ai-hub/contract-review">Ⅱ类</modifiedWord>
      <trackRevisions xmlns="http://schemas.wps.cn/vas-ai-hub/contract-review">false</trackRevisions>
    </reviewItem>
    <reviewItem xmlns="http://schemas.wps.cn/vas-ai-hub/contract-review">
      <errorID xmlns="http://schemas.wps.cn/vas-ai-hub/contract-review">01ae339c-5d5d-4297-a13f-34ef1337e979</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3034D55E</paraID>
      <start xmlns="http://schemas.wps.cn/vas-ai-hub/contract-review">30</start>
      <end xmlns="http://schemas.wps.cn/vas-ai-hub/contract-review">31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5ddceaac-2233-4845-80c3-66ffb99b4ecb</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3034D55E</paraID>
      <start xmlns="http://schemas.wps.cn/vas-ai-hub/contract-review">33</start>
      <end xmlns="http://schemas.wps.cn/vas-ai-hub/contract-review">34</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a47d52fd-6cd8-4839-b90b-306785dca2e1</errorID>
      <errorWord xmlns="http://schemas.wps.cn/vas-ai-hub/contract-review">周地土壤</errorWord>
      <group xmlns="http://schemas.wps.cn/vas-ai-hub/contract-review">L1_Knowledge</group>
      <groupName xmlns="http://schemas.wps.cn/vas-ai-hub/contract-review">知识性问题</groupName>
      <ability xmlns="http://schemas.wps.cn/vas-ai-hub/contract-review">L2_Term</ability>
      <abilityName xmlns="http://schemas.wps.cn/vas-ai-hub/contract-review">专业术语</abilityName>
      <candidateList xmlns="http://schemas.wps.cn/vas-ai-hub/contract-review">
        <item xmlns="http://schemas.wps.cn/vas-ai-hub/contract-review">迹地土壤</item>
      </candidateList>
      <explain xmlns="http://schemas.wps.cn/vas-ai-hub/contract-review"/>
      <paraID xmlns="http://schemas.wps.cn/vas-ai-hub/contract-review">103CAE09</paraID>
      <start xmlns="http://schemas.wps.cn/vas-ai-hub/contract-review">266</start>
      <end xmlns="http://schemas.wps.cn/vas-ai-hub/contract-review">270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dc4c12ea-206c-4048-a366-87c40c9c94d7</errorID>
      <errorWord xmlns="http://schemas.wps.cn/vas-ai-hub/contract-review">[2024]33号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〔2024〕33号</item>
      </candidateList>
      <explain xmlns="http://schemas.wps.cn/vas-ai-hub/contract-review">发文字号格式错误。</explain>
      <paraID xmlns="http://schemas.wps.cn/vas-ai-hub/contract-review">6C891D14</paraID>
      <start xmlns="http://schemas.wps.cn/vas-ai-hub/contract-review">37</start>
      <end xmlns="http://schemas.wps.cn/vas-ai-hub/contract-review">46</end>
      <status xmlns="http://schemas.wps.cn/vas-ai-hub/contract-review">modified</status>
      <modifiedWord xmlns="http://schemas.wps.cn/vas-ai-hub/contract-review">〔2024〕33号</modifiedWord>
      <trackRevisions xmlns="http://schemas.wps.cn/vas-ai-hub/contract-review">false</trackRevisions>
    </reviewItem>
    <reviewItem xmlns="http://schemas.wps.cn/vas-ai-hub/contract-review">
      <errorID xmlns="http://schemas.wps.cn/vas-ai-hub/contract-review">6a2aecaf-d1e0-4d4b-ba3e-c09fb497382c</errorID>
      <errorWord xmlns="http://schemas.wps.cn/vas-ai-hub/contract-review">》</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》和</item>
      </candidateList>
      <explain xmlns="http://schemas.wps.cn/vas-ai-hub/contract-review"/>
      <paraID xmlns="http://schemas.wps.cn/vas-ai-hub/contract-review"> D49FCFB</paraID>
      <start xmlns="http://schemas.wps.cn/vas-ai-hub/contract-review">16</start>
      <end xmlns="http://schemas.wps.cn/vas-ai-hub/contract-review">17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9d652563-d75f-4f23-8254-ef615c20257d</errorID>
      <errorWord xmlns="http://schemas.wps.cn/vas-ai-hub/contract-review">设</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设施</item>
      </candidateList>
      <explain xmlns="http://schemas.wps.cn/vas-ai-hub/contract-review"/>
      <paraID xmlns="http://schemas.wps.cn/vas-ai-hub/contract-review">7D36A14B</paraID>
      <start xmlns="http://schemas.wps.cn/vas-ai-hub/contract-review">34</start>
      <end xmlns="http://schemas.wps.cn/vas-ai-hub/contract-review">35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21199815-dc49-42ff-87d4-2becec956988</errorID>
      <errorWord xmlns="http://schemas.wps.cn/vas-ai-hub/contract-review">目，</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item>
      </candidateList>
      <explain xmlns="http://schemas.wps.cn/vas-ai-hub/contract-review"/>
      <paraID xmlns="http://schemas.wps.cn/vas-ai-hub/contract-review"> 35A5938</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6cd027a0-55b2-4988-961e-8d629667b374</errorID>
      <errorWord xmlns="http://schemas.wps.cn/vas-ai-hub/contract-review">管</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管理</item>
      </candidateList>
      <explain xmlns="http://schemas.wps.cn/vas-ai-hub/contract-review">〈动〉❶负责某项工作使顺利进行：～财务｜～国家大事。❷保管和料理：～图书｜公园～处。❸照管并约束（人或动物）：～罪犯｜～牲口。</explain>
      <paraID xmlns="http://schemas.wps.cn/vas-ai-hub/contract-review"> 774C7EF</paraID>
      <start xmlns="http://schemas.wps.cn/vas-ai-hub/contract-review">34</start>
      <end xmlns="http://schemas.wps.cn/vas-ai-hub/contract-review">35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fc5a6f31-2412-47f2-b729-39248efc2cbb</errorID>
      <errorWord xmlns="http://schemas.wps.cn/vas-ai-hub/contract-review">的项目</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项目</item>
      </candidateList>
      <explain xmlns="http://schemas.wps.cn/vas-ai-hub/contract-review">〈名〉事物分成的门类：服务～｜体育～｜建设～。</explain>
      <paraID xmlns="http://schemas.wps.cn/vas-ai-hub/contract-review">3984DAC6</paraID>
      <start xmlns="http://schemas.wps.cn/vas-ai-hub/contract-review">181</start>
      <end xmlns="http://schemas.wps.cn/vas-ai-hub/contract-review">184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189fa25f-bc56-413f-8cc2-a8d0d1e844ea</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233D912A</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cd92c4a6-2c0f-4901-ad3e-b96fe869c95f</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272F0C1C</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fb511f18-9a2d-416e-944f-b73220cc2d1b</errorID>
      <errorWord xmlns="http://schemas.wps.cn/vas-ai-hub/contract-review">污染物汽化</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污染物气化</item>
      </candidateList>
      <explain xmlns="http://schemas.wps.cn/vas-ai-hub/contract-review"/>
      <paraID xmlns="http://schemas.wps.cn/vas-ai-hub/contract-review"> F893927</paraID>
      <start xmlns="http://schemas.wps.cn/vas-ai-hub/contract-review">108</start>
      <end xmlns="http://schemas.wps.cn/vas-ai-hub/contract-review">113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82e75d2a-3112-4b45-ba8f-341f653d6fc8</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3DC78203</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0d24e770-fb44-4b1d-a174-7611b309b14f</errorID>
      <errorWord xmlns="http://schemas.wps.cn/vas-ai-hub/contract-review">织开展</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组织开展</item>
      </candidateList>
      <explain xmlns="http://schemas.wps.cn/vas-ai-hub/contract-review"/>
      <paraID xmlns="http://schemas.wps.cn/vas-ai-hub/contract-review">21E039DB</paraID>
      <start xmlns="http://schemas.wps.cn/vas-ai-hub/contract-review">142</start>
      <end xmlns="http://schemas.wps.cn/vas-ai-hub/contract-review">145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9aa6c530-dc66-401d-93e7-a07a41e58774</errorID>
      <errorWord xmlns="http://schemas.wps.cn/vas-ai-hub/contract-review">要</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要求</item>
      </candidateList>
      <explain xmlns="http://schemas.wps.cn/vas-ai-hub/contract-review">❶〈动〉提出具体愿望或条件，希望得到满足或实现：～转学｜～进步｜严格～自己。❷〈名〉所提出的具体愿望或条件：满足了他的～｜符合规定的～。</explain>
      <paraID xmlns="http://schemas.wps.cn/vas-ai-hub/contract-review"> 56F0775</paraID>
      <start xmlns="http://schemas.wps.cn/vas-ai-hub/contract-review">70</start>
      <end xmlns="http://schemas.wps.cn/vas-ai-hub/contract-review">71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ee3252ef-77e0-4eef-861d-d76a7c895288</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1BE68E8A</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7767e073-7942-4b99-8411-bd662a0fd2a9</errorID>
      <errorWord xmlns="http://schemas.wps.cn/vas-ai-hub/contract-review">管</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管理</item>
      </candidateList>
      <explain xmlns="http://schemas.wps.cn/vas-ai-hub/contract-review">〈动〉❶负责某项工作使顺利进行：～财务｜～国家大事。❷保管和料理：～图书｜公园～处。❸照管并约束（人或动物）：～罪犯｜～牲口。</explain>
      <paraID xmlns="http://schemas.wps.cn/vas-ai-hub/contract-review"> B819989</paraID>
      <start xmlns="http://schemas.wps.cn/vas-ai-hub/contract-review">35</start>
      <end xmlns="http://schemas.wps.cn/vas-ai-hub/contract-review">36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593aabcd-65b5-4cca-a60a-9b79f2f991d7</errorID>
      <errorWord xmlns="http://schemas.wps.cn/vas-ai-hub/contract-review">一岗双责</errorWord>
      <group xmlns="http://schemas.wps.cn/vas-ai-hub/contract-review">L1_Political</group>
      <groupName xmlns="http://schemas.wps.cn/vas-ai-hub/contract-review">政治性问题</groupName>
      <ability xmlns="http://schemas.wps.cn/vas-ai-hub/contract-review">L2_Keyword</ability>
      <abilityName xmlns="http://schemas.wps.cn/vas-ai-hub/contract-review">固定表述</abilityName>
      <candidateList xmlns="http://schemas.wps.cn/vas-ai-hub/contract-review">
        <item xmlns="http://schemas.wps.cn/vas-ai-hub/contract-review">‘一岗双责’</item>
      </candidateList>
      <explain xmlns="http://schemas.wps.cn/vas-ai-hub/contract-review">注意检查当前固定表述标点是否使用规范。</explain>
      <paraID xmlns="http://schemas.wps.cn/vas-ai-hub/contract-review">1CBED10A</paraID>
      <start xmlns="http://schemas.wps.cn/vas-ai-hub/contract-review">18</start>
      <end xmlns="http://schemas.wps.cn/vas-ai-hub/contract-review">22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2f9a88e9-9e70-4eab-a47f-e2667c612ee4</errorID>
      <errorWord xmlns="http://schemas.wps.cn/vas-ai-hub/contract-review">组</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组织</item>
      </candidateList>
      <explain xmlns="http://schemas.wps.cn/vas-ai-hub/contract-review">❶〈动〉安排分散的人或事物使具有一定的系统性或整体性：～人力｜～联欢晚会｜这篇文章～得很好。❷〈名〉系统；配合关系：～严密｜～松散。❸〈名〉纺织品经纬纱线的结构：平纹～｜斜纹～｜缎纹～。❹〈名〉机体中构成器官的单位，是由许多形态和功能相同的细胞按一定的方式结合而成的。人和高等动物体内有上皮组织、结缔组织、肌组织和神经组织。</explain>
      <paraID xmlns="http://schemas.wps.cn/vas-ai-hub/contract-review">71A5D21D</paraID>
      <start xmlns="http://schemas.wps.cn/vas-ai-hub/contract-review">71</start>
      <end xmlns="http://schemas.wps.cn/vas-ai-hub/contract-review">72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bf4503ff-1f67-4ccb-9fc1-c3b1fe86a6f9</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7C02A337</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8e028287-8dd8-45d3-9ec2-9a422178edca</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 C3C7171</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4296c10f-cb02-4dd9-8841-5c33d49d1670</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 5D8A44B</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b225e1a4-511e-48cd-9e20-822a801f6511</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10B46506</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f2c074fb-cd0f-44e3-89a9-2b3336405a26</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73944542</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3cb8623e-5493-4abf-9c3a-e3d8456ffe0f</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547E41C0</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5b0d2a41-3c50-4754-ad3f-ffe70427a7e6</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 AAD5625</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c056c269-8d0b-4f58-9a3a-eeaa33bc8d9d</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4.13.3.2节，标识相关项目（如时间、地域等）的起止，以及标识数值范围（由阿拉伯数字或汉字数字构成）的起止时，一般用一字线或长浪纹线。如“25～30g”“2011年2月3日—10日”。</explain>
      <paraID xmlns="http://schemas.wps.cn/vas-ai-hub/contract-review"> AAD5625</paraID>
      <start xmlns="http://schemas.wps.cn/vas-ai-hub/contract-review">84</start>
      <end xmlns="http://schemas.wps.cn/vas-ai-hub/contract-review">85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7244e9e5-a115-4d6a-be7d-b7b7650eb3fb</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6E150FE4</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b046e36b-1435-4593-a415-16be096be313</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390F97AA</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00ae84bb-0cdf-4463-928a-1fd969f7d620</errorID>
      <errorWord xmlns="http://schemas.wps.cn/vas-ai-hub/contract-review">减震</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减振</item>
      </candidateList>
      <explain xmlns="http://schemas.wps.cn/vas-ai-hub/contract-review">存在发音相同字词的误用。</explain>
      <paraID xmlns="http://schemas.wps.cn/vas-ai-hub/contract-review">263A15B9</paraID>
      <start xmlns="http://schemas.wps.cn/vas-ai-hub/contract-review">23</start>
      <end xmlns="http://schemas.wps.cn/vas-ai-hub/contract-review">25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fe738d8d-cae6-411f-a5d1-1378979a6e9c</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1D9C9A1B</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cb2d5d23-09e0-49c0-bc29-5d98a0147f68</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1BD0AFB7</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4adbd4ab-dcd0-4bb4-a201-8436fab594c9</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2FF1B1E9</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7925901d-a03b-44f7-be42-6f0c760dd963</errorID>
      <errorWord xmlns="http://schemas.wps.cn/vas-ai-hub/contract-review">4、</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4.</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6642F47C</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41ae2871-2282-4694-90ea-61ede542c6b2</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329411AA</paraID>
      <start xmlns="http://schemas.wps.cn/vas-ai-hub/contract-review">12</start>
      <end xmlns="http://schemas.wps.cn/vas-ai-hub/contract-review">13</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4e5b8975-2b84-4bf5-89ee-cc8d5a79b5d5</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329411AA</paraID>
      <start xmlns="http://schemas.wps.cn/vas-ai-hub/contract-review">26</start>
      <end xmlns="http://schemas.wps.cn/vas-ai-hub/contract-review">27</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41ae2871-2282-4694-90ea-61ede542c6b2</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3018F4BA</paraID>
      <start xmlns="http://schemas.wps.cn/vas-ai-hub/contract-review">12</start>
      <end xmlns="http://schemas.wps.cn/vas-ai-hub/contract-review">13</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4e5b8975-2b84-4bf5-89ee-cc8d5a79b5d5</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3018F4BA</paraID>
      <start xmlns="http://schemas.wps.cn/vas-ai-hub/contract-review">26</start>
      <end xmlns="http://schemas.wps.cn/vas-ai-hub/contract-review">27</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3795d619-192e-426c-a748-f81cab5f9740</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34FA5BBC</paraID>
      <start xmlns="http://schemas.wps.cn/vas-ai-hub/contract-review">12</start>
      <end xmlns="http://schemas.wps.cn/vas-ai-hub/contract-review">13</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8378c7e7-48c5-4572-9d8c-e4c10f937407</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34FA5BBC</paraID>
      <start xmlns="http://schemas.wps.cn/vas-ai-hub/contract-review">26</start>
      <end xmlns="http://schemas.wps.cn/vas-ai-hub/contract-review">27</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2001a140-a784-4014-ac83-7ecde6f491ea</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11ADFFE6</paraID>
      <start xmlns="http://schemas.wps.cn/vas-ai-hub/contract-review">17</start>
      <end xmlns="http://schemas.wps.cn/vas-ai-hub/contract-review">18</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9c39d045-4f0b-42a6-95e8-87afb3fd095c</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11ADFFE6</paraID>
      <start xmlns="http://schemas.wps.cn/vas-ai-hub/contract-review">19</start>
      <end xmlns="http://schemas.wps.cn/vas-ai-hub/contract-review">20</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20123865-750d-4b06-ae1f-81e3dce1dff1</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11ADFFE6</paraID>
      <start xmlns="http://schemas.wps.cn/vas-ai-hub/contract-review">79</start>
      <end xmlns="http://schemas.wps.cn/vas-ai-hub/contract-review">80</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bdd03739-7b82-4808-937b-da50c4c21fa1</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11ADFFE6</paraID>
      <start xmlns="http://schemas.wps.cn/vas-ai-hub/contract-review">95</start>
      <end xmlns="http://schemas.wps.cn/vas-ai-hub/contract-review">96</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31a43541-d464-4a39-b015-b73403b956c2</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2DAD8C99</paraID>
      <start xmlns="http://schemas.wps.cn/vas-ai-hub/contract-review">30</start>
      <end xmlns="http://schemas.wps.cn/vas-ai-hub/contract-review">31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fa5f9a1f-a14b-4f7a-b2e0-7c3fc11c01e2</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4D751F0</paraID>
      <start xmlns="http://schemas.wps.cn/vas-ai-hub/contract-review">74</start>
      <end xmlns="http://schemas.wps.cn/vas-ai-hub/contract-review">75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0ae663d3-e643-4598-af01-52efb574d261</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4D751F0</paraID>
      <start xmlns="http://schemas.wps.cn/vas-ai-hub/contract-review">76</start>
      <end xmlns="http://schemas.wps.cn/vas-ai-hub/contract-review">77</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cbfc7b74-0382-4805-b9a6-7a1fc5af7ca8</errorID>
      <errorWord xmlns="http://schemas.wps.cn/vas-ai-hub/contract-review">厂区地</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厂区</item>
      </candidateList>
      <explain xmlns="http://schemas.wps.cn/vas-ai-hub/contract-review"/>
      <paraID xmlns="http://schemas.wps.cn/vas-ai-hub/contract-review">268DAE91</paraID>
      <start xmlns="http://schemas.wps.cn/vas-ai-hub/contract-review">2</start>
      <end xmlns="http://schemas.wps.cn/vas-ai-hub/contract-review">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f0745174-58f8-4878-b2aa-023897931d7b</errorID>
      <errorWord xmlns="http://schemas.wps.cn/vas-ai-hub/contract-review">一座</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一台</item>
      </candidateList>
      <explain xmlns="http://schemas.wps.cn/vas-ai-hub/contract-review"/>
      <paraID xmlns="http://schemas.wps.cn/vas-ai-hub/contract-review">268DAE91</paraID>
      <start xmlns="http://schemas.wps.cn/vas-ai-hub/contract-review">11</start>
      <end xmlns="http://schemas.wps.cn/vas-ai-hub/contract-review">13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e6067bd7-21a7-420e-ba5c-62bec40a6b2d</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577115C</paraID>
      <start xmlns="http://schemas.wps.cn/vas-ai-hub/contract-review">48</start>
      <end xmlns="http://schemas.wps.cn/vas-ai-hub/contract-review">49</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c8f85217-bc24-4caf-8241-f21e8401a59d</errorID>
      <errorWord xmlns="http://schemas.wps.cn/vas-ai-hub/contract-review">相</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箱</item>
      </candidateList>
      <explain xmlns="http://schemas.wps.cn/vas-ai-hub/contract-review">存在发音相同字词的误用。</explain>
      <paraID xmlns="http://schemas.wps.cn/vas-ai-hub/contract-review">607D6CE7</paraID>
      <start xmlns="http://schemas.wps.cn/vas-ai-hub/contract-review">43</start>
      <end xmlns="http://schemas.wps.cn/vas-ai-hub/contract-review">44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a0acb30a-725b-4d05-8bcb-c7129d59b3ff</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607D6CE7</paraID>
      <start xmlns="http://schemas.wps.cn/vas-ai-hub/contract-review">50</start>
      <end xmlns="http://schemas.wps.cn/vas-ai-hub/contract-review">51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936a3089-b38d-47c3-90d2-ab0607d4fb10</errorID>
      <errorWord xmlns="http://schemas.wps.cn/vas-ai-hub/contract-review">同其它</errorWord>
      <group xmlns="http://schemas.wps.cn/vas-ai-hub/contract-review">L1_Word</group>
      <groupName xmlns="http://schemas.wps.cn/vas-ai-hub/contract-review">字词问题</groupName>
      <ability xmlns="http://schemas.wps.cn/vas-ai-hub/contract-review">L2_Alias</ability>
      <abilityName xmlns="http://schemas.wps.cn/vas-ai-hub/contract-review">也作/曾用词</abilityName>
      <candidateList xmlns="http://schemas.wps.cn/vas-ai-hub/contract-review">
        <item xmlns="http://schemas.wps.cn/vas-ai-hub/contract-review">同其他</item>
      </candidateList>
      <explain xmlns="http://schemas.wps.cn/vas-ai-hub/contract-review">词汇[同其它]为不规范表述或旧称，其规范书面表述为[同其他]。</explain>
      <paraID xmlns="http://schemas.wps.cn/vas-ai-hub/contract-review">57C4D76E</paraID>
      <start xmlns="http://schemas.wps.cn/vas-ai-hub/contract-review">17</start>
      <end xmlns="http://schemas.wps.cn/vas-ai-hub/contract-review">20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b81dc491-9d82-4906-925d-8bb322efcebc</errorID>
      <errorWord xmlns="http://schemas.wps.cn/vas-ai-hub/contract-review">，和</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item>
      </candidateList>
      <explain xmlns="http://schemas.wps.cn/vas-ai-hub/contract-review"/>
      <paraID xmlns="http://schemas.wps.cn/vas-ai-hub/contract-review">4C265A96</paraID>
      <start xmlns="http://schemas.wps.cn/vas-ai-hub/contract-review">51</start>
      <end xmlns="http://schemas.wps.cn/vas-ai-hub/contract-review">53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616923ab-7bf0-4a8c-b876-adddf8c52a57</errorID>
      <errorWord xmlns="http://schemas.wps.cn/vas-ai-hub/contract-review">[2023]2号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〔2023〕2号</item>
      </candidateList>
      <explain xmlns="http://schemas.wps.cn/vas-ai-hub/contract-review">发文字号格式错误。</explain>
      <paraID xmlns="http://schemas.wps.cn/vas-ai-hub/contract-review">19D7A098</paraID>
      <start xmlns="http://schemas.wps.cn/vas-ai-hub/contract-review">36</start>
      <end xmlns="http://schemas.wps.cn/vas-ai-hub/contract-review">44</end>
      <status xmlns="http://schemas.wps.cn/vas-ai-hub/contract-review">modified</status>
      <modifiedWord xmlns="http://schemas.wps.cn/vas-ai-hub/contract-review">〔2023〕2号</modifiedWord>
      <trackRevisions xmlns="http://schemas.wps.cn/vas-ai-hub/contract-review">false</trackRevisions>
    </reviewItem>
    <reviewItem xmlns="http://schemas.wps.cn/vas-ai-hub/contract-review">
      <errorID xmlns="http://schemas.wps.cn/vas-ai-hub/contract-review">61d77683-2e3b-4e8d-a824-9a8bcac0db52</errorID>
      <errorWord xmlns="http://schemas.wps.cn/vas-ai-hub/contract-review">[2023]2号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〔2023〕2号</item>
      </candidateList>
      <explain xmlns="http://schemas.wps.cn/vas-ai-hub/contract-review">发文字号格式错误。</explain>
      <paraID xmlns="http://schemas.wps.cn/vas-ai-hub/contract-review">700AFE09</paraID>
      <start xmlns="http://schemas.wps.cn/vas-ai-hub/contract-review">4</start>
      <end xmlns="http://schemas.wps.cn/vas-ai-hub/contract-review">12</end>
      <status xmlns="http://schemas.wps.cn/vas-ai-hub/contract-review">modified</status>
      <modifiedWord xmlns="http://schemas.wps.cn/vas-ai-hub/contract-review">〔2023〕2号</modifiedWord>
      <trackRevisions xmlns="http://schemas.wps.cn/vas-ai-hub/contract-review">false</trackRevisions>
    </reviewItem>
    <reviewItem xmlns="http://schemas.wps.cn/vas-ai-hub/contract-review">
      <errorID xmlns="http://schemas.wps.cn/vas-ai-hub/contract-review">19695bd8-a4ce-4cad-a121-83e723f0fbb7</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700AFE09</paraID>
      <start xmlns="http://schemas.wps.cn/vas-ai-hub/contract-review">22</start>
      <end xmlns="http://schemas.wps.cn/vas-ai-hub/contract-review">23</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8cc84af1-595a-4514-af10-66503a9aca75</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700AFE09</paraID>
      <start xmlns="http://schemas.wps.cn/vas-ai-hub/contract-review">103</start>
      <end xmlns="http://schemas.wps.cn/vas-ai-hub/contract-review">104</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264f4a5f-75e5-445d-a471-ab5c891212e4</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700AFE09</paraID>
      <start xmlns="http://schemas.wps.cn/vas-ai-hub/contract-review">110</start>
      <end xmlns="http://schemas.wps.cn/vas-ai-hub/contract-review">111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482ff513-90bc-4d21-a5b1-8fcf3dc1c5ab</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700AFE09</paraID>
      <start xmlns="http://schemas.wps.cn/vas-ai-hub/contract-review">137</start>
      <end xmlns="http://schemas.wps.cn/vas-ai-hub/contract-review">138</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0798d77b-acf3-4833-9905-727350d74131</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700AFE09</paraID>
      <start xmlns="http://schemas.wps.cn/vas-ai-hub/contract-review">186</start>
      <end xmlns="http://schemas.wps.cn/vas-ai-hub/contract-review">187</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fb176df8-8485-406e-9392-c89390bd33ef</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700AFE09</paraID>
      <start xmlns="http://schemas.wps.cn/vas-ai-hub/contract-review">189</start>
      <end xmlns="http://schemas.wps.cn/vas-ai-hub/contract-review">190</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3cb86bd9-14a1-4618-96cd-09671b91d5f2</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3C555560</paraID>
      <start xmlns="http://schemas.wps.cn/vas-ai-hub/contract-review">194</start>
      <end xmlns="http://schemas.wps.cn/vas-ai-hub/contract-review">195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4b13a0ed-3104-4484-a731-a9760680fac2</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3C555560</paraID>
      <start xmlns="http://schemas.wps.cn/vas-ai-hub/contract-review">205</start>
      <end xmlns="http://schemas.wps.cn/vas-ai-hub/contract-review">206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c11f7626-3538-4f51-a255-6c7883876f50</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235E9AAC</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ae310d99-e16f-4213-83bd-7ed335c0d83e</errorID>
      <errorWord xmlns="http://schemas.wps.cn/vas-ai-hub/contract-review">【2025】10号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〔2025〕10号</item>
      </candidateList>
      <explain xmlns="http://schemas.wps.cn/vas-ai-hub/contract-review">发文字号格式错误。</explain>
      <paraID xmlns="http://schemas.wps.cn/vas-ai-hub/contract-review">6B316A92</paraID>
      <start xmlns="http://schemas.wps.cn/vas-ai-hub/contract-review">102</start>
      <end xmlns="http://schemas.wps.cn/vas-ai-hub/contract-review">111</end>
      <status xmlns="http://schemas.wps.cn/vas-ai-hub/contract-review">modified</status>
      <modifiedWord xmlns="http://schemas.wps.cn/vas-ai-hub/contract-review">〔2025〕10号</modifiedWord>
      <trackRevisions xmlns="http://schemas.wps.cn/vas-ai-hub/contract-review">false</trackRevisions>
    </reviewItem>
    <reviewItem xmlns="http://schemas.wps.cn/vas-ai-hub/contract-review">
      <errorID xmlns="http://schemas.wps.cn/vas-ai-hub/contract-review">63f8a2f8-f3bf-4ca6-82a0-6faec0b1b86e</errorID>
      <errorWord xmlns="http://schemas.wps.cn/vas-ai-hub/contract-review">【2020】688号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〔2020〕688号</item>
      </candidateList>
      <explain xmlns="http://schemas.wps.cn/vas-ai-hub/contract-review">发文字号格式错误。</explain>
      <paraID xmlns="http://schemas.wps.cn/vas-ai-hub/contract-review">279440D6</paraID>
      <start xmlns="http://schemas.wps.cn/vas-ai-hub/contract-review">51</start>
      <end xmlns="http://schemas.wps.cn/vas-ai-hub/contract-review">61</end>
      <status xmlns="http://schemas.wps.cn/vas-ai-hub/contract-review">modified</status>
      <modifiedWord xmlns="http://schemas.wps.cn/vas-ai-hub/contract-review">〔2020〕688号</modifiedWord>
      <trackRevisions xmlns="http://schemas.wps.cn/vas-ai-hub/contract-review">false</trackRevisions>
    </reviewItem>
    <reviewItem xmlns="http://schemas.wps.cn/vas-ai-hub/contract-review">
      <errorID xmlns="http://schemas.wps.cn/vas-ai-hub/contract-review">4322a04a-16ff-423d-8ed9-2557e48b37c9</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 F277A15</paraID>
      <start xmlns="http://schemas.wps.cn/vas-ai-hub/contract-review">0</start>
      <end xmlns="http://schemas.wps.cn/vas-ai-hub/contract-review">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b8d6fe0d-e2eb-4840-8079-e73d035df8ee</errorID>
      <errorWord xmlns="http://schemas.wps.cn/vas-ai-hub/contract-review">(4)</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（4）</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34EDB2E5</paraID>
      <start xmlns="http://schemas.wps.cn/vas-ai-hub/contract-review">0</start>
      <end xmlns="http://schemas.wps.cn/vas-ai-hub/contract-review">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e49610cd-5d25-4b8d-8f20-83421e6d75c7</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40DE5AAC</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ccf77b66-1e08-4d16-b862-db29aecbc78f</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5695F3BE</paraID>
      <start xmlns="http://schemas.wps.cn/vas-ai-hub/contract-review">101</start>
      <end xmlns="http://schemas.wps.cn/vas-ai-hub/contract-review">102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7690be7c-46eb-4950-8183-b4caf8e5323c</errorID>
      <errorWord xmlns="http://schemas.wps.cn/vas-ai-hub/contract-review">建筑面积</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筑面积</item>
      </candidateList>
      <explain xmlns="http://schemas.wps.cn/vas-ai-hub/contract-review"/>
      <paraID xmlns="http://schemas.wps.cn/vas-ai-hub/contract-review">3BD3A224</paraID>
      <start xmlns="http://schemas.wps.cn/vas-ai-hub/contract-review">7</start>
      <end xmlns="http://schemas.wps.cn/vas-ai-hub/contract-review">10</end>
      <status xmlns="http://schemas.wps.cn/vas-ai-hub/contract-review">modified</status>
      <modifiedWord xmlns="http://schemas.wps.cn/vas-ai-hub/contract-review">筑面积</modifiedWord>
      <trackRevisions xmlns="http://schemas.wps.cn/vas-ai-hub/contract-review">false</trackRevisions>
    </reviewItem>
    <reviewItem xmlns="http://schemas.wps.cn/vas-ai-hub/contract-review">
      <errorID xmlns="http://schemas.wps.cn/vas-ai-hub/contract-review">3770bf2a-d8b0-4d16-9864-ed3c45c7f05c</errorID>
      <errorWord xmlns="http://schemas.wps.cn/vas-ai-hub/contract-review">建筑面积</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筑面积</item>
      </candidateList>
      <explain xmlns="http://schemas.wps.cn/vas-ai-hub/contract-review"/>
      <paraID xmlns="http://schemas.wps.cn/vas-ai-hub/contract-review">1290CBB7</paraID>
      <start xmlns="http://schemas.wps.cn/vas-ai-hub/contract-review">7</start>
      <end xmlns="http://schemas.wps.cn/vas-ai-hub/contract-review">10</end>
      <status xmlns="http://schemas.wps.cn/vas-ai-hub/contract-review">modified</status>
      <modifiedWord xmlns="http://schemas.wps.cn/vas-ai-hub/contract-review">筑面积</modifiedWord>
      <trackRevisions xmlns="http://schemas.wps.cn/vas-ai-hub/contract-review">false</trackRevisions>
    </reviewItem>
    <reviewItem xmlns="http://schemas.wps.cn/vas-ai-hub/contract-review">
      <errorID xmlns="http://schemas.wps.cn/vas-ai-hub/contract-review">9e48b960-f3bb-4d3c-834f-e4454680d87c</errorID>
      <errorWord xmlns="http://schemas.wps.cn/vas-ai-hub/contract-review">建筑面积</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筑面积</item>
      </candidateList>
      <explain xmlns="http://schemas.wps.cn/vas-ai-hub/contract-review"/>
      <paraID xmlns="http://schemas.wps.cn/vas-ai-hub/contract-review">2C65DDF1</paraID>
      <start xmlns="http://schemas.wps.cn/vas-ai-hub/contract-review">7</start>
      <end xmlns="http://schemas.wps.cn/vas-ai-hub/contract-review">10</end>
      <status xmlns="http://schemas.wps.cn/vas-ai-hub/contract-review">modified</status>
      <modifiedWord xmlns="http://schemas.wps.cn/vas-ai-hub/contract-review">筑面积</modifiedWord>
      <trackRevisions xmlns="http://schemas.wps.cn/vas-ai-hub/contract-review">false</trackRevisions>
    </reviewItem>
    <reviewItem xmlns="http://schemas.wps.cn/vas-ai-hub/contract-review">
      <errorID xmlns="http://schemas.wps.cn/vas-ai-hub/contract-review">771fe1c9-5bc2-4428-b1ae-2714b462392a</errorID>
      <errorWord xmlns="http://schemas.wps.cn/vas-ai-hub/contract-review">拋光</errorWord>
      <group xmlns="http://schemas.wps.cn/vas-ai-hub/contract-review">L1_Word</group>
      <groupName xmlns="http://schemas.wps.cn/vas-ai-hub/contract-review">字词问题</groupName>
      <ability xmlns="http://schemas.wps.cn/vas-ai-hub/contract-review">L2_Fanti</ability>
      <abilityName xmlns="http://schemas.wps.cn/vas-ai-hub/contract-review">繁转简</abilityName>
      <candidateList xmlns="http://schemas.wps.cn/vas-ai-hub/contract-review">
        <item xmlns="http://schemas.wps.cn/vas-ai-hub/contract-review">抛光</item>
      </candidateList>
      <explain xmlns="http://schemas.wps.cn/vas-ai-hub/contract-review"/>
      <paraID xmlns="http://schemas.wps.cn/vas-ai-hub/contract-review">2C65DDF1</paraID>
      <start xmlns="http://schemas.wps.cn/vas-ai-hub/contract-review">23</start>
      <end xmlns="http://schemas.wps.cn/vas-ai-hub/contract-review">25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2028c9b3-b3ac-4cf6-8ab1-b83fcf36a499</errorID>
      <errorWord xmlns="http://schemas.wps.cn/vas-ai-hub/contract-review">建筑面积</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筑面积</item>
      </candidateList>
      <explain xmlns="http://schemas.wps.cn/vas-ai-hub/contract-review"/>
      <paraID xmlns="http://schemas.wps.cn/vas-ai-hub/contract-review"> C830610</paraID>
      <start xmlns="http://schemas.wps.cn/vas-ai-hub/contract-review">7</start>
      <end xmlns="http://schemas.wps.cn/vas-ai-hub/contract-review">10</end>
      <status xmlns="http://schemas.wps.cn/vas-ai-hub/contract-review">modified</status>
      <modifiedWord xmlns="http://schemas.wps.cn/vas-ai-hub/contract-review">筑面积</modifiedWord>
      <trackRevisions xmlns="http://schemas.wps.cn/vas-ai-hub/contract-review">false</trackRevisions>
    </reviewItem>
    <reviewItem xmlns="http://schemas.wps.cn/vas-ai-hub/contract-review">
      <errorID xmlns="http://schemas.wps.cn/vas-ai-hub/contract-review">24060336-43b8-4d21-9954-4dbafcdd264f</errorID>
      <errorWord xmlns="http://schemas.wps.cn/vas-ai-hub/contract-review">拋光</errorWord>
      <group xmlns="http://schemas.wps.cn/vas-ai-hub/contract-review">L1_Word</group>
      <groupName xmlns="http://schemas.wps.cn/vas-ai-hub/contract-review">字词问题</groupName>
      <ability xmlns="http://schemas.wps.cn/vas-ai-hub/contract-review">L2_Fanti</ability>
      <abilityName xmlns="http://schemas.wps.cn/vas-ai-hub/contract-review">繁转简</abilityName>
      <candidateList xmlns="http://schemas.wps.cn/vas-ai-hub/contract-review">
        <item xmlns="http://schemas.wps.cn/vas-ai-hub/contract-review">抛光</item>
      </candidateList>
      <explain xmlns="http://schemas.wps.cn/vas-ai-hub/contract-review"/>
      <paraID xmlns="http://schemas.wps.cn/vas-ai-hub/contract-review"> C830610</paraID>
      <start xmlns="http://schemas.wps.cn/vas-ai-hub/contract-review">23</start>
      <end xmlns="http://schemas.wps.cn/vas-ai-hub/contract-review">25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26f83b77-38a6-4a5d-996e-77530ad57717</errorID>
      <errorWord xmlns="http://schemas.wps.cn/vas-ai-hub/contract-review">建建筑面积</errorWord>
      <group xmlns="http://schemas.wps.cn/vas-ai-hub/contract-review">L1_Knowledge</group>
      <groupName xmlns="http://schemas.wps.cn/vas-ai-hub/contract-review">知识性问题</groupName>
      <ability xmlns="http://schemas.wps.cn/vas-ai-hub/contract-review">L2_Term</ability>
      <abilityName xmlns="http://schemas.wps.cn/vas-ai-hub/contract-review">专业术语</abilityName>
      <candidateList xmlns="http://schemas.wps.cn/vas-ai-hub/contract-review">
        <item xmlns="http://schemas.wps.cn/vas-ai-hub/contract-review">总建筑面积</item>
      </candidateList>
      <explain xmlns="http://schemas.wps.cn/vas-ai-hub/contract-review"/>
      <paraID xmlns="http://schemas.wps.cn/vas-ai-hub/contract-review"> 3DEA3BB</paraID>
      <start xmlns="http://schemas.wps.cn/vas-ai-hub/contract-review">6</start>
      <end xmlns="http://schemas.wps.cn/vas-ai-hub/contract-review">11</end>
      <status xmlns="http://schemas.wps.cn/vas-ai-hub/contract-review">modified</status>
      <modifiedWord xmlns="http://schemas.wps.cn/vas-ai-hub/contract-review">总建筑面积</modifiedWord>
      <trackRevisions xmlns="http://schemas.wps.cn/vas-ai-hub/contract-review">false</trackRevisions>
    </reviewItem>
    <reviewItem xmlns="http://schemas.wps.cn/vas-ai-hub/contract-review">
      <errorID xmlns="http://schemas.wps.cn/vas-ai-hub/contract-review">4dd943c0-bb40-440f-bf95-537ca25d0aac</errorID>
      <errorWord xmlns="http://schemas.wps.cn/vas-ai-hub/contract-review">建建筑面积</errorWord>
      <group xmlns="http://schemas.wps.cn/vas-ai-hub/contract-review">L1_Knowledge</group>
      <groupName xmlns="http://schemas.wps.cn/vas-ai-hub/contract-review">知识性问题</groupName>
      <ability xmlns="http://schemas.wps.cn/vas-ai-hub/contract-review">L2_Term</ability>
      <abilityName xmlns="http://schemas.wps.cn/vas-ai-hub/contract-review">专业术语</abilityName>
      <candidateList xmlns="http://schemas.wps.cn/vas-ai-hub/contract-review">
        <item xmlns="http://schemas.wps.cn/vas-ai-hub/contract-review">总建筑面积</item>
      </candidateList>
      <explain xmlns="http://schemas.wps.cn/vas-ai-hub/contract-review"/>
      <paraID xmlns="http://schemas.wps.cn/vas-ai-hub/contract-review">6253D3F6</paraID>
      <start xmlns="http://schemas.wps.cn/vas-ai-hub/contract-review">6</start>
      <end xmlns="http://schemas.wps.cn/vas-ai-hub/contract-review">11</end>
      <status xmlns="http://schemas.wps.cn/vas-ai-hub/contract-review">modified</status>
      <modifiedWord xmlns="http://schemas.wps.cn/vas-ai-hub/contract-review">总建筑面积</modifiedWord>
      <trackRevisions xmlns="http://schemas.wps.cn/vas-ai-hub/contract-review">false</trackRevisions>
    </reviewItem>
    <reviewItem xmlns="http://schemas.wps.cn/vas-ai-hub/contract-review">
      <errorID xmlns="http://schemas.wps.cn/vas-ai-hub/contract-review">bf610ded-57ae-49c1-826f-c1c6723a6576</errorID>
      <errorWord xmlns="http://schemas.wps.cn/vas-ai-hub/contract-review">达</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达到</item>
      </candidateList>
      <explain xmlns="http://schemas.wps.cn/vas-ai-hub/contract-review">〈动〉到（多指抽象事物或程度）：达得到｜达不到｜目的没有～｜～国际水平。</explain>
      <paraID xmlns="http://schemas.wps.cn/vas-ai-hub/contract-review">57D7A63F</paraID>
      <start xmlns="http://schemas.wps.cn/vas-ai-hub/contract-review">13</start>
      <end xmlns="http://schemas.wps.cn/vas-ai-hub/contract-review">15</end>
      <status xmlns="http://schemas.wps.cn/vas-ai-hub/contract-review">modified</status>
      <modifiedWord xmlns="http://schemas.wps.cn/vas-ai-hub/contract-review">达到</modifiedWord>
      <trackRevisions xmlns="http://schemas.wps.cn/vas-ai-hub/contract-review">false</trackRevisions>
    </reviewItem>
    <reviewItem xmlns="http://schemas.wps.cn/vas-ai-hub/contract-review">
      <errorID xmlns="http://schemas.wps.cn/vas-ai-hub/contract-review">040f9958-ec9d-42f1-86e5-5957d80772b0</errorID>
      <errorWord xmlns="http://schemas.wps.cn/vas-ai-hub/contract-review">达</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达到</item>
      </candidateList>
      <explain xmlns="http://schemas.wps.cn/vas-ai-hub/contract-review">〈动〉到（多指抽象事物或程度）：达得到｜达不到｜目的没有～｜～国际水平。</explain>
      <paraID xmlns="http://schemas.wps.cn/vas-ai-hub/contract-review">5EF5486C</paraID>
      <start xmlns="http://schemas.wps.cn/vas-ai-hub/contract-review">13</start>
      <end xmlns="http://schemas.wps.cn/vas-ai-hub/contract-review">15</end>
      <status xmlns="http://schemas.wps.cn/vas-ai-hub/contract-review">modified</status>
      <modifiedWord xmlns="http://schemas.wps.cn/vas-ai-hub/contract-review">达到</modifiedWord>
      <trackRevisions xmlns="http://schemas.wps.cn/vas-ai-hub/contract-review">false</trackRevisions>
    </reviewItem>
    <reviewItem xmlns="http://schemas.wps.cn/vas-ai-hub/contract-review">
      <errorID xmlns="http://schemas.wps.cn/vas-ai-hub/contract-review">06ac1dc1-b1b8-4011-9d0c-cb0948518f5e</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4D1E5AF9</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06ce51e1-545e-4ba9-b11a-8e0f771a16c8</errorID>
      <errorWord xmlns="http://schemas.wps.cn/vas-ai-hub/contract-review">见</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见下</item>
      </candidateList>
      <explain xmlns="http://schemas.wps.cn/vas-ai-hub/contract-review"/>
      <paraID xmlns="http://schemas.wps.cn/vas-ai-hub/contract-review">43FFC39D</paraID>
      <start xmlns="http://schemas.wps.cn/vas-ai-hub/contract-review">21</start>
      <end xmlns="http://schemas.wps.cn/vas-ai-hub/contract-review">23</end>
      <status xmlns="http://schemas.wps.cn/vas-ai-hub/contract-review">modified</status>
      <modifiedWord xmlns="http://schemas.wps.cn/vas-ai-hub/contract-review">见下</modifiedWord>
      <trackRevisions xmlns="http://schemas.wps.cn/vas-ai-hub/contract-review">false</trackRevisions>
    </reviewItem>
    <reviewItem xmlns="http://schemas.wps.cn/vas-ai-hub/contract-review">
      <errorID xmlns="http://schemas.wps.cn/vas-ai-hub/contract-review">ca50aee1-ecec-46fb-91d8-cb17394a6532</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2A433520</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20631607-7769-4757-b24d-848ce04c16aa</errorID>
      <errorWord xmlns="http://schemas.wps.cn/vas-ai-hub/contract-review">在在</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在</item>
      </candidateList>
      <explain xmlns="http://schemas.wps.cn/vas-ai-hub/contract-review">❶〈动〉存在；生存：精神永～｜留得青山～，不怕没柴烧｜父母都～。❷〈动〉表示人或事物的位置：我今天晚上不～厂里｜你的钢笔～桌子上呢。❸〈动〉留在：～职｜～位。❹〈动〉参加（某团体）；属于（某团体）：～党｜～组织。❺〈动〉在于；决定于：事～人为｜学习好，主要～自己努力。❻“在”和“所”连用，表示强调，下面多连“不”：～所不辞｜～所不惜｜～所不计｜～所难免。</explain>
      <paraID xmlns="http://schemas.wps.cn/vas-ai-hub/contract-review">1B2EA526</paraID>
      <start xmlns="http://schemas.wps.cn/vas-ai-hub/contract-review">188</start>
      <end xmlns="http://schemas.wps.cn/vas-ai-hub/contract-review">189</end>
      <status xmlns="http://schemas.wps.cn/vas-ai-hub/contract-review">modified</status>
      <modifiedWord xmlns="http://schemas.wps.cn/vas-ai-hub/contract-review">在</modifiedWord>
      <trackRevisions xmlns="http://schemas.wps.cn/vas-ai-hub/contract-review">false</trackRevisions>
    </reviewItem>
    <reviewItem xmlns="http://schemas.wps.cn/vas-ai-hub/contract-review">
      <errorID xmlns="http://schemas.wps.cn/vas-ai-hub/contract-review">f9fb330a-479b-4c64-940f-5e4361c7ef5e</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168FAAA4</paraID>
      <start xmlns="http://schemas.wps.cn/vas-ai-hub/contract-review">77</start>
      <end xmlns="http://schemas.wps.cn/vas-ai-hub/contract-review">78</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f79789d9-d958-41c5-9761-e85239e08c12</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168FAAA4</paraID>
      <start xmlns="http://schemas.wps.cn/vas-ai-hub/contract-review">87</start>
      <end xmlns="http://schemas.wps.cn/vas-ai-hub/contract-review">88</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9478bca4-fa5c-4f76-b4d4-12c0751d0f68</errorID>
      <errorWord xmlns="http://schemas.wps.cn/vas-ai-hub/contract-review">5、</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5.</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1C34D274</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83e8e80a-73b8-4481-812b-dec86d244bb3</errorID>
      <errorWord xmlns="http://schemas.wps.cn/vas-ai-hub/contract-review">10%-17%</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10%—17%</item>
      </candidateList>
      <explain xmlns="http://schemas.wps.cn/vas-ai-hub/contract-review">1. “10%-17%”中的单位“%”仅出现在后一个数字上，容易引起歧义；根据《现代汉语标点符号数字用法规范手册》，数字表示范围两边需要使用统一的格式。2. 根据标点国标 4.13 中的规则，数字、时间或地域连接符应使用（视觉上更长的）“—”或“～”。</explain>
      <paraID xmlns="http://schemas.wps.cn/vas-ai-hub/contract-review"> 890858C</paraID>
      <start xmlns="http://schemas.wps.cn/vas-ai-hub/contract-review">8</start>
      <end xmlns="http://schemas.wps.cn/vas-ai-hub/contract-review">15</end>
      <status xmlns="http://schemas.wps.cn/vas-ai-hub/contract-review">modified</status>
      <modifiedWord xmlns="http://schemas.wps.cn/vas-ai-hub/contract-review">10%—17%</modifiedWord>
      <trackRevisions xmlns="http://schemas.wps.cn/vas-ai-hub/contract-review">false</trackRevisions>
    </reviewItem>
    <reviewItem xmlns="http://schemas.wps.cn/vas-ai-hub/contract-review">
      <errorID xmlns="http://schemas.wps.cn/vas-ai-hub/contract-review">dd300404-4f6e-4681-b8d1-25cc331a9252</errorID>
      <errorWord xmlns="http://schemas.wps.cn/vas-ai-hub/contract-review">拋光</errorWord>
      <group xmlns="http://schemas.wps.cn/vas-ai-hub/contract-review">L1_Word</group>
      <groupName xmlns="http://schemas.wps.cn/vas-ai-hub/contract-review">字词问题</groupName>
      <ability xmlns="http://schemas.wps.cn/vas-ai-hub/contract-review">L2_Fanti</ability>
      <abilityName xmlns="http://schemas.wps.cn/vas-ai-hub/contract-review">繁转简</abilityName>
      <candidateList xmlns="http://schemas.wps.cn/vas-ai-hub/contract-review">
        <item xmlns="http://schemas.wps.cn/vas-ai-hub/contract-review">抛光</item>
      </candidateList>
      <explain xmlns="http://schemas.wps.cn/vas-ai-hub/contract-review"/>
      <paraID xmlns="http://schemas.wps.cn/vas-ai-hub/contract-review">5EF32F1A</paraID>
      <start xmlns="http://schemas.wps.cn/vas-ai-hub/contract-review">4</start>
      <end xmlns="http://schemas.wps.cn/vas-ai-hub/contract-review">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a1800554-cd8e-41d5-bc4c-45b8b94b8d46</errorID>
      <errorWord xmlns="http://schemas.wps.cn/vas-ai-hub/contract-review">-次</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一次</item>
      </candidateList>
      <explain xmlns="http://schemas.wps.cn/vas-ai-hub/contract-review"/>
      <paraID xmlns="http://schemas.wps.cn/vas-ai-hub/contract-review">3CD4E023</paraID>
      <start xmlns="http://schemas.wps.cn/vas-ai-hub/contract-review">197</start>
      <end xmlns="http://schemas.wps.cn/vas-ai-hub/contract-review">199</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ee9db0fc-d693-4689-adf8-c6bff07f1d1d</errorID>
      <errorWord xmlns="http://schemas.wps.cn/vas-ai-hub/contract-review">拋光</errorWord>
      <group xmlns="http://schemas.wps.cn/vas-ai-hub/contract-review">L1_Word</group>
      <groupName xmlns="http://schemas.wps.cn/vas-ai-hub/contract-review">字词问题</groupName>
      <ability xmlns="http://schemas.wps.cn/vas-ai-hub/contract-review">L2_Fanti</ability>
      <abilityName xmlns="http://schemas.wps.cn/vas-ai-hub/contract-review">繁转简</abilityName>
      <candidateList xmlns="http://schemas.wps.cn/vas-ai-hub/contract-review">
        <item xmlns="http://schemas.wps.cn/vas-ai-hub/contract-review">抛光</item>
      </candidateList>
      <explain xmlns="http://schemas.wps.cn/vas-ai-hub/contract-review"/>
      <paraID xmlns="http://schemas.wps.cn/vas-ai-hub/contract-review">5A882122</paraID>
      <start xmlns="http://schemas.wps.cn/vas-ai-hub/contract-review">4</start>
      <end xmlns="http://schemas.wps.cn/vas-ai-hub/contract-review">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b6471ff4-c9a5-48e8-a485-4749458c02dd</errorID>
      <errorWord xmlns="http://schemas.wps.cn/vas-ai-hub/contract-review">0.5%~5%</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0.5%～5%</item>
      </candidateList>
      <explain xmlns="http://schemas.wps.cn/vas-ai-hub/contract-review">1. “0.5%~5%”中的单位“%”仅出现在后一个数字上，容易引起歧义；根据《现代汉语标点符号数字用法规范手册》，数字表示范围两边需要使用统一的格式。2. 根据标点国标 4.13 中的规则，数字、时间或地域连接符应使用（视觉上更长的）“—”或“～”。</explain>
      <paraID xmlns="http://schemas.wps.cn/vas-ai-hub/contract-review">4CEC6588</paraID>
      <start xmlns="http://schemas.wps.cn/vas-ai-hub/contract-review">182</start>
      <end xmlns="http://schemas.wps.cn/vas-ai-hub/contract-review">189</end>
      <status xmlns="http://schemas.wps.cn/vas-ai-hub/contract-review">modified</status>
      <modifiedWord xmlns="http://schemas.wps.cn/vas-ai-hub/contract-review">0.5%～5%</modifiedWord>
      <trackRevisions xmlns="http://schemas.wps.cn/vas-ai-hub/contract-review">false</trackRevisions>
    </reviewItem>
    <reviewItem xmlns="http://schemas.wps.cn/vas-ai-hub/contract-review">
      <errorID xmlns="http://schemas.wps.cn/vas-ai-hub/contract-review">507330ce-243a-431b-b7b1-97ef6cbbb526</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4CEC6588</paraID>
      <start xmlns="http://schemas.wps.cn/vas-ai-hub/contract-review">203</start>
      <end xmlns="http://schemas.wps.cn/vas-ai-hub/contract-review">204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55dece69-a075-4452-b68d-e1f090325112</errorID>
      <errorWord xmlns="http://schemas.wps.cn/vas-ai-hub/contract-review">20%~50%</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20%～50%</item>
      </candidateList>
      <explain xmlns="http://schemas.wps.cn/vas-ai-hub/contract-review">1. “20%~50%”中的单位“%”仅出现在后一个数字上，容易引起歧义；根据《现代汉语标点符号数字用法规范手册》，数字表示范围两边需要使用统一的格式。2. 根据标点国标 4.13 中的规则，数字、时间或地域连接符应使用（视觉上更长的）“—”或“～”。</explain>
      <paraID xmlns="http://schemas.wps.cn/vas-ai-hub/contract-review">4CEC6588</paraID>
      <start xmlns="http://schemas.wps.cn/vas-ai-hub/contract-review">210</start>
      <end xmlns="http://schemas.wps.cn/vas-ai-hub/contract-review">217</end>
      <status xmlns="http://schemas.wps.cn/vas-ai-hub/contract-review">modified</status>
      <modifiedWord xmlns="http://schemas.wps.cn/vas-ai-hub/contract-review">20%～50%</modifiedWord>
      <trackRevisions xmlns="http://schemas.wps.cn/vas-ai-hub/contract-review">false</trackRevisions>
    </reviewItem>
    <reviewItem xmlns="http://schemas.wps.cn/vas-ai-hub/contract-review">
      <errorID xmlns="http://schemas.wps.cn/vas-ai-hub/contract-review">06ea787f-4b0a-49c0-8342-3d7e881940db</errorID>
      <errorWord xmlns="http://schemas.wps.cn/vas-ai-hub/contract-review">混浊</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浑浊</item>
      </candidateList>
      <explain xmlns="http://schemas.wps.cn/vas-ai-hub/contract-review">存在发音相同字词的误用。</explain>
      <paraID xmlns="http://schemas.wps.cn/vas-ai-hub/contract-review">21D80E9E</paraID>
      <start xmlns="http://schemas.wps.cn/vas-ai-hub/contract-review">53</start>
      <end xmlns="http://schemas.wps.cn/vas-ai-hub/contract-review">55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7423b3d8-287c-4f4e-9f90-be12cbaf04ed</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21D80E9E</paraID>
      <start xmlns="http://schemas.wps.cn/vas-ai-hub/contract-review">81</start>
      <end xmlns="http://schemas.wps.cn/vas-ai-hub/contract-review">82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d6cbe98c-d68e-41c7-a441-dbd4be1d9f31</errorID>
      <errorWord xmlns="http://schemas.wps.cn/vas-ai-hub/contract-review">10-30%</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10%—30%</item>
      </candidateList>
      <explain xmlns="http://schemas.wps.cn/vas-ai-hub/contract-review">1. “10-30%”中的单位“%”仅出现在后一个数字上，容易引起歧义；根据《现代汉语标点符号数字用法规范手册》，数字表示范围两边需要使用统一的格式。2. 根据标点国标 4.13 中的规则，数字、时间或地域连接符应使用（视觉上更长的）“—”或“～”。</explain>
      <paraID xmlns="http://schemas.wps.cn/vas-ai-hub/contract-review">47706793</paraID>
      <start xmlns="http://schemas.wps.cn/vas-ai-hub/contract-review">44</start>
      <end xmlns="http://schemas.wps.cn/vas-ai-hub/contract-review">51</end>
      <status xmlns="http://schemas.wps.cn/vas-ai-hub/contract-review">modified</status>
      <modifiedWord xmlns="http://schemas.wps.cn/vas-ai-hub/contract-review">10%—30%</modifiedWord>
      <trackRevisions xmlns="http://schemas.wps.cn/vas-ai-hub/contract-review">false</trackRevisions>
    </reviewItem>
    <reviewItem xmlns="http://schemas.wps.cn/vas-ai-hub/contract-review">
      <errorID xmlns="http://schemas.wps.cn/vas-ai-hub/contract-review">11370c15-4455-4ee9-b351-f176e42e2992</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4.13.3.2节，标识相关项目（如时间、地域等）的起止，以及标识数值范围（由阿拉伯数字或汉字数字构成）的起止时，一般用一字线或长浪纹线。如“25～30g”“2011年2月3日—10日”。</explain>
      <paraID xmlns="http://schemas.wps.cn/vas-ai-hub/contract-review">47706793</paraID>
      <start xmlns="http://schemas.wps.cn/vas-ai-hub/contract-review">59</start>
      <end xmlns="http://schemas.wps.cn/vas-ai-hub/contract-review">60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4a3be635-4db0-48a2-be29-beac9c32a4a7</errorID>
      <errorWord xmlns="http://schemas.wps.cn/vas-ai-hub/contract-review">（2025）9号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〔2025〕9号</item>
      </candidateList>
      <explain xmlns="http://schemas.wps.cn/vas-ai-hub/contract-review">发文字号格式错误。</explain>
      <paraID xmlns="http://schemas.wps.cn/vas-ai-hub/contract-review">26589D7B</paraID>
      <start xmlns="http://schemas.wps.cn/vas-ai-hub/contract-review">107</start>
      <end xmlns="http://schemas.wps.cn/vas-ai-hub/contract-review">115</end>
      <status xmlns="http://schemas.wps.cn/vas-ai-hub/contract-review">modified</status>
      <modifiedWord xmlns="http://schemas.wps.cn/vas-ai-hub/contract-review">〔2025〕9号</modifiedWord>
      <trackRevisions xmlns="http://schemas.wps.cn/vas-ai-hub/contract-review">false</trackRevisions>
    </reviewItem>
    <reviewItem xmlns="http://schemas.wps.cn/vas-ai-hub/contract-review">
      <errorID xmlns="http://schemas.wps.cn/vas-ai-hub/contract-review">23c5a2c3-e0e5-422d-8de0-e54f9ccabccc</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26589D7B</paraID>
      <start xmlns="http://schemas.wps.cn/vas-ai-hub/contract-review">191</start>
      <end xmlns="http://schemas.wps.cn/vas-ai-hub/contract-review">192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f27a1658-c609-4311-a609-a375a726d2a8</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4DB85CE</paraID>
      <start xmlns="http://schemas.wps.cn/vas-ai-hub/contract-review">33</start>
      <end xmlns="http://schemas.wps.cn/vas-ai-hub/contract-review">34</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b06d4afc-81ff-433b-80cc-2df23aa91163</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2BF5FE4B</paraID>
      <start xmlns="http://schemas.wps.cn/vas-ai-hub/contract-review">34</start>
      <end xmlns="http://schemas.wps.cn/vas-ai-hub/contract-review">35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69d58ee1-8886-4929-8fb2-0fa82ec6e6ed</errorID>
      <errorWord xmlns="http://schemas.wps.cn/vas-ai-hub/contract-review">6、</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6.</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7BCE2C14</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4e32d2e2-95b8-42b5-b0e2-034c85e4ac60</errorID>
      <errorWord xmlns="http://schemas.wps.cn/vas-ai-hub/contract-review">拋光</errorWord>
      <group xmlns="http://schemas.wps.cn/vas-ai-hub/contract-review">L1_Word</group>
      <groupName xmlns="http://schemas.wps.cn/vas-ai-hub/contract-review">字词问题</groupName>
      <ability xmlns="http://schemas.wps.cn/vas-ai-hub/contract-review">L2_Fanti</ability>
      <abilityName xmlns="http://schemas.wps.cn/vas-ai-hub/contract-review">繁转简</abilityName>
      <candidateList xmlns="http://schemas.wps.cn/vas-ai-hub/contract-review">
        <item xmlns="http://schemas.wps.cn/vas-ai-hub/contract-review">抛光</item>
      </candidateList>
      <explain xmlns="http://schemas.wps.cn/vas-ai-hub/contract-review"/>
      <paraID xmlns="http://schemas.wps.cn/vas-ai-hub/contract-review">18236AA0</paraID>
      <start xmlns="http://schemas.wps.cn/vas-ai-hub/contract-review">78</start>
      <end xmlns="http://schemas.wps.cn/vas-ai-hub/contract-review">80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a290f4e9-5eba-4725-9e7f-71322e165711</errorID>
      <errorWord xmlns="http://schemas.wps.cn/vas-ai-hub/contract-review">拋光</errorWord>
      <group xmlns="http://schemas.wps.cn/vas-ai-hub/contract-review">L1_Word</group>
      <groupName xmlns="http://schemas.wps.cn/vas-ai-hub/contract-review">字词问题</groupName>
      <ability xmlns="http://schemas.wps.cn/vas-ai-hub/contract-review">L2_Fanti</ability>
      <abilityName xmlns="http://schemas.wps.cn/vas-ai-hub/contract-review">繁转简</abilityName>
      <candidateList xmlns="http://schemas.wps.cn/vas-ai-hub/contract-review">
        <item xmlns="http://schemas.wps.cn/vas-ai-hub/contract-review">抛光</item>
      </candidateList>
      <explain xmlns="http://schemas.wps.cn/vas-ai-hub/contract-review"/>
      <paraID xmlns="http://schemas.wps.cn/vas-ai-hub/contract-review">18236AA0</paraID>
      <start xmlns="http://schemas.wps.cn/vas-ai-hub/contract-review">112</start>
      <end xmlns="http://schemas.wps.cn/vas-ai-hub/contract-review">114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2d7d4de6-a931-4df9-8fb7-110da7d9ad49</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18236AA0</paraID>
      <start xmlns="http://schemas.wps.cn/vas-ai-hub/contract-review">150</start>
      <end xmlns="http://schemas.wps.cn/vas-ai-hub/contract-review">151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beda34c9-6844-4dfc-9034-7800cc4ae840</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18236AA0</paraID>
      <start xmlns="http://schemas.wps.cn/vas-ai-hub/contract-review">300</start>
      <end xmlns="http://schemas.wps.cn/vas-ai-hub/contract-review">301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a9dff776-721c-487c-b615-a30f8a3fbb8c</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18236AA0</paraID>
      <start xmlns="http://schemas.wps.cn/vas-ai-hub/contract-review">316</start>
      <end xmlns="http://schemas.wps.cn/vas-ai-hub/contract-review">317</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a9fb4f86-1c9e-4566-ad6c-a1bc27c5c22d</errorID>
      <errorWord xmlns="http://schemas.wps.cn/vas-ai-hub/contract-review">接受</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接收</item>
      </candidateList>
      <explain xmlns="http://schemas.wps.cn/vas-ai-hub/contract-review">存在发音相同字词的误用。</explain>
      <paraID xmlns="http://schemas.wps.cn/vas-ai-hub/contract-review">68A4CDA8</paraID>
      <start xmlns="http://schemas.wps.cn/vas-ai-hub/contract-review">17</start>
      <end xmlns="http://schemas.wps.cn/vas-ai-hub/contract-review">19</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010831fb-2023-44ea-804c-0663f83fcb9e</errorID>
      <errorWord xmlns="http://schemas.wps.cn/vas-ai-hub/contract-review">渣中</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渣</item>
      </candidateList>
      <explain xmlns="http://schemas.wps.cn/vas-ai-hub/contract-review"/>
      <paraID xmlns="http://schemas.wps.cn/vas-ai-hub/contract-review"> B557111</paraID>
      <start xmlns="http://schemas.wps.cn/vas-ai-hub/contract-review">183</start>
      <end xmlns="http://schemas.wps.cn/vas-ai-hub/contract-review">185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e9d2ab7b-e908-498c-b167-59c65860bef1</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5EAD5201</paraID>
      <start xmlns="http://schemas.wps.cn/vas-ai-hub/contract-review">3</start>
      <end xmlns="http://schemas.wps.cn/vas-ai-hub/contract-review">4</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0e486dcc-4660-4b2e-a95c-c5a1f6acec79</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5EAD5201</paraID>
      <start xmlns="http://schemas.wps.cn/vas-ai-hub/contract-review">7</start>
      <end xmlns="http://schemas.wps.cn/vas-ai-hub/contract-review">8</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85642a21-1653-430d-935e-8980ef2e4e66</errorID>
      <errorWord xmlns="http://schemas.wps.cn/vas-ai-hub/contract-review">场</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厂</item>
      </candidateList>
      <explain xmlns="http://schemas.wps.cn/vas-ai-hub/contract-review">存在发音相同字词的误用。</explain>
      <paraID xmlns="http://schemas.wps.cn/vas-ai-hub/contract-review"> D346BFB</paraID>
      <start xmlns="http://schemas.wps.cn/vas-ai-hub/contract-review">3</start>
      <end xmlns="http://schemas.wps.cn/vas-ai-hub/contract-review">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1e5e701e-9266-49e9-b8b3-1f9a4d8052b7</errorID>
      <errorWord xmlns="http://schemas.wps.cn/vas-ai-hub/contract-review">业</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业在</item>
      </candidateList>
      <explain xmlns="http://schemas.wps.cn/vas-ai-hub/contract-review"/>
      <paraID xmlns="http://schemas.wps.cn/vas-ai-hub/contract-review">2242BAC7</paraID>
      <start xmlns="http://schemas.wps.cn/vas-ai-hub/contract-review">1</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84396e09-20aa-4af0-ae72-81f0fea2beb0</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7506EDAE</paraID>
      <start xmlns="http://schemas.wps.cn/vas-ai-hub/contract-review">19</start>
      <end xmlns="http://schemas.wps.cn/vas-ai-hub/contract-review">20</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5c4cb372-29a8-43eb-8ffd-7de6a097934f</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6C42031F</paraID>
      <start xmlns="http://schemas.wps.cn/vas-ai-hub/contract-review">7</start>
      <end xmlns="http://schemas.wps.cn/vas-ai-hub/contract-review">10</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d8f8077f-1f16-4a58-9d57-134fe3e264e1</errorID>
      <errorWord xmlns="http://schemas.wps.cn/vas-ai-hub/contract-review">又车</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叉车</item>
      </candidateList>
      <explain xmlns="http://schemas.wps.cn/vas-ai-hub/contract-review">存在字形相近字词的误用。</explain>
      <paraID xmlns="http://schemas.wps.cn/vas-ai-hub/contract-review">34A0A247</paraID>
      <start xmlns="http://schemas.wps.cn/vas-ai-hub/contract-review">181</start>
      <end xmlns="http://schemas.wps.cn/vas-ai-hub/contract-review">183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f02291d0-f94f-412a-bdb1-3c2725115e7c</errorID>
      <errorWord xmlns="http://schemas.wps.cn/vas-ai-hub/contract-review">7、</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7.</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766F2630</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b5cea572-85a6-40fa-9d5f-3d02bf2c1b73</errorID>
      <errorWord xmlns="http://schemas.wps.cn/vas-ai-hub/contract-review">见</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见下</item>
      </candidateList>
      <explain xmlns="http://schemas.wps.cn/vas-ai-hub/contract-review"/>
      <paraID xmlns="http://schemas.wps.cn/vas-ai-hub/contract-review">494B9517</paraID>
      <start xmlns="http://schemas.wps.cn/vas-ai-hub/contract-review">9</start>
      <end xmlns="http://schemas.wps.cn/vas-ai-hub/contract-review">11</end>
      <status xmlns="http://schemas.wps.cn/vas-ai-hub/contract-review">modified</status>
      <modifiedWord xmlns="http://schemas.wps.cn/vas-ai-hub/contract-review">见下</modifiedWord>
      <trackRevisions xmlns="http://schemas.wps.cn/vas-ai-hub/contract-review">false</trackRevisions>
    </reviewItem>
    <reviewItem xmlns="http://schemas.wps.cn/vas-ai-hub/contract-review">
      <errorID xmlns="http://schemas.wps.cn/vas-ai-hub/contract-review">ee53f306-b2b7-4c2c-8840-3464e1b89115</errorID>
      <errorWord xmlns="http://schemas.wps.cn/vas-ai-hub/contract-review">称</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秤</item>
      </candidateList>
      <explain xmlns="http://schemas.wps.cn/vas-ai-hub/contract-review">存在发音相同字词的误用。</explain>
      <paraID xmlns="http://schemas.wps.cn/vas-ai-hub/contract-review">1BE9CAD4</paraID>
      <start xmlns="http://schemas.wps.cn/vas-ai-hub/contract-review">2</start>
      <end xmlns="http://schemas.wps.cn/vas-ai-hub/contract-review">3</end>
      <status xmlns="http://schemas.wps.cn/vas-ai-hub/contract-review">modified</status>
      <modifiedWord xmlns="http://schemas.wps.cn/vas-ai-hub/contract-review">秤</modifiedWord>
      <trackRevisions xmlns="http://schemas.wps.cn/vas-ai-hub/contract-review">false</trackRevisions>
    </reviewItem>
    <reviewItem xmlns="http://schemas.wps.cn/vas-ai-hub/contract-review">
      <errorID xmlns="http://schemas.wps.cn/vas-ai-hub/contract-review">447369af-8128-45e5-8d34-eade4b82de1c</errorID>
      <errorWord xmlns="http://schemas.wps.cn/vas-ai-hub/contract-review">称</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秤</item>
      </candidateList>
      <explain xmlns="http://schemas.wps.cn/vas-ai-hub/contract-review">存在发音相同字词的误用。</explain>
      <paraID xmlns="http://schemas.wps.cn/vas-ai-hub/contract-review"> 4A205CA</paraID>
      <start xmlns="http://schemas.wps.cn/vas-ai-hub/contract-review">2</start>
      <end xmlns="http://schemas.wps.cn/vas-ai-hub/contract-review">3</end>
      <status xmlns="http://schemas.wps.cn/vas-ai-hub/contract-review">modified</status>
      <modifiedWord xmlns="http://schemas.wps.cn/vas-ai-hub/contract-review">秤</modifiedWord>
      <trackRevisions xmlns="http://schemas.wps.cn/vas-ai-hub/contract-review">false</trackRevisions>
    </reviewItem>
    <reviewItem xmlns="http://schemas.wps.cn/vas-ai-hub/contract-review">
      <errorID xmlns="http://schemas.wps.cn/vas-ai-hub/contract-review">d07f641a-e936-40bd-9234-870fdb7bd01a</errorID>
      <errorWord xmlns="http://schemas.wps.cn/vas-ai-hub/contract-review">8、</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8.</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68C0A073</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893ea872-0e61-4873-8336-bbe9032c25cc</errorID>
      <errorWord xmlns="http://schemas.wps.cn/vas-ai-hub/contract-review">9、</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9.</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5B98225E</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5a7e269e-68d2-4c81-b2ea-09a561ff1f44</errorID>
      <errorWord xmlns="http://schemas.wps.cn/vas-ai-hub/contract-review">10、</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10.</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70EE9F26</paraID>
      <start xmlns="http://schemas.wps.cn/vas-ai-hub/contract-review">0</start>
      <end xmlns="http://schemas.wps.cn/vas-ai-hub/contract-review">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a8f47805-af58-4687-9a04-bbda2186758d</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4129EE69</paraID>
      <start xmlns="http://schemas.wps.cn/vas-ai-hub/contract-review">48</start>
      <end xmlns="http://schemas.wps.cn/vas-ai-hub/contract-review">49</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ad270048-4c72-4793-be7d-e14ac42b20f8</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4129EE69</paraID>
      <start xmlns="http://schemas.wps.cn/vas-ai-hub/contract-review">54</start>
      <end xmlns="http://schemas.wps.cn/vas-ai-hub/contract-review">55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1665e892-a91c-4614-80ed-f7183e69d4a0</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4129EE69</paraID>
      <start xmlns="http://schemas.wps.cn/vas-ai-hub/contract-review">72</start>
      <end xmlns="http://schemas.wps.cn/vas-ai-hub/contract-review">73</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c5908916-1c43-4166-a18e-4cb02f76af47</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4.13.3.2节，标识相关项目（如时间、地域等）的起止，以及标识数值范围（由阿拉伯数字或汉字数字构成）的起止时，一般用一字线或长浪纹线。如“25～30g”“2011年2月3日—10日”。</explain>
      <paraID xmlns="http://schemas.wps.cn/vas-ai-hub/contract-review">59E03B10</paraID>
      <start xmlns="http://schemas.wps.cn/vas-ai-hub/contract-review">273</start>
      <end xmlns="http://schemas.wps.cn/vas-ai-hub/contract-review">274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6a62df50-5b21-4655-80ee-a7fbc28cd3f7</errorID>
      <errorWord xmlns="http://schemas.wps.cn/vas-ai-hub/contract-review">达</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达到</item>
      </candidateList>
      <explain xmlns="http://schemas.wps.cn/vas-ai-hub/contract-review">〈动〉到（多指抽象事物或程度）：达得到｜达不到｜目的没有～｜～国际水平。</explain>
      <paraID xmlns="http://schemas.wps.cn/vas-ai-hub/contract-review">49AC0C25</paraID>
      <start xmlns="http://schemas.wps.cn/vas-ai-hub/contract-review">131</start>
      <end xmlns="http://schemas.wps.cn/vas-ai-hub/contract-review">133</end>
      <status xmlns="http://schemas.wps.cn/vas-ai-hub/contract-review">modified</status>
      <modifiedWord xmlns="http://schemas.wps.cn/vas-ai-hub/contract-review">达到</modifiedWord>
      <trackRevisions xmlns="http://schemas.wps.cn/vas-ai-hub/contract-review">false</trackRevisions>
    </reviewItem>
    <reviewItem xmlns="http://schemas.wps.cn/vas-ai-hub/contract-review">
      <errorID xmlns="http://schemas.wps.cn/vas-ai-hub/contract-review">ec0533ad-2e0d-4c64-a1d3-b2b97581b2f0</errorID>
      <errorWord xmlns="http://schemas.wps.cn/vas-ai-hub/contract-review">符合</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复合</item>
      </candidateList>
      <explain xmlns="http://schemas.wps.cn/vas-ai-hub/contract-review"/>
      <paraID xmlns="http://schemas.wps.cn/vas-ai-hub/contract-review">3BF19BD8</paraID>
      <start xmlns="http://schemas.wps.cn/vas-ai-hub/contract-review">2</start>
      <end xmlns="http://schemas.wps.cn/vas-ai-hub/contract-review">4</end>
      <status xmlns="http://schemas.wps.cn/vas-ai-hub/contract-review">modified</status>
      <modifiedWord xmlns="http://schemas.wps.cn/vas-ai-hub/contract-review">复合</modifiedWord>
      <trackRevisions xmlns="http://schemas.wps.cn/vas-ai-hub/contract-review">false</trackRevisions>
    </reviewItem>
    <reviewItem xmlns="http://schemas.wps.cn/vas-ai-hub/contract-review">
      <errorID xmlns="http://schemas.wps.cn/vas-ai-hub/contract-review">96b6d668-cf4b-458a-a283-a388835a91ad</errorID>
      <errorWord xmlns="http://schemas.wps.cn/vas-ai-hub/contract-review">达</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达到</item>
      </candidateList>
      <explain xmlns="http://schemas.wps.cn/vas-ai-hub/contract-review">〈动〉到（多指抽象事物或程度）：达得到｜达不到｜目的没有～｜～国际水平。</explain>
      <paraID xmlns="http://schemas.wps.cn/vas-ai-hub/contract-review">4C20FE43</paraID>
      <start xmlns="http://schemas.wps.cn/vas-ai-hub/contract-review">60</start>
      <end xmlns="http://schemas.wps.cn/vas-ai-hub/contract-review">62</end>
      <status xmlns="http://schemas.wps.cn/vas-ai-hub/contract-review">modified</status>
      <modifiedWord xmlns="http://schemas.wps.cn/vas-ai-hub/contract-review">达到</modifiedWord>
      <trackRevisions xmlns="http://schemas.wps.cn/vas-ai-hub/contract-review">false</trackRevisions>
    </reviewItem>
    <reviewItem xmlns="http://schemas.wps.cn/vas-ai-hub/contract-review">
      <errorID xmlns="http://schemas.wps.cn/vas-ai-hub/contract-review">0811e1bb-5182-4ad5-9b2a-8e9969f1a5a5</errorID>
      <errorWord xmlns="http://schemas.wps.cn/vas-ai-hub/contract-review">KW</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kW</item>
      </candidateList>
      <explain xmlns="http://schemas.wps.cn/vas-ai-hub/contract-review"/>
      <paraID xmlns="http://schemas.wps.cn/vas-ai-hub/contract-review"> C90B663</paraID>
      <start xmlns="http://schemas.wps.cn/vas-ai-hub/contract-review">21</start>
      <end xmlns="http://schemas.wps.cn/vas-ai-hub/contract-review">23</end>
      <status xmlns="http://schemas.wps.cn/vas-ai-hub/contract-review">modified</status>
      <modifiedWord xmlns="http://schemas.wps.cn/vas-ai-hub/contract-review">kW</modifiedWord>
      <trackRevisions xmlns="http://schemas.wps.cn/vas-ai-hub/contract-review">false</trackRevisions>
    </reviewItem>
    <reviewItem xmlns="http://schemas.wps.cn/vas-ai-hub/contract-review">
      <errorID xmlns="http://schemas.wps.cn/vas-ai-hub/contract-review">633bac96-ad6b-48ef-99ea-4e173857381f</errorID>
      <errorWord xmlns="http://schemas.wps.cn/vas-ai-hub/contract-review">制</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至</item>
      </candidateList>
      <explain xmlns="http://schemas.wps.cn/vas-ai-hub/contract-review">存在发音相同字词的误用。</explain>
      <paraID xmlns="http://schemas.wps.cn/vas-ai-hub/contract-review">27F612FE</paraID>
      <start xmlns="http://schemas.wps.cn/vas-ai-hub/contract-review">16</start>
      <end xmlns="http://schemas.wps.cn/vas-ai-hub/contract-review">17</end>
      <status xmlns="http://schemas.wps.cn/vas-ai-hub/contract-review">modified</status>
      <modifiedWord xmlns="http://schemas.wps.cn/vas-ai-hub/contract-review">至</modifiedWord>
      <trackRevisions xmlns="http://schemas.wps.cn/vas-ai-hub/contract-review">false</trackRevisions>
    </reviewItem>
    <reviewItem xmlns="http://schemas.wps.cn/vas-ai-hub/contract-review">
      <errorID xmlns="http://schemas.wps.cn/vas-ai-hub/contract-review">d32869c3-f976-47a9-8b38-8e35bb80e065</errorID>
      <errorWord xmlns="http://schemas.wps.cn/vas-ai-hub/contract-review">用</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用下</item>
      </candidateList>
      <explain xmlns="http://schemas.wps.cn/vas-ai-hub/contract-review"/>
      <paraID xmlns="http://schemas.wps.cn/vas-ai-hub/contract-review"> 1BD19B3</paraID>
      <start xmlns="http://schemas.wps.cn/vas-ai-hub/contract-review">46</start>
      <end xmlns="http://schemas.wps.cn/vas-ai-hub/contract-review">48</end>
      <status xmlns="http://schemas.wps.cn/vas-ai-hub/contract-review">modified</status>
      <modifiedWord xmlns="http://schemas.wps.cn/vas-ai-hub/contract-review">用下</modifiedWord>
      <trackRevisions xmlns="http://schemas.wps.cn/vas-ai-hub/contract-review">false</trackRevisions>
    </reviewItem>
    <reviewItem xmlns="http://schemas.wps.cn/vas-ai-hub/contract-review">
      <errorID xmlns="http://schemas.wps.cn/vas-ai-hub/contract-review">2972a2b6-cbf8-4226-a174-30de82b2e464</errorID>
      <errorWord xmlns="http://schemas.wps.cn/vas-ai-hub/contract-review">作</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作中</item>
      </candidateList>
      <explain xmlns="http://schemas.wps.cn/vas-ai-hub/contract-review"/>
      <paraID xmlns="http://schemas.wps.cn/vas-ai-hub/contract-review"> 1BD19B3</paraID>
      <start xmlns="http://schemas.wps.cn/vas-ai-hub/contract-review">119</start>
      <end xmlns="http://schemas.wps.cn/vas-ai-hub/contract-review">121</end>
      <status xmlns="http://schemas.wps.cn/vas-ai-hub/contract-review">modified</status>
      <modifiedWord xmlns="http://schemas.wps.cn/vas-ai-hub/contract-review">作中</modifiedWord>
      <trackRevisions xmlns="http://schemas.wps.cn/vas-ai-hub/contract-review">false</trackRevisions>
    </reviewItem>
    <reviewItem xmlns="http://schemas.wps.cn/vas-ai-hub/contract-review">
      <errorID xmlns="http://schemas.wps.cn/vas-ai-hub/contract-review">dd871208-89f7-473a-b174-a05cdccc9605</errorID>
      <errorWord xmlns="http://schemas.wps.cn/vas-ai-hub/contract-review">即是</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即</item>
      </candidateList>
      <explain xmlns="http://schemas.wps.cn/vas-ai-hub/contract-review">〈书〉❶就是：荷花～莲花｜非此～彼。❷〈副〉就；便：一触～发｜招之～来｜闻过～改。❸〈连〉即使：～无他方之支援，也能按期完成任务。参看733页“就2”。</explain>
      <paraID xmlns="http://schemas.wps.cn/vas-ai-hub/contract-review"> 1BD19B3</paraID>
      <start xmlns="http://schemas.wps.cn/vas-ai-hub/contract-review">194</start>
      <end xmlns="http://schemas.wps.cn/vas-ai-hub/contract-review">195</end>
      <status xmlns="http://schemas.wps.cn/vas-ai-hub/contract-review">modified</status>
      <modifiedWord xmlns="http://schemas.wps.cn/vas-ai-hub/contract-review">即</modifiedWord>
      <trackRevisions xmlns="http://schemas.wps.cn/vas-ai-hub/contract-review">false</trackRevisions>
    </reviewItem>
    <reviewItem xmlns="http://schemas.wps.cn/vas-ai-hub/contract-review">
      <errorID xmlns="http://schemas.wps.cn/vas-ai-hub/contract-review">4a0a9290-d4e6-4fe9-8455-dade489b629b</errorID>
      <errorWord xmlns="http://schemas.wps.cn/vas-ai-hub/contract-review">震动筛选</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振动筛选</item>
      </candidateList>
      <explain xmlns="http://schemas.wps.cn/vas-ai-hub/contract-review"/>
      <paraID xmlns="http://schemas.wps.cn/vas-ai-hub/contract-review"> 1BD19B3</paraID>
      <start xmlns="http://schemas.wps.cn/vas-ai-hub/contract-review">314</start>
      <end xmlns="http://schemas.wps.cn/vas-ai-hub/contract-review">318</end>
      <status xmlns="http://schemas.wps.cn/vas-ai-hub/contract-review">modified</status>
      <modifiedWord xmlns="http://schemas.wps.cn/vas-ai-hub/contract-review">振动筛选</modifiedWord>
      <trackRevisions xmlns="http://schemas.wps.cn/vas-ai-hub/contract-review">false</trackRevisions>
    </reviewItem>
    <reviewItem xmlns="http://schemas.wps.cn/vas-ai-hub/contract-review">
      <errorID xmlns="http://schemas.wps.cn/vas-ai-hub/contract-review">2c87a692-0de9-4f00-8a09-676a4cbcb4b6</errorID>
      <errorWord xmlns="http://schemas.wps.cn/vas-ai-hub/contract-review">拋光</errorWord>
      <group xmlns="http://schemas.wps.cn/vas-ai-hub/contract-review">L1_Word</group>
      <groupName xmlns="http://schemas.wps.cn/vas-ai-hub/contract-review">字词问题</groupName>
      <ability xmlns="http://schemas.wps.cn/vas-ai-hub/contract-review">L2_Fanti</ability>
      <abilityName xmlns="http://schemas.wps.cn/vas-ai-hub/contract-review">繁转简</abilityName>
      <candidateList xmlns="http://schemas.wps.cn/vas-ai-hub/contract-review">
        <item xmlns="http://schemas.wps.cn/vas-ai-hub/contract-review">抛光</item>
      </candidateList>
      <explain xmlns="http://schemas.wps.cn/vas-ai-hub/contract-review"/>
      <paraID xmlns="http://schemas.wps.cn/vas-ai-hub/contract-review">1E585078</paraID>
      <start xmlns="http://schemas.wps.cn/vas-ai-hub/contract-review">11</start>
      <end xmlns="http://schemas.wps.cn/vas-ai-hub/contract-review">13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8199e5c7-74d9-4659-add3-0ebbad08c4bc</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7255791A</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72056fba-dc0e-41c4-b902-097bb4cfb1f0</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4.13.3.2节，标识相关项目（如时间、地域等）的起止，以及标识数值范围（由阿拉伯数字或汉字数字构成）的起止时，一般用一字线或长浪纹线。如“25～30g”“2011年2月3日—10日”。</explain>
      <paraID xmlns="http://schemas.wps.cn/vas-ai-hub/contract-review">7591853E</paraID>
      <start xmlns="http://schemas.wps.cn/vas-ai-hub/contract-review">175</start>
      <end xmlns="http://schemas.wps.cn/vas-ai-hub/contract-review">176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a6aee668-51c8-4f49-85f4-3f0386f86d77</errorID>
      <errorWord xmlns="http://schemas.wps.cn/vas-ai-hub/contract-review">25%-35%</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25%—35%</item>
      </candidateList>
      <explain xmlns="http://schemas.wps.cn/vas-ai-hub/contract-review">1. “25%-35%”中的单位“%”仅出现在后一个数字上，容易引起歧义；根据《现代汉语标点符号数字用法规范手册》，数字表示范围两边需要使用统一的格式。2. 根据标点国标 4.13 中的规则，数字、时间或地域连接符应使用（视觉上更长的）“—”或“～”。</explain>
      <paraID xmlns="http://schemas.wps.cn/vas-ai-hub/contract-review">7591853E</paraID>
      <start xmlns="http://schemas.wps.cn/vas-ai-hub/contract-review">194</start>
      <end xmlns="http://schemas.wps.cn/vas-ai-hub/contract-review">201</end>
      <status xmlns="http://schemas.wps.cn/vas-ai-hub/contract-review">modified</status>
      <modifiedWord xmlns="http://schemas.wps.cn/vas-ai-hub/contract-review">25%—35%</modifiedWord>
      <trackRevisions xmlns="http://schemas.wps.cn/vas-ai-hub/contract-review">false</trackRevisions>
    </reviewItem>
    <reviewItem xmlns="http://schemas.wps.cn/vas-ai-hub/contract-review">
      <errorID xmlns="http://schemas.wps.cn/vas-ai-hub/contract-review">5dc0c4f4-91fd-4cfc-8a98-7d7ff2e6f6c7</errorID>
      <errorWord xmlns="http://schemas.wps.cn/vas-ai-hub/contract-review">水泥石</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水泥</item>
      </candidateList>
      <explain xmlns="http://schemas.wps.cn/vas-ai-hub/contract-review"/>
      <paraID xmlns="http://schemas.wps.cn/vas-ai-hub/contract-review">7591853E</paraID>
      <start xmlns="http://schemas.wps.cn/vas-ai-hub/contract-review">204</start>
      <end xmlns="http://schemas.wps.cn/vas-ai-hub/contract-review">207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9e08ceb8-3a15-46dc-9076-9e27af202516</errorID>
      <errorWord xmlns="http://schemas.wps.cn/vas-ai-hub/contract-review">一步</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一道</item>
      </candidateList>
      <explain xmlns="http://schemas.wps.cn/vas-ai-hub/contract-review">（～儿）〈副〉一同；一路❸：～走｜～工作。</explain>
      <paraID xmlns="http://schemas.wps.cn/vas-ai-hub/contract-review">7591853E</paraID>
      <start xmlns="http://schemas.wps.cn/vas-ai-hub/contract-review">232</start>
      <end xmlns="http://schemas.wps.cn/vas-ai-hub/contract-review">234</end>
      <status xmlns="http://schemas.wps.cn/vas-ai-hub/contract-review">modified</status>
      <modifiedWord xmlns="http://schemas.wps.cn/vas-ai-hub/contract-review">一道</modifiedWord>
      <trackRevisions xmlns="http://schemas.wps.cn/vas-ai-hub/contract-review">false</trackRevisions>
    </reviewItem>
    <reviewItem xmlns="http://schemas.wps.cn/vas-ai-hub/contract-review">
      <errorID xmlns="http://schemas.wps.cn/vas-ai-hub/contract-review">b21c6262-6c0b-41cc-b6bc-d9182ab2806a</errorID>
      <errorWord xmlns="http://schemas.wps.cn/vas-ai-hub/contract-review">液压成型</errorWord>
      <group xmlns="http://schemas.wps.cn/vas-ai-hub/contract-review">L1_Knowledge</group>
      <groupName xmlns="http://schemas.wps.cn/vas-ai-hub/contract-review">知识性问题</groupName>
      <ability xmlns="http://schemas.wps.cn/vas-ai-hub/contract-review">L2_Term</ability>
      <abilityName xmlns="http://schemas.wps.cn/vas-ai-hub/contract-review">专业术语</abilityName>
      <candidateList xmlns="http://schemas.wps.cn/vas-ai-hub/contract-review">
        <item xmlns="http://schemas.wps.cn/vas-ai-hub/contract-review">模压成型</item>
      </candidateList>
      <explain xmlns="http://schemas.wps.cn/vas-ai-hub/contract-review"/>
      <paraID xmlns="http://schemas.wps.cn/vas-ai-hub/contract-review">75D741BC</paraID>
      <start xmlns="http://schemas.wps.cn/vas-ai-hub/contract-review">1</start>
      <end xmlns="http://schemas.wps.cn/vas-ai-hub/contract-review">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0ac0fff7-592f-437f-85d2-4fbe44f918da</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4.13.3.2节，标识相关项目（如时间、地域等）的起止，以及标识数值范围（由阿拉伯数字或汉字数字构成）的起止时，一般用一字线或长浪纹线。如“25～30g”“2011年2月3日—10日”。</explain>
      <paraID xmlns="http://schemas.wps.cn/vas-ai-hub/contract-review">68F2D0CA</paraID>
      <start xmlns="http://schemas.wps.cn/vas-ai-hub/contract-review">36</start>
      <end xmlns="http://schemas.wps.cn/vas-ai-hub/contract-review">37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97561c59-2306-42b2-be85-571481b092ae</errorID>
      <errorWord xmlns="http://schemas.wps.cn/vas-ai-hub/contract-review">下方</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下放</item>
      </candidateList>
      <explain xmlns="http://schemas.wps.cn/vas-ai-hub/contract-review"/>
      <paraID xmlns="http://schemas.wps.cn/vas-ai-hub/contract-review">730C3A63</paraID>
      <start xmlns="http://schemas.wps.cn/vas-ai-hub/contract-review">24</start>
      <end xmlns="http://schemas.wps.cn/vas-ai-hub/contract-review">26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3316bdb9-d299-4f1d-8bb9-aabee2361a28</errorID>
      <errorWord xmlns="http://schemas.wps.cn/vas-ai-hub/contract-review">列向</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竖向</item>
      </candidateList>
      <explain xmlns="http://schemas.wps.cn/vas-ai-hub/contract-review"/>
      <paraID xmlns="http://schemas.wps.cn/vas-ai-hub/contract-review">730C3A63</paraID>
      <start xmlns="http://schemas.wps.cn/vas-ai-hub/contract-review">31</start>
      <end xmlns="http://schemas.wps.cn/vas-ai-hub/contract-review">33</end>
      <status xmlns="http://schemas.wps.cn/vas-ai-hub/contract-review">modified</status>
      <modifiedWord xmlns="http://schemas.wps.cn/vas-ai-hub/contract-review">竖向</modifiedWord>
      <trackRevisions xmlns="http://schemas.wps.cn/vas-ai-hub/contract-review">false</trackRevisions>
    </reviewItem>
    <reviewItem xmlns="http://schemas.wps.cn/vas-ai-hub/contract-review">
      <errorID xmlns="http://schemas.wps.cn/vas-ai-hub/contract-review">837e643a-8bbb-4e54-8960-54c66acf26ce</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 33975E2</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ee778ab2-e42c-4ac4-9af8-26e3cdf4785d</errorID>
      <errorWord xmlns="http://schemas.wps.cn/vas-ai-hub/contract-review">拋光</errorWord>
      <group xmlns="http://schemas.wps.cn/vas-ai-hub/contract-review">L1_Word</group>
      <groupName xmlns="http://schemas.wps.cn/vas-ai-hub/contract-review">字词问题</groupName>
      <ability xmlns="http://schemas.wps.cn/vas-ai-hub/contract-review">L2_Fanti</ability>
      <abilityName xmlns="http://schemas.wps.cn/vas-ai-hub/contract-review">繁转简</abilityName>
      <candidateList xmlns="http://schemas.wps.cn/vas-ai-hub/contract-review">
        <item xmlns="http://schemas.wps.cn/vas-ai-hub/contract-review">抛光</item>
      </candidateList>
      <explain xmlns="http://schemas.wps.cn/vas-ai-hub/contract-review"/>
      <paraID xmlns="http://schemas.wps.cn/vas-ai-hub/contract-review">652C3F36</paraID>
      <start xmlns="http://schemas.wps.cn/vas-ai-hub/contract-review">4</start>
      <end xmlns="http://schemas.wps.cn/vas-ai-hub/contract-review">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0262bec1-1131-412d-be5a-c438dca548fc</errorID>
      <errorWord xmlns="http://schemas.wps.cn/vas-ai-hub/contract-review">拋光</errorWord>
      <group xmlns="http://schemas.wps.cn/vas-ai-hub/contract-review">L1_Word</group>
      <groupName xmlns="http://schemas.wps.cn/vas-ai-hub/contract-review">字词问题</groupName>
      <ability xmlns="http://schemas.wps.cn/vas-ai-hub/contract-review">L2_Fanti</ability>
      <abilityName xmlns="http://schemas.wps.cn/vas-ai-hub/contract-review">繁转简</abilityName>
      <candidateList xmlns="http://schemas.wps.cn/vas-ai-hub/contract-review">
        <item xmlns="http://schemas.wps.cn/vas-ai-hub/contract-review">抛光</item>
      </candidateList>
      <explain xmlns="http://schemas.wps.cn/vas-ai-hub/contract-review"/>
      <paraID xmlns="http://schemas.wps.cn/vas-ai-hub/contract-review">57D6B8A9</paraID>
      <start xmlns="http://schemas.wps.cn/vas-ai-hub/contract-review">4</start>
      <end xmlns="http://schemas.wps.cn/vas-ai-hub/contract-review">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582c0d81-afb5-4b6a-8e7e-86b83cd86cbf</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117B4C5D</paraID>
      <start xmlns="http://schemas.wps.cn/vas-ai-hub/contract-review">18</start>
      <end xmlns="http://schemas.wps.cn/vas-ai-hub/contract-review">19</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88b55407-dd27-43fe-a50e-31c2bc88646e</errorID>
      <errorWord xmlns="http://schemas.wps.cn/vas-ai-hub/contract-review">4、</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4.</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1193F060</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22e0c8cd-d908-4f6b-bab6-40804a24ef3b</errorID>
      <errorWord xmlns="http://schemas.wps.cn/vas-ai-hub/contract-review">铊平衡分析</errorWord>
      <group xmlns="http://schemas.wps.cn/vas-ai-hub/contract-review">L1_Knowledge</group>
      <groupName xmlns="http://schemas.wps.cn/vas-ai-hub/contract-review">知识性问题</groupName>
      <ability xmlns="http://schemas.wps.cn/vas-ai-hub/contract-review">L2_Term</ability>
      <abilityName xmlns="http://schemas.wps.cn/vas-ai-hub/contract-review">专业术语</abilityName>
      <candidateList xmlns="http://schemas.wps.cn/vas-ai-hub/contract-review">
        <item xmlns="http://schemas.wps.cn/vas-ai-hub/contract-review">流平衡分析</item>
      </candidateList>
      <explain xmlns="http://schemas.wps.cn/vas-ai-hub/contract-review"/>
      <paraID xmlns="http://schemas.wps.cn/vas-ai-hub/contract-review">567D0EA3</paraID>
      <start xmlns="http://schemas.wps.cn/vas-ai-hub/contract-review">9</start>
      <end xmlns="http://schemas.wps.cn/vas-ai-hub/contract-review">14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eada54de-0f4f-46c2-aa07-19631f0981ed</errorID>
      <errorWord xmlns="http://schemas.wps.cn/vas-ai-hub/contract-review">不在</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不再</item>
      </candidateList>
      <explain xmlns="http://schemas.wps.cn/vas-ai-hub/contract-review"/>
      <paraID xmlns="http://schemas.wps.cn/vas-ai-hub/contract-review">30ADDA80</paraID>
      <start xmlns="http://schemas.wps.cn/vas-ai-hub/contract-review">7</start>
      <end xmlns="http://schemas.wps.cn/vas-ai-hub/contract-review">9</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ae6bec90-88b4-4a53-b252-a1c25d1074a2</errorID>
      <errorWord xmlns="http://schemas.wps.cn/vas-ai-hub/contract-review">为颗粒物</errorWord>
      <group xmlns="http://schemas.wps.cn/vas-ai-hub/contract-review">L1_Knowledge</group>
      <groupName xmlns="http://schemas.wps.cn/vas-ai-hub/contract-review">知识性问题</groupName>
      <ability xmlns="http://schemas.wps.cn/vas-ai-hub/contract-review">L2_Term</ability>
      <abilityName xmlns="http://schemas.wps.cn/vas-ai-hub/contract-review">专业术语</abilityName>
      <candidateList xmlns="http://schemas.wps.cn/vas-ai-hub/contract-review">
        <item xmlns="http://schemas.wps.cn/vas-ai-hub/contract-review">细颗粒物</item>
      </candidateList>
      <explain xmlns="http://schemas.wps.cn/vas-ai-hub/contract-review"/>
      <paraID xmlns="http://schemas.wps.cn/vas-ai-hub/contract-review">2163ADA7</paraID>
      <start xmlns="http://schemas.wps.cn/vas-ai-hub/contract-review">199</start>
      <end xmlns="http://schemas.wps.cn/vas-ai-hub/contract-review">203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ec43ff1d-88c3-4e58-8de9-d3f8d9913839</errorID>
      <errorWord xmlns="http://schemas.wps.cn/vas-ai-hub/contract-review">[2011]321号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〔2011〕321号</item>
      </candidateList>
      <explain xmlns="http://schemas.wps.cn/vas-ai-hub/contract-review">发文字号格式错误。</explain>
      <paraID xmlns="http://schemas.wps.cn/vas-ai-hub/contract-review">5C750C82</paraID>
      <start xmlns="http://schemas.wps.cn/vas-ai-hub/contract-review">107</start>
      <end xmlns="http://schemas.wps.cn/vas-ai-hub/contract-review">117</end>
      <status xmlns="http://schemas.wps.cn/vas-ai-hub/contract-review">modified</status>
      <modifiedWord xmlns="http://schemas.wps.cn/vas-ai-hub/contract-review">〔2011〕321号</modifiedWord>
      <trackRevisions xmlns="http://schemas.wps.cn/vas-ai-hub/contract-review">false</trackRevisions>
    </reviewItem>
    <reviewItem xmlns="http://schemas.wps.cn/vas-ai-hub/contract-review">
      <errorID xmlns="http://schemas.wps.cn/vas-ai-hub/contract-review">c2af3397-4412-46d7-b0e8-99e5012043fb</errorID>
      <errorWord xmlns="http://schemas.wps.cn/vas-ai-hub/contract-review">[2012]137号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〔2012〕137号</item>
      </candidateList>
      <explain xmlns="http://schemas.wps.cn/vas-ai-hub/contract-review">发文字号格式错误。</explain>
      <paraID xmlns="http://schemas.wps.cn/vas-ai-hub/contract-review">5C750C82</paraID>
      <start xmlns="http://schemas.wps.cn/vas-ai-hub/contract-review">199</start>
      <end xmlns="http://schemas.wps.cn/vas-ai-hub/contract-review">209</end>
      <status xmlns="http://schemas.wps.cn/vas-ai-hub/contract-review">modified</status>
      <modifiedWord xmlns="http://schemas.wps.cn/vas-ai-hub/contract-review">〔2012〕137号</modifiedWord>
      <trackRevisions xmlns="http://schemas.wps.cn/vas-ai-hub/contract-review">false</trackRevisions>
    </reviewItem>
    <reviewItem xmlns="http://schemas.wps.cn/vas-ai-hub/contract-review">
      <errorID xmlns="http://schemas.wps.cn/vas-ai-hub/contract-review">ea786766-f64f-42e7-989b-17ea4f2e1473</errorID>
      <errorWord xmlns="http://schemas.wps.cn/vas-ai-hub/contract-review">生态部</errorWord>
      <group xmlns="http://schemas.wps.cn/vas-ai-hub/contract-review">L1_Knowledge</group>
      <groupName xmlns="http://schemas.wps.cn/vas-ai-hub/contract-review">知识性问题</groupName>
      <ability xmlns="http://schemas.wps.cn/vas-ai-hub/contract-review">L2_Organization</ability>
      <abilityName xmlns="http://schemas.wps.cn/vas-ai-hub/contract-review">机构检查</abilityName>
      <candidateList xmlns="http://schemas.wps.cn/vas-ai-hub/contract-review">
        <item xmlns="http://schemas.wps.cn/vas-ai-hub/contract-review">生态环境部</item>
      </candidateList>
      <explain xmlns="http://schemas.wps.cn/vas-ai-hub/contract-review">机关单位全简称表述错误</explain>
      <paraID xmlns="http://schemas.wps.cn/vas-ai-hub/contract-review">11413EE2</paraID>
      <start xmlns="http://schemas.wps.cn/vas-ai-hub/contract-review">258</start>
      <end xmlns="http://schemas.wps.cn/vas-ai-hub/contract-review">263</end>
      <status xmlns="http://schemas.wps.cn/vas-ai-hub/contract-review">modified</status>
      <modifiedWord xmlns="http://schemas.wps.cn/vas-ai-hub/contract-review">生态环境部</modifiedWord>
      <trackRevisions xmlns="http://schemas.wps.cn/vas-ai-hub/contract-review">false</trackRevisions>
    </reviewItem>
    <reviewItem xmlns="http://schemas.wps.cn/vas-ai-hub/contract-review">
      <errorID xmlns="http://schemas.wps.cn/vas-ai-hub/contract-review">e0ad228f-5dae-4bd7-bd82-03a7382ab44d</errorID>
      <errorWord xmlns="http://schemas.wps.cn/vas-ai-hub/contract-review">程</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程中</item>
      </candidateList>
      <explain xmlns="http://schemas.wps.cn/vas-ai-hub/contract-review"/>
      <paraID xmlns="http://schemas.wps.cn/vas-ai-hub/contract-review">1D7ABC53</paraID>
      <start xmlns="http://schemas.wps.cn/vas-ai-hub/contract-review">241</start>
      <end xmlns="http://schemas.wps.cn/vas-ai-hub/contract-review">243</end>
      <status xmlns="http://schemas.wps.cn/vas-ai-hub/contract-review">modified</status>
      <modifiedWord xmlns="http://schemas.wps.cn/vas-ai-hub/contract-review">程中</modifiedWord>
      <trackRevisions xmlns="http://schemas.wps.cn/vas-ai-hub/contract-review">false</trackRevisions>
    </reviewItem>
    <reviewItem xmlns="http://schemas.wps.cn/vas-ai-hub/contract-review">
      <errorID xmlns="http://schemas.wps.cn/vas-ai-hub/contract-review">7fec2971-7177-4647-9d4a-cfbb6c378dca</errorID>
      <errorWord xmlns="http://schemas.wps.cn/vas-ai-hub/contract-review">【2025】10号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〔2025〕10号</item>
      </candidateList>
      <explain xmlns="http://schemas.wps.cn/vas-ai-hub/contract-review">发文字号格式错误。</explain>
      <paraID xmlns="http://schemas.wps.cn/vas-ai-hub/contract-review">1E3B3A4C</paraID>
      <start xmlns="http://schemas.wps.cn/vas-ai-hub/contract-review">110</start>
      <end xmlns="http://schemas.wps.cn/vas-ai-hub/contract-review">119</end>
      <status xmlns="http://schemas.wps.cn/vas-ai-hub/contract-review">modified</status>
      <modifiedWord xmlns="http://schemas.wps.cn/vas-ai-hub/contract-review">〔2025〕10号</modifiedWord>
      <trackRevisions xmlns="http://schemas.wps.cn/vas-ai-hub/contract-review">false</trackRevisions>
    </reviewItem>
    <reviewItem xmlns="http://schemas.wps.cn/vas-ai-hub/contract-review">
      <errorID xmlns="http://schemas.wps.cn/vas-ai-hub/contract-review">4877ca67-07b9-448d-892c-33e58f030f90</errorID>
      <errorWord xmlns="http://schemas.wps.cn/vas-ai-hub/contract-review">称</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秤</item>
      </candidateList>
      <explain xmlns="http://schemas.wps.cn/vas-ai-hub/contract-review">存在发音相同字词的误用。</explain>
      <paraID xmlns="http://schemas.wps.cn/vas-ai-hub/contract-review">72E47B79</paraID>
      <start xmlns="http://schemas.wps.cn/vas-ai-hub/contract-review">2</start>
      <end xmlns="http://schemas.wps.cn/vas-ai-hub/contract-review">3</end>
      <status xmlns="http://schemas.wps.cn/vas-ai-hub/contract-review">modified</status>
      <modifiedWord xmlns="http://schemas.wps.cn/vas-ai-hub/contract-review">秤</modifiedWord>
      <trackRevisions xmlns="http://schemas.wps.cn/vas-ai-hub/contract-review">false</trackRevisions>
    </reviewItem>
    <reviewItem xmlns="http://schemas.wps.cn/vas-ai-hub/contract-review">
      <errorID xmlns="http://schemas.wps.cn/vas-ai-hub/contract-review">89d0f67e-2f9a-4e3c-af35-c513d33fb7d1</errorID>
      <errorWord xmlns="http://schemas.wps.cn/vas-ai-hub/contract-review">称</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秤</item>
      </candidateList>
      <explain xmlns="http://schemas.wps.cn/vas-ai-hub/contract-review">存在发音相同字词的误用。</explain>
      <paraID xmlns="http://schemas.wps.cn/vas-ai-hub/contract-review">5579F728</paraID>
      <start xmlns="http://schemas.wps.cn/vas-ai-hub/contract-review">2</start>
      <end xmlns="http://schemas.wps.cn/vas-ai-hub/contract-review">3</end>
      <status xmlns="http://schemas.wps.cn/vas-ai-hub/contract-review">modified</status>
      <modifiedWord xmlns="http://schemas.wps.cn/vas-ai-hub/contract-review">秤</modifiedWord>
      <trackRevisions xmlns="http://schemas.wps.cn/vas-ai-hub/contract-review">false</trackRevisions>
    </reviewItem>
    <reviewItem xmlns="http://schemas.wps.cn/vas-ai-hub/contract-review">
      <errorID xmlns="http://schemas.wps.cn/vas-ai-hub/contract-review">e749008d-ec94-4185-ab43-b8f2d5684202</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
      <paraID xmlns="http://schemas.wps.cn/vas-ai-hub/contract-review">7FD887E3</paraID>
      <start xmlns="http://schemas.wps.cn/vas-ai-hub/contract-review">28</start>
      <end xmlns="http://schemas.wps.cn/vas-ai-hub/contract-review">29</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244c1384-67f0-4fe0-be6a-2f9213c57c04</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2E9EEB98</paraID>
      <start xmlns="http://schemas.wps.cn/vas-ai-hub/contract-review">38</start>
      <end xmlns="http://schemas.wps.cn/vas-ai-hub/contract-review">39</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22adaefa-ce28-41c1-8ed9-bbcf8cce0843</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2E9EEB98</paraID>
      <start xmlns="http://schemas.wps.cn/vas-ai-hub/contract-review">51</start>
      <end xmlns="http://schemas.wps.cn/vas-ai-hub/contract-review">52</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1a3bec5b-d20d-4668-ac7d-e2addab8c9eb</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2E9EEB98</paraID>
      <start xmlns="http://schemas.wps.cn/vas-ai-hub/contract-review">62</start>
      <end xmlns="http://schemas.wps.cn/vas-ai-hub/contract-review">63</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7cec8127-a8c9-4348-be3b-f25168186f93</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 B959370</paraID>
      <start xmlns="http://schemas.wps.cn/vas-ai-hub/contract-review">10</start>
      <end xmlns="http://schemas.wps.cn/vas-ai-hub/contract-review">11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17936262-0a39-40ee-a360-495b758846d8</errorID>
      <errorWord xmlns="http://schemas.wps.cn/vas-ai-hub/contract-review">10%-17%</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10%—17%</item>
      </candidateList>
      <explain xmlns="http://schemas.wps.cn/vas-ai-hub/contract-review">1. “10%-17%”中的单位“%”仅出现在后一个数字上，容易引起歧义；根据《现代汉语标点符号数字用法规范手册》，数字表示范围两边需要使用统一的格式。2. 根据标点国标 4.13 中的规则，数字、时间或地域连接符应使用（视觉上更长的）“—”或“～”。</explain>
      <paraID xmlns="http://schemas.wps.cn/vas-ai-hub/contract-review">4547BCF1</paraID>
      <start xmlns="http://schemas.wps.cn/vas-ai-hub/contract-review">8</start>
      <end xmlns="http://schemas.wps.cn/vas-ai-hub/contract-review">15</end>
      <status xmlns="http://schemas.wps.cn/vas-ai-hub/contract-review">modified</status>
      <modifiedWord xmlns="http://schemas.wps.cn/vas-ai-hub/contract-review">10%—17%</modifiedWord>
      <trackRevisions xmlns="http://schemas.wps.cn/vas-ai-hub/contract-review">false</trackRevisions>
    </reviewItem>
    <reviewItem xmlns="http://schemas.wps.cn/vas-ai-hub/contract-review">
      <errorID xmlns="http://schemas.wps.cn/vas-ai-hub/contract-review">d1ad6357-38c6-41b4-97a8-0b77db9298a5</errorID>
      <errorWord xmlns="http://schemas.wps.cn/vas-ai-hub/contract-review">拋光</errorWord>
      <group xmlns="http://schemas.wps.cn/vas-ai-hub/contract-review">L1_Word</group>
      <groupName xmlns="http://schemas.wps.cn/vas-ai-hub/contract-review">字词问题</groupName>
      <ability xmlns="http://schemas.wps.cn/vas-ai-hub/contract-review">L2_Fanti</ability>
      <abilityName xmlns="http://schemas.wps.cn/vas-ai-hub/contract-review">繁转简</abilityName>
      <candidateList xmlns="http://schemas.wps.cn/vas-ai-hub/contract-review">
        <item xmlns="http://schemas.wps.cn/vas-ai-hub/contract-review">抛光</item>
      </candidateList>
      <explain xmlns="http://schemas.wps.cn/vas-ai-hub/contract-review"/>
      <paraID xmlns="http://schemas.wps.cn/vas-ai-hub/contract-review"> 2ED3198</paraID>
      <start xmlns="http://schemas.wps.cn/vas-ai-hub/contract-review">4</start>
      <end xmlns="http://schemas.wps.cn/vas-ai-hub/contract-review">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5ff8f6f0-e588-4829-8c19-ab450e69a1e2</errorID>
      <errorWord xmlns="http://schemas.wps.cn/vas-ai-hub/contract-review">达</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达到</item>
      </candidateList>
      <explain xmlns="http://schemas.wps.cn/vas-ai-hub/contract-review">〈动〉到（多指抽象事物或程度）：达得到｜达不到｜目的没有～｜～国际水平。</explain>
      <paraID xmlns="http://schemas.wps.cn/vas-ai-hub/contract-review">78FBC182</paraID>
      <start xmlns="http://schemas.wps.cn/vas-ai-hub/contract-review">13</start>
      <end xmlns="http://schemas.wps.cn/vas-ai-hub/contract-review">15</end>
      <status xmlns="http://schemas.wps.cn/vas-ai-hub/contract-review">modified</status>
      <modifiedWord xmlns="http://schemas.wps.cn/vas-ai-hub/contract-review">达到</modifiedWord>
      <trackRevisions xmlns="http://schemas.wps.cn/vas-ai-hub/contract-review">false</trackRevisions>
    </reviewItem>
    <reviewItem xmlns="http://schemas.wps.cn/vas-ai-hub/contract-review">
      <errorID xmlns="http://schemas.wps.cn/vas-ai-hub/contract-review">ab92f0b5-05fa-4833-8662-80c36b7b0829</errorID>
      <errorWord xmlns="http://schemas.wps.cn/vas-ai-hub/contract-review">达</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达到</item>
      </candidateList>
      <explain xmlns="http://schemas.wps.cn/vas-ai-hub/contract-review">〈动〉到（多指抽象事物或程度）：达得到｜达不到｜目的没有～｜～国际水平。</explain>
      <paraID xmlns="http://schemas.wps.cn/vas-ai-hub/contract-review">45F27F1D</paraID>
      <start xmlns="http://schemas.wps.cn/vas-ai-hub/contract-review">13</start>
      <end xmlns="http://schemas.wps.cn/vas-ai-hub/contract-review">15</end>
      <status xmlns="http://schemas.wps.cn/vas-ai-hub/contract-review">modified</status>
      <modifiedWord xmlns="http://schemas.wps.cn/vas-ai-hub/contract-review">达到</modifiedWord>
      <trackRevisions xmlns="http://schemas.wps.cn/vas-ai-hub/contract-review">false</trackRevisions>
    </reviewItem>
    <reviewItem xmlns="http://schemas.wps.cn/vas-ai-hub/contract-review">
      <errorID xmlns="http://schemas.wps.cn/vas-ai-hub/contract-review">8602b2a8-8ac6-4492-9815-b9dcd14deb6d</errorID>
      <errorWord xmlns="http://schemas.wps.cn/vas-ai-hub/contract-review">噪音</errorWord>
      <group xmlns="http://schemas.wps.cn/vas-ai-hub/contract-review">L1_Word</group>
      <groupName xmlns="http://schemas.wps.cn/vas-ai-hub/contract-review">字词问题</groupName>
      <ability xmlns="http://schemas.wps.cn/vas-ai-hub/contract-review">L2_Alias</ability>
      <abilityName xmlns="http://schemas.wps.cn/vas-ai-hub/contract-review">也作/曾用词</abilityName>
      <candidateList xmlns="http://schemas.wps.cn/vas-ai-hub/contract-review">
        <item xmlns="http://schemas.wps.cn/vas-ai-hub/contract-review">噪声</item>
      </candidateList>
      <explain xmlns="http://schemas.wps.cn/vas-ai-hub/contract-review">词汇[噪音]为不规范表述或旧称，其规范书面表述为[噪声]。</explain>
      <paraID xmlns="http://schemas.wps.cn/vas-ai-hub/contract-review">4D453C1D</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94c59de9-8b34-48bf-8235-29c6db27a7f2</errorID>
      <errorWord xmlns="http://schemas.wps.cn/vas-ai-hub/contract-review">现场勘察</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现场勘查</item>
      </candidateList>
      <explain xmlns="http://schemas.wps.cn/vas-ai-hub/contract-review"/>
      <paraID xmlns="http://schemas.wps.cn/vas-ai-hub/contract-review">145C5B64</paraID>
      <start xmlns="http://schemas.wps.cn/vas-ai-hub/contract-review">2</start>
      <end xmlns="http://schemas.wps.cn/vas-ai-hub/contract-review">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d0eb4333-23f0-4328-a9f1-d23d240e9d71</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4DA11CA4</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9506afa2-0c2d-4126-b3e6-f486ddabb5ec</errorID>
      <errorWord xmlns="http://schemas.wps.cn/vas-ai-hub/contract-review">III类</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Ⅲ类</item>
      </candidateList>
      <explain xmlns="http://schemas.wps.cn/vas-ai-hub/contract-review"/>
      <paraID xmlns="http://schemas.wps.cn/vas-ai-hub/contract-review">693897D0</paraID>
      <start xmlns="http://schemas.wps.cn/vas-ai-hub/contract-review">153</start>
      <end xmlns="http://schemas.wps.cn/vas-ai-hub/contract-review">155</end>
      <status xmlns="http://schemas.wps.cn/vas-ai-hub/contract-review">modified</status>
      <modifiedWord xmlns="http://schemas.wps.cn/vas-ai-hub/contract-review">Ⅲ类</modifiedWord>
      <trackRevisions xmlns="http://schemas.wps.cn/vas-ai-hub/contract-review">false</trackRevisions>
    </reviewItem>
    <reviewItem xmlns="http://schemas.wps.cn/vas-ai-hub/contract-review">
      <errorID xmlns="http://schemas.wps.cn/vas-ai-hub/contract-review">8167d946-c9ca-4d20-8f2b-972d2aec81dd</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36DA5ABC</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5a05a7f5-7781-4a10-8f3c-b768f4d9a4d4</errorID>
      <errorWord xmlns="http://schemas.wps.cn/vas-ai-hub/contract-review">生态厅</errorWord>
      <group xmlns="http://schemas.wps.cn/vas-ai-hub/contract-review">L1_Knowledge</group>
      <groupName xmlns="http://schemas.wps.cn/vas-ai-hub/contract-review">知识性问题</groupName>
      <ability xmlns="http://schemas.wps.cn/vas-ai-hub/contract-review">L2_Organization</ability>
      <abilityName xmlns="http://schemas.wps.cn/vas-ai-hub/contract-review">机构检查</abilityName>
      <candidateList xmlns="http://schemas.wps.cn/vas-ai-hub/contract-review">
        <item xmlns="http://schemas.wps.cn/vas-ai-hub/contract-review">生态环境厅</item>
      </candidateList>
      <explain xmlns="http://schemas.wps.cn/vas-ai-hub/contract-review">机关单位全简称表述错误</explain>
      <paraID xmlns="http://schemas.wps.cn/vas-ai-hub/contract-review">693A66C3</paraID>
      <start xmlns="http://schemas.wps.cn/vas-ai-hub/contract-review">16</start>
      <end xmlns="http://schemas.wps.cn/vas-ai-hub/contract-review">19</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d6c2c7df-fc68-494b-90bb-eb6efae04015</errorID>
      <errorWord xmlns="http://schemas.wps.cn/vas-ai-hub/contract-review">年</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年度</item>
      </candidateList>
      <explain xmlns="http://schemas.wps.cn/vas-ai-hub/contract-review"/>
      <paraID xmlns="http://schemas.wps.cn/vas-ai-hub/contract-review">30856C2B</paraID>
      <start xmlns="http://schemas.wps.cn/vas-ai-hub/contract-review">0</start>
      <end xmlns="http://schemas.wps.cn/vas-ai-hub/contract-review">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fc167425-c23a-4a81-997d-0d7515481cb6</errorID>
      <errorWord xmlns="http://schemas.wps.cn/vas-ai-hub/contract-review">徳</errorWord>
      <group xmlns="http://schemas.wps.cn/vas-ai-hub/contract-review">L1_Word</group>
      <groupName xmlns="http://schemas.wps.cn/vas-ai-hub/contract-review">字词问题</groupName>
      <ability xmlns="http://schemas.wps.cn/vas-ai-hub/contract-review">L2_Variant</ability>
      <abilityName xmlns="http://schemas.wps.cn/vas-ai-hub/contract-review">异形词</abilityName>
      <candidateList xmlns="http://schemas.wps.cn/vas-ai-hub/contract-review">
        <item xmlns="http://schemas.wps.cn/vas-ai-hub/contract-review">德</item>
      </candidateList>
      <explain xmlns="http://schemas.wps.cn/vas-ai-hub/contract-review">词汇[徳]的规范词形写作[德]。</explain>
      <paraID xmlns="http://schemas.wps.cn/vas-ai-hub/contract-review">559950C6</paraID>
      <start xmlns="http://schemas.wps.cn/vas-ai-hub/contract-review">84</start>
      <end xmlns="http://schemas.wps.cn/vas-ai-hub/contract-review">85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b754c026-654a-4916-a5b5-5c2190c00185</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4.13.3.2节，标识相关项目（如时间、地域等）的起止，以及标识数值范围（由阿拉伯数字或汉字数字构成）的起止时，一般用一字线或长浪纹线。如“25～30g”“2011年2月3日—10日”。</explain>
      <paraID xmlns="http://schemas.wps.cn/vas-ai-hub/contract-review">559950C6</paraID>
      <start xmlns="http://schemas.wps.cn/vas-ai-hub/contract-review">159</start>
      <end xmlns="http://schemas.wps.cn/vas-ai-hub/contract-review">160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e79f99f7-4e69-4ff3-8e51-6e36316c0ee7</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 33DD166</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db83482c-1eb3-483a-a9ea-cfbf1567fa27</errorID>
      <errorWord xmlns="http://schemas.wps.cn/vas-ai-hub/contract-review">目标的</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目标</item>
      </candidateList>
      <explain xmlns="http://schemas.wps.cn/vas-ai-hub/contract-review">〈名〉❶射击、攻击或寻求的对象：看清～｜发现～。❷想要达到的境地或标准：奋斗～。</explain>
      <paraID xmlns="http://schemas.wps.cn/vas-ai-hub/contract-review">3F9AB357</paraID>
      <start xmlns="http://schemas.wps.cn/vas-ai-hub/contract-review">19</start>
      <end xmlns="http://schemas.wps.cn/vas-ai-hub/contract-review">21</end>
      <status xmlns="http://schemas.wps.cn/vas-ai-hub/contract-review">modified</status>
      <modifiedWord xmlns="http://schemas.wps.cn/vas-ai-hub/contract-review">目标</modifiedWord>
      <trackRevisions xmlns="http://schemas.wps.cn/vas-ai-hub/contract-review">false</trackRevisions>
    </reviewItem>
    <reviewItem xmlns="http://schemas.wps.cn/vas-ai-hub/contract-review">
      <errorID xmlns="http://schemas.wps.cn/vas-ai-hub/contract-review">3d599272-43de-46b2-82c2-65dc4941b68b</errorID>
      <errorWord xmlns="http://schemas.wps.cn/vas-ai-hub/contract-review">4、</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4.</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2C45042B</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90213140-c599-40ef-8eac-32e4ae7f5ee6</errorID>
      <errorWord xmlns="http://schemas.wps.cn/vas-ai-hub/contract-review">5、</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5.</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2ECD36BC</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52c0107f-6c63-446d-bc8a-441e614648fb</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2BA383F</paraID>
      <start xmlns="http://schemas.wps.cn/vas-ai-hub/contract-review">20</start>
      <end xmlns="http://schemas.wps.cn/vas-ai-hub/contract-review">21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f549cca7-19ed-4bde-a095-1a1dac303d84</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2BA383F</paraID>
      <start xmlns="http://schemas.wps.cn/vas-ai-hub/contract-review">26</start>
      <end xmlns="http://schemas.wps.cn/vas-ai-hub/contract-review">28</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9848e9df-0781-4ebc-8bb0-bdcbd1919543</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2BA383F</paraID>
      <start xmlns="http://schemas.wps.cn/vas-ai-hub/contract-review">30</start>
      <end xmlns="http://schemas.wps.cn/vas-ai-hub/contract-review">31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3581a163-12ee-4ef7-a598-104e33f7daf9</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1F21C89E</paraID>
      <start xmlns="http://schemas.wps.cn/vas-ai-hub/contract-review">0</start>
      <end xmlns="http://schemas.wps.cn/vas-ai-hub/contract-review">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349e64e4-56c2-4add-a5eb-12664a941c1e</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1F21C89E</paraID>
      <start xmlns="http://schemas.wps.cn/vas-ai-hub/contract-review">12</start>
      <end xmlns="http://schemas.wps.cn/vas-ai-hub/contract-review">13</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8dc9f284-f437-4934-8cb7-9176ab0893ed</errorID>
      <errorWord xmlns="http://schemas.wps.cn/vas-ai-hub/contract-review">内的</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内</item>
      </candidateList>
      <explain xmlns="http://schemas.wps.cn/vas-ai-hub/contract-review">❶〈名〉方位词。里头（跟“外”相对）：～衣｜～部｜室～｜国～｜年～。❷指妻或妻的亲属：～人｜～侄｜～弟。❸指内心或内脏：～省｜～疚｜五～俱焚。❹〈书〉指皇宫：大～。</explain>
      <paraID xmlns="http://schemas.wps.cn/vas-ai-hub/contract-review">5B432726</paraID>
      <start xmlns="http://schemas.wps.cn/vas-ai-hub/contract-review">9</start>
      <end xmlns="http://schemas.wps.cn/vas-ai-hub/contract-review">10</end>
      <status xmlns="http://schemas.wps.cn/vas-ai-hub/contract-review">modified</status>
      <modifiedWord xmlns="http://schemas.wps.cn/vas-ai-hub/contract-review">内</modifiedWord>
      <trackRevisions xmlns="http://schemas.wps.cn/vas-ai-hub/contract-review">false</trackRevisions>
    </reviewItem>
    <reviewItem xmlns="http://schemas.wps.cn/vas-ai-hub/contract-review">
      <errorID xmlns="http://schemas.wps.cn/vas-ai-hub/contract-review">04bb1156-2da5-4c18-a8b8-cb9a8dcb228a</errorID>
      <errorWord xmlns="http://schemas.wps.cn/vas-ai-hub/contract-review">1、</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4B8BC9BB</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fc3d3465-1f3d-4ef0-b940-7b5d9d9004d7</errorID>
      <errorWord xmlns="http://schemas.wps.cn/vas-ai-hub/contract-review">2、</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2.</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33873DD5</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befd7f60-fb5a-4c34-b80a-9f81157c1811</errorID>
      <errorWord xmlns="http://schemas.wps.cn/vas-ai-hub/contract-review">执</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执行</item>
      </candidateList>
      <explain xmlns="http://schemas.wps.cn/vas-ai-hub/contract-review"/>
      <paraID xmlns="http://schemas.wps.cn/vas-ai-hub/contract-review">2DF78C78</paraID>
      <start xmlns="http://schemas.wps.cn/vas-ai-hub/contract-review">83</start>
      <end xmlns="http://schemas.wps.cn/vas-ai-hub/contract-review">85</end>
      <status xmlns="http://schemas.wps.cn/vas-ai-hub/contract-review">modified</status>
      <modifiedWord xmlns="http://schemas.wps.cn/vas-ai-hub/contract-review">执行</modifiedWord>
      <trackRevisions xmlns="http://schemas.wps.cn/vas-ai-hub/contract-review">false</trackRevisions>
    </reviewItem>
    <reviewItem xmlns="http://schemas.wps.cn/vas-ai-hub/contract-review">
      <errorID xmlns="http://schemas.wps.cn/vas-ai-hub/contract-review">fea40a10-7c94-444a-80b5-524d5a93116e</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8529733</paraID>
      <start xmlns="http://schemas.wps.cn/vas-ai-hub/contract-review">2</start>
      <end xmlns="http://schemas.wps.cn/vas-ai-hub/contract-review">3</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94cae44f-b1c0-419c-8864-dfd83c6f743f</errorID>
      <errorWord xmlns="http://schemas.wps.cn/vas-ai-hub/contract-review">3、</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3.</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 60D8A55</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d5cb4e92-75e8-452f-b059-e43509b6b27f</errorID>
      <errorWord xmlns="http://schemas.wps.cn/vas-ai-hub/contract-review">4、</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4.</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2DF87BDC</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0f882b0d-e74b-4343-a6ef-2d30f26c4a74</errorID>
      <errorWord xmlns="http://schemas.wps.cn/vas-ai-hub/contract-review">（2021）33号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〔2021〕33号</item>
      </candidateList>
      <explain xmlns="http://schemas.wps.cn/vas-ai-hub/contract-review">发文字号格式错误。</explain>
      <paraID xmlns="http://schemas.wps.cn/vas-ai-hub/contract-review"> 570AA6D</paraID>
      <start xmlns="http://schemas.wps.cn/vas-ai-hub/contract-review">30</start>
      <end xmlns="http://schemas.wps.cn/vas-ai-hub/contract-review">39</end>
      <status xmlns="http://schemas.wps.cn/vas-ai-hub/contract-review">modified</status>
      <modifiedWord xmlns="http://schemas.wps.cn/vas-ai-hub/contract-review">〔2021〕33号</modifiedWord>
      <trackRevisions xmlns="http://schemas.wps.cn/vas-ai-hub/contract-review">false</trackRevisions>
    </reviewItem>
    <reviewItem xmlns="http://schemas.wps.cn/vas-ai-hub/contract-review">
      <errorID xmlns="http://schemas.wps.cn/vas-ai-hub/contract-review">90eff74b-7176-44e0-9dab-81e3c6a7c4f1</errorID>
      <errorWord xmlns="http://schemas.wps.cn/vas-ai-hub/contract-review">（2021）25号</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〔2021〕25号</item>
      </candidateList>
      <explain xmlns="http://schemas.wps.cn/vas-ai-hub/contract-review">发文字号格式错误。</explain>
      <paraID xmlns="http://schemas.wps.cn/vas-ai-hub/contract-review"> 570AA6D</paraID>
      <start xmlns="http://schemas.wps.cn/vas-ai-hub/contract-review">75</start>
      <end xmlns="http://schemas.wps.cn/vas-ai-hub/contract-review">84</end>
      <status xmlns="http://schemas.wps.cn/vas-ai-hub/contract-review">modified</status>
      <modifiedWord xmlns="http://schemas.wps.cn/vas-ai-hub/contract-review">〔2021〕25号</modifiedWord>
      <trackRevisions xmlns="http://schemas.wps.cn/vas-ai-hub/contract-review">false</trackRevisions>
    </reviewItem>
    <reviewItem xmlns="http://schemas.wps.cn/vas-ai-hub/contract-review">
      <errorID xmlns="http://schemas.wps.cn/vas-ai-hub/contract-review">92434ece-8f45-4293-9b80-8e0f2d61c704</errorID>
      <errorWord xmlns="http://schemas.wps.cn/vas-ai-hub/contract-review">达</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达到</item>
      </candidateList>
      <explain xmlns="http://schemas.wps.cn/vas-ai-hub/contract-review">〈动〉到（多指抽象事物或程度）：达得到｜达不到｜目的没有～｜～国际水平。</explain>
      <paraID xmlns="http://schemas.wps.cn/vas-ai-hub/contract-review">327B5885</paraID>
      <start xmlns="http://schemas.wps.cn/vas-ai-hub/contract-review">16</start>
      <end xmlns="http://schemas.wps.cn/vas-ai-hub/contract-review">18</end>
      <status xmlns="http://schemas.wps.cn/vas-ai-hub/contract-review">modified</status>
      <modifiedWord xmlns="http://schemas.wps.cn/vas-ai-hub/contract-review">达到</modifiedWord>
      <trackRevisions xmlns="http://schemas.wps.cn/vas-ai-hub/contract-review">false</trackRevisions>
    </reviewItem>
    <reviewItem xmlns="http://schemas.wps.cn/vas-ai-hub/contract-review">
      <errorID xmlns="http://schemas.wps.cn/vas-ai-hub/contract-review">f9dfd3a9-d1d1-410c-a63e-f00cc2f19208</errorID>
      <errorWord xmlns="http://schemas.wps.cn/vas-ai-hub/contract-review">噪音</errorWord>
      <group xmlns="http://schemas.wps.cn/vas-ai-hub/contract-review">L1_Word</group>
      <groupName xmlns="http://schemas.wps.cn/vas-ai-hub/contract-review">字词问题</groupName>
      <ability xmlns="http://schemas.wps.cn/vas-ai-hub/contract-review">L2_Alias</ability>
      <abilityName xmlns="http://schemas.wps.cn/vas-ai-hub/contract-review">也作/曾用词</abilityName>
      <candidateList xmlns="http://schemas.wps.cn/vas-ai-hub/contract-review">
        <item xmlns="http://schemas.wps.cn/vas-ai-hub/contract-review">噪声</item>
      </candidateList>
      <explain xmlns="http://schemas.wps.cn/vas-ai-hub/contract-review">词汇[噪音]为不规范表述或旧称，其规范书面表述为[噪声]。</explain>
      <paraID xmlns="http://schemas.wps.cn/vas-ai-hub/contract-review">71B35990</paraID>
      <start xmlns="http://schemas.wps.cn/vas-ai-hub/contract-review">49</start>
      <end xmlns="http://schemas.wps.cn/vas-ai-hub/contract-review">51</end>
      <status xmlns="http://schemas.wps.cn/vas-ai-hub/contract-review">modified</status>
      <modifiedWord xmlns="http://schemas.wps.cn/vas-ai-hub/contract-review">噪声</modifiedWord>
      <trackRevisions xmlns="http://schemas.wps.cn/vas-ai-hub/contract-review">false</trackRevisions>
    </reviewItem>
    <reviewItem xmlns="http://schemas.wps.cn/vas-ai-hub/contract-review">
      <errorID xmlns="http://schemas.wps.cn/vas-ai-hub/contract-review">e79df385-0f75-4edb-b2bb-c730b0015351</errorID>
      <errorWord xmlns="http://schemas.wps.cn/vas-ai-hub/contract-review">-次</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一次</item>
      </candidateList>
      <explain xmlns="http://schemas.wps.cn/vas-ai-hub/contract-review"/>
      <paraID xmlns="http://schemas.wps.cn/vas-ai-hub/contract-review">7A257EBF</paraID>
      <start xmlns="http://schemas.wps.cn/vas-ai-hub/contract-review">73</start>
      <end xmlns="http://schemas.wps.cn/vas-ai-hub/contract-review">75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9ab6c4a0-3b07-49f4-829c-ba9c63f5f4b1</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3C558088</paraID>
      <start xmlns="http://schemas.wps.cn/vas-ai-hub/contract-review">0</start>
      <end xmlns="http://schemas.wps.cn/vas-ai-hub/contract-review">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f6dd2b99-f833-49d1-a816-18e8c8e7e588</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44B1E23B</paraID>
      <start xmlns="http://schemas.wps.cn/vas-ai-hub/contract-review">0</start>
      <end xmlns="http://schemas.wps.cn/vas-ai-hub/contract-review">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dadb842f-e6dd-4f25-87bc-d1e97a1de38f</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525C1A37</paraID>
      <start xmlns="http://schemas.wps.cn/vas-ai-hub/contract-review">0</start>
      <end xmlns="http://schemas.wps.cn/vas-ai-hub/contract-review">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9420472d-5c65-487a-9d21-1e2286599b52</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F677F7D</paraID>
      <start xmlns="http://schemas.wps.cn/vas-ai-hub/contract-review">0</start>
      <end xmlns="http://schemas.wps.cn/vas-ai-hub/contract-review">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fa0c0792-4b3e-49d3-9ce2-be99b1e3bd52</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2092F483</paraID>
      <start xmlns="http://schemas.wps.cn/vas-ai-hub/contract-review">0</start>
      <end xmlns="http://schemas.wps.cn/vas-ai-hub/contract-review">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c9017060-7b5f-4ac5-bc39-4816712bbe06</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65C02D5D</paraID>
      <start xmlns="http://schemas.wps.cn/vas-ai-hub/contract-review">0</start>
      <end xmlns="http://schemas.wps.cn/vas-ai-hub/contract-review">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f3fb015e-8f10-4e51-aedb-572fc92dceca</errorID>
      <errorWord xmlns="http://schemas.wps.cn/vas-ai-hub/contract-review">-辆</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一辆</item>
      </candidateList>
      <explain xmlns="http://schemas.wps.cn/vas-ai-hub/contract-review"/>
      <paraID xmlns="http://schemas.wps.cn/vas-ai-hub/contract-review">50737F71</paraID>
      <start xmlns="http://schemas.wps.cn/vas-ai-hub/contract-review">83</start>
      <end xmlns="http://schemas.wps.cn/vas-ai-hub/contract-review">85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1a975b2b-dae3-4e42-97c8-a0af6f88217e</errorID>
      <errorWord xmlns="http://schemas.wps.cn/vas-ai-hub/contract-review">破碎机</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碎机</item>
      </candidateList>
      <explain xmlns="http://schemas.wps.cn/vas-ai-hub/contract-review"/>
      <paraID xmlns="http://schemas.wps.cn/vas-ai-hub/contract-review">4EEB469A</paraID>
      <start xmlns="http://schemas.wps.cn/vas-ai-hub/contract-review">11</start>
      <end xmlns="http://schemas.wps.cn/vas-ai-hub/contract-review">13</end>
      <status xmlns="http://schemas.wps.cn/vas-ai-hub/contract-review">modified</status>
      <modifiedWord xmlns="http://schemas.wps.cn/vas-ai-hub/contract-review">碎机</modifiedWord>
      <trackRevisions xmlns="http://schemas.wps.cn/vas-ai-hub/contract-review">false</trackRevisions>
    </reviewItem>
    <reviewItem xmlns="http://schemas.wps.cn/vas-ai-hub/contract-review">
      <errorID xmlns="http://schemas.wps.cn/vas-ai-hub/contract-review">f22b85ec-22f6-45f0-9455-531dd26ac149</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
      <paraID xmlns="http://schemas.wps.cn/vas-ai-hub/contract-review">4EEB469A</paraID>
      <start xmlns="http://schemas.wps.cn/vas-ai-hub/contract-review">319</start>
      <end xmlns="http://schemas.wps.cn/vas-ai-hub/contract-review">320</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cc380259-3552-431d-ac20-e886a8350588</errorID>
      <errorWord xmlns="http://schemas.wps.cn/vas-ai-hub/contract-review">别</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别为</item>
      </candidateList>
      <explain xmlns="http://schemas.wps.cn/vas-ai-hub/contract-review"/>
      <paraID xmlns="http://schemas.wps.cn/vas-ai-hub/contract-review">6FC9FB90</paraID>
      <start xmlns="http://schemas.wps.cn/vas-ai-hub/contract-review">42</start>
      <end xmlns="http://schemas.wps.cn/vas-ai-hub/contract-review">44</end>
      <status xmlns="http://schemas.wps.cn/vas-ai-hub/contract-review">modified</status>
      <modifiedWord xmlns="http://schemas.wps.cn/vas-ai-hub/contract-review">别为</modifiedWord>
      <trackRevisions xmlns="http://schemas.wps.cn/vas-ai-hub/contract-review">false</trackRevisions>
    </reviewItem>
    <reviewItem xmlns="http://schemas.wps.cn/vas-ai-hub/contract-review">
      <errorID xmlns="http://schemas.wps.cn/vas-ai-hub/contract-review">fb519f93-8798-495a-96a0-ee18d23576c4</errorID>
      <errorWord xmlns="http://schemas.wps.cn/vas-ai-hub/contract-review">排除</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排出</item>
      </candidateList>
      <explain xmlns="http://schemas.wps.cn/vas-ai-hub/contract-review"/>
      <paraID xmlns="http://schemas.wps.cn/vas-ai-hub/contract-review">5E2E16A2</paraID>
      <start xmlns="http://schemas.wps.cn/vas-ai-hub/contract-review">176</start>
      <end xmlns="http://schemas.wps.cn/vas-ai-hub/contract-review">178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aa004f17-ac00-47f9-ba7c-0cf3d73e35a1</errorID>
      <errorWord xmlns="http://schemas.wps.cn/vas-ai-hub/contract-review">因子其</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因子</item>
      </candidateList>
      <explain xmlns="http://schemas.wps.cn/vas-ai-hub/contract-review"/>
      <paraID xmlns="http://schemas.wps.cn/vas-ai-hub/contract-review">5E2E16A2</paraID>
      <start xmlns="http://schemas.wps.cn/vas-ai-hub/contract-review">218</start>
      <end xmlns="http://schemas.wps.cn/vas-ai-hub/contract-review">220</end>
      <status xmlns="http://schemas.wps.cn/vas-ai-hub/contract-review">modified</status>
      <modifiedWord xmlns="http://schemas.wps.cn/vas-ai-hub/contract-review">因子</modifiedWord>
      <trackRevisions xmlns="http://schemas.wps.cn/vas-ai-hub/contract-review">false</trackRevisions>
    </reviewItem>
    <reviewItem xmlns="http://schemas.wps.cn/vas-ai-hub/contract-review">
      <errorID xmlns="http://schemas.wps.cn/vas-ai-hub/contract-review">50296ea7-20b0-496b-be1b-f479b1bf6ace</errorID>
      <errorWord xmlns="http://schemas.wps.cn/vas-ai-hub/contract-review">拋光</errorWord>
      <group xmlns="http://schemas.wps.cn/vas-ai-hub/contract-review">L1_Word</group>
      <groupName xmlns="http://schemas.wps.cn/vas-ai-hub/contract-review">字词问题</groupName>
      <ability xmlns="http://schemas.wps.cn/vas-ai-hub/contract-review">L2_Fanti</ability>
      <abilityName xmlns="http://schemas.wps.cn/vas-ai-hub/contract-review">繁转简</abilityName>
      <candidateList xmlns="http://schemas.wps.cn/vas-ai-hub/contract-review">
        <item xmlns="http://schemas.wps.cn/vas-ai-hub/contract-review">抛光</item>
      </candidateList>
      <explain xmlns="http://schemas.wps.cn/vas-ai-hub/contract-review"/>
      <paraID xmlns="http://schemas.wps.cn/vas-ai-hub/contract-review">77C2E4CC</paraID>
      <start xmlns="http://schemas.wps.cn/vas-ai-hub/contract-review">39</start>
      <end xmlns="http://schemas.wps.cn/vas-ai-hub/contract-review">41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c4e59b1a-0b2f-41d1-92ae-532bd0ae7644</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
      <paraID xmlns="http://schemas.wps.cn/vas-ai-hub/contract-review">77C2E4CC</paraID>
      <start xmlns="http://schemas.wps.cn/vas-ai-hub/contract-review">280</start>
      <end xmlns="http://schemas.wps.cn/vas-ai-hub/contract-review">281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a66c32fb-2d8d-463e-aab0-7b2c7d499793</errorID>
      <errorWord xmlns="http://schemas.wps.cn/vas-ai-hub/contract-review">则颗粒物</errorWord>
      <group xmlns="http://schemas.wps.cn/vas-ai-hub/contract-review">L1_Knowledge</group>
      <groupName xmlns="http://schemas.wps.cn/vas-ai-hub/contract-review">知识性问题</groupName>
      <ability xmlns="http://schemas.wps.cn/vas-ai-hub/contract-review">L2_Term</ability>
      <abilityName xmlns="http://schemas.wps.cn/vas-ai-hub/contract-review">专业术语</abilityName>
      <candidateList xmlns="http://schemas.wps.cn/vas-ai-hub/contract-review">
        <item xmlns="http://schemas.wps.cn/vas-ai-hub/contract-review">细颗粒物</item>
      </candidateList>
      <explain xmlns="http://schemas.wps.cn/vas-ai-hub/contract-review"/>
      <paraID xmlns="http://schemas.wps.cn/vas-ai-hub/contract-review">77C2E4CC</paraID>
      <start xmlns="http://schemas.wps.cn/vas-ai-hub/contract-review">361</start>
      <end xmlns="http://schemas.wps.cn/vas-ai-hub/contract-review">365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6d27019b-1aa9-4e86-9a0c-cd495053daef</errorID>
      <errorWord xmlns="http://schemas.wps.cn/vas-ai-hub/contract-review">拌合成</errorWord>
      <group xmlns="http://schemas.wps.cn/vas-ai-hub/contract-review">L1_Word</group>
      <groupName xmlns="http://schemas.wps.cn/vas-ai-hub/contract-review">字词问题</groupName>
      <ability xmlns="http://schemas.wps.cn/vas-ai-hub/contract-review">L2_Alias</ability>
      <abilityName xmlns="http://schemas.wps.cn/vas-ai-hub/contract-review">也作/曾用词</abilityName>
      <candidateList xmlns="http://schemas.wps.cn/vas-ai-hub/contract-review">
        <item xmlns="http://schemas.wps.cn/vas-ai-hub/contract-review">拌和成</item>
      </candidateList>
      <explain xmlns="http://schemas.wps.cn/vas-ai-hub/contract-review">词汇[拌合成]为不规范表述或旧称，其规范书面表述为[拌和成]。</explain>
      <paraID xmlns="http://schemas.wps.cn/vas-ai-hub/contract-review"> 82B1BDF</paraID>
      <start xmlns="http://schemas.wps.cn/vas-ai-hub/contract-review">21</start>
      <end xmlns="http://schemas.wps.cn/vas-ai-hub/contract-review">24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941f5b07-83e1-4c6b-9d49-e00d594522a6</errorID>
      <errorWord xmlns="http://schemas.wps.cn/vas-ai-hub/contract-review">的该</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的</item>
      </candidateList>
      <explain xmlns="http://schemas.wps.cn/vas-ai-hub/contract-review">“的”常用于连接修饰语与名词性中心语，表示属性、所属或描述。</explain>
      <paraID xmlns="http://schemas.wps.cn/vas-ai-hub/contract-review"> 82B1BDF</paraID>
      <start xmlns="http://schemas.wps.cn/vas-ai-hub/contract-review">49</start>
      <end xmlns="http://schemas.wps.cn/vas-ai-hub/contract-review">50</end>
      <status xmlns="http://schemas.wps.cn/vas-ai-hub/contract-review">modified</status>
      <modifiedWord xmlns="http://schemas.wps.cn/vas-ai-hub/contract-review">的</modifiedWord>
      <trackRevisions xmlns="http://schemas.wps.cn/vas-ai-hub/contract-review">false</trackRevisions>
    </reviewItem>
    <reviewItem xmlns="http://schemas.wps.cn/vas-ai-hub/contract-review">
      <errorID xmlns="http://schemas.wps.cn/vas-ai-hub/contract-review">94d905aa-d997-4a60-8bd2-1093656f0c2c</errorID>
      <errorWord xmlns="http://schemas.wps.cn/vas-ai-hub/contract-review">不已</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不易</item>
      </candidateList>
      <explain xmlns="http://schemas.wps.cn/vas-ai-hub/contract-review">存在发音相同字词的误用。</explain>
      <paraID xmlns="http://schemas.wps.cn/vas-ai-hub/contract-review"> 82B1BDF</paraID>
      <start xmlns="http://schemas.wps.cn/vas-ai-hub/contract-review">62</start>
      <end xmlns="http://schemas.wps.cn/vas-ai-hub/contract-review">64</end>
      <status xmlns="http://schemas.wps.cn/vas-ai-hub/contract-review">modified</status>
      <modifiedWord xmlns="http://schemas.wps.cn/vas-ai-hub/contract-review">不易</modifiedWord>
      <trackRevisions xmlns="http://schemas.wps.cn/vas-ai-hub/contract-review">false</trackRevisions>
    </reviewItem>
    <reviewItem xmlns="http://schemas.wps.cn/vas-ai-hub/contract-review">
      <errorID xmlns="http://schemas.wps.cn/vas-ai-hub/contract-review">d3795fb6-9b08-432e-8e3b-8c65faebe582</errorID>
      <errorWord xmlns="http://schemas.wps.cn/vas-ai-hub/contract-review">别</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别为</item>
      </candidateList>
      <explain xmlns="http://schemas.wps.cn/vas-ai-hub/contract-review"/>
      <paraID xmlns="http://schemas.wps.cn/vas-ai-hub/contract-review">477CA38B</paraID>
      <start xmlns="http://schemas.wps.cn/vas-ai-hub/contract-review">42</start>
      <end xmlns="http://schemas.wps.cn/vas-ai-hub/contract-review">44</end>
      <status xmlns="http://schemas.wps.cn/vas-ai-hub/contract-review">modified</status>
      <modifiedWord xmlns="http://schemas.wps.cn/vas-ai-hub/contract-review">别为</modifiedWord>
      <trackRevisions xmlns="http://schemas.wps.cn/vas-ai-hub/contract-review">false</trackRevisions>
    </reviewItem>
    <reviewItem xmlns="http://schemas.wps.cn/vas-ai-hub/contract-review">
      <errorID xmlns="http://schemas.wps.cn/vas-ai-hub/contract-review">7a3e498d-7930-4f59-8428-ef43c8f0893b</errorID>
      <errorWord xmlns="http://schemas.wps.cn/vas-ai-hub/contract-review">拋光</errorWord>
      <group xmlns="http://schemas.wps.cn/vas-ai-hub/contract-review">L1_Word</group>
      <groupName xmlns="http://schemas.wps.cn/vas-ai-hub/contract-review">字词问题</groupName>
      <ability xmlns="http://schemas.wps.cn/vas-ai-hub/contract-review">L2_Fanti</ability>
      <abilityName xmlns="http://schemas.wps.cn/vas-ai-hub/contract-review">繁转简</abilityName>
      <candidateList xmlns="http://schemas.wps.cn/vas-ai-hub/contract-review">
        <item xmlns="http://schemas.wps.cn/vas-ai-hub/contract-review">抛光</item>
      </candidateList>
      <explain xmlns="http://schemas.wps.cn/vas-ai-hub/contract-review"/>
      <paraID xmlns="http://schemas.wps.cn/vas-ai-hub/contract-review">6866857E</paraID>
      <start xmlns="http://schemas.wps.cn/vas-ai-hub/contract-review">26</start>
      <end xmlns="http://schemas.wps.cn/vas-ai-hub/contract-review">28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e379ce2e-f52b-484a-8a76-f46db29e1210</errorID>
      <errorWord xmlns="http://schemas.wps.cn/vas-ai-hub/contract-review">棚布</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篷布</item>
      </candidateList>
      <explain xmlns="http://schemas.wps.cn/vas-ai-hub/contract-review">存在发音相同字词的误用。</explain>
      <paraID xmlns="http://schemas.wps.cn/vas-ai-hub/contract-review">384DFF9B</paraID>
      <start xmlns="http://schemas.wps.cn/vas-ai-hub/contract-review">36</start>
      <end xmlns="http://schemas.wps.cn/vas-ai-hub/contract-review">38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02915b96-09f4-4139-8cc6-1f604deafb08</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347AA1F9</paraID>
      <start xmlns="http://schemas.wps.cn/vas-ai-hub/contract-review">61</start>
      <end xmlns="http://schemas.wps.cn/vas-ai-hub/contract-review">62</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1959fdf4-8eb6-47f3-ae1d-22ca31111ec7</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347AA1F9</paraID>
      <start xmlns="http://schemas.wps.cn/vas-ai-hub/contract-review">71</start>
      <end xmlns="http://schemas.wps.cn/vas-ai-hub/contract-review">72</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56651487-7c08-4819-996d-69c5c2ec3c97</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
      <paraID xmlns="http://schemas.wps.cn/vas-ai-hub/contract-review">5FB7F8BA</paraID>
      <start xmlns="http://schemas.wps.cn/vas-ai-hub/contract-review">1</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20f59d5d-681a-431f-923e-d6f46648e17c</errorID>
      <errorWord xmlns="http://schemas.wps.cn/vas-ai-hub/contract-review">程</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程中</item>
      </candidateList>
      <explain xmlns="http://schemas.wps.cn/vas-ai-hub/contract-review"/>
      <paraID xmlns="http://schemas.wps.cn/vas-ai-hub/contract-review">1CE43DB5</paraID>
      <start xmlns="http://schemas.wps.cn/vas-ai-hub/contract-review">231</start>
      <end xmlns="http://schemas.wps.cn/vas-ai-hub/contract-review">232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e7bcf244-3bd9-4da7-b76a-47ffb1d3cdca</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148D49DB</paraID>
      <start xmlns="http://schemas.wps.cn/vas-ai-hub/contract-review">48</start>
      <end xmlns="http://schemas.wps.cn/vas-ai-hub/contract-review">49</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51e0a1f6-0dbf-4e08-9166-8e893f136a8d</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148D49DB</paraID>
      <start xmlns="http://schemas.wps.cn/vas-ai-hub/contract-review">54</start>
      <end xmlns="http://schemas.wps.cn/vas-ai-hub/contract-review">55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089125b0-de0a-44bd-a94c-335e42709cbf</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148D49DB</paraID>
      <start xmlns="http://schemas.wps.cn/vas-ai-hub/contract-review">72</start>
      <end xmlns="http://schemas.wps.cn/vas-ai-hub/contract-review">73</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c546c2e2-810c-47e6-b1e6-3f915260a4d6</errorID>
      <errorWord xmlns="http://schemas.wps.cn/vas-ai-hub/contract-review">达</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达到</item>
      </candidateList>
      <explain xmlns="http://schemas.wps.cn/vas-ai-hub/contract-review">〈动〉到（多指抽象事物或程度）：达得到｜达不到｜目的没有～｜～国际水平。</explain>
      <paraID xmlns="http://schemas.wps.cn/vas-ai-hub/contract-review">148D49DB</paraID>
      <start xmlns="http://schemas.wps.cn/vas-ai-hub/contract-review">268</start>
      <end xmlns="http://schemas.wps.cn/vas-ai-hub/contract-review">270</end>
      <status xmlns="http://schemas.wps.cn/vas-ai-hub/contract-review">modified</status>
      <modifiedWord xmlns="http://schemas.wps.cn/vas-ai-hub/contract-review">达到</modifiedWord>
      <trackRevisions xmlns="http://schemas.wps.cn/vas-ai-hub/contract-review">false</trackRevisions>
    </reviewItem>
    <reviewItem xmlns="http://schemas.wps.cn/vas-ai-hub/contract-review">
      <errorID xmlns="http://schemas.wps.cn/vas-ai-hub/contract-review">b8e7fe02-b01a-4446-bf91-c41a451a310f</errorID>
      <errorWord xmlns="http://schemas.wps.cn/vas-ai-hub/contract-review">达</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达到</item>
      </candidateList>
      <explain xmlns="http://schemas.wps.cn/vas-ai-hub/contract-review">〈动〉到（多指抽象事物或程度）：达得到｜达不到｜目的没有～｜～国际水平。</explain>
      <paraID xmlns="http://schemas.wps.cn/vas-ai-hub/contract-review">5728A62F</paraID>
      <start xmlns="http://schemas.wps.cn/vas-ai-hub/contract-review">29</start>
      <end xmlns="http://schemas.wps.cn/vas-ai-hub/contract-review">31</end>
      <status xmlns="http://schemas.wps.cn/vas-ai-hub/contract-review">modified</status>
      <modifiedWord xmlns="http://schemas.wps.cn/vas-ai-hub/contract-review">达到</modifiedWord>
      <trackRevisions xmlns="http://schemas.wps.cn/vas-ai-hub/contract-review">false</trackRevisions>
    </reviewItem>
    <reviewItem xmlns="http://schemas.wps.cn/vas-ai-hub/contract-review">
      <errorID xmlns="http://schemas.wps.cn/vas-ai-hub/contract-review">09ba3a82-8f86-4202-aa14-ec5988eaacf4</errorID>
      <errorWord xmlns="http://schemas.wps.cn/vas-ai-hub/contract-review">用与</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用于</item>
      </candidateList>
      <explain xmlns="http://schemas.wps.cn/vas-ai-hub/contract-review">存在发音相同字词的误用。</explain>
      <paraID xmlns="http://schemas.wps.cn/vas-ai-hub/contract-review">5728A62F</paraID>
      <start xmlns="http://schemas.wps.cn/vas-ai-hub/contract-review">188</start>
      <end xmlns="http://schemas.wps.cn/vas-ai-hub/contract-review">190</end>
      <status xmlns="http://schemas.wps.cn/vas-ai-hub/contract-review">modified</status>
      <modifiedWord xmlns="http://schemas.wps.cn/vas-ai-hub/contract-review">用于</modifiedWord>
      <trackRevisions xmlns="http://schemas.wps.cn/vas-ai-hub/contract-review">false</trackRevisions>
    </reviewItem>
    <reviewItem xmlns="http://schemas.wps.cn/vas-ai-hub/contract-review">
      <errorID xmlns="http://schemas.wps.cn/vas-ai-hub/contract-review">cd428502-3d07-420d-ae01-7a3e351e20aa</errorID>
      <errorWord xmlns="http://schemas.wps.cn/vas-ai-hub/contract-review">科</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可</item>
      </candidateList>
      <explain xmlns="http://schemas.wps.cn/vas-ai-hub/contract-review">〈动〉适合：～人意｜这回倒～了他的心了。</explain>
      <paraID xmlns="http://schemas.wps.cn/vas-ai-hub/contract-review">5728A62F</paraID>
      <start xmlns="http://schemas.wps.cn/vas-ai-hub/contract-review">450</start>
      <end xmlns="http://schemas.wps.cn/vas-ai-hub/contract-review">451</end>
      <status xmlns="http://schemas.wps.cn/vas-ai-hub/contract-review">modified</status>
      <modifiedWord xmlns="http://schemas.wps.cn/vas-ai-hub/contract-review">可</modifiedWord>
      <trackRevisions xmlns="http://schemas.wps.cn/vas-ai-hub/contract-review">false</trackRevisions>
    </reviewItem>
    <reviewItem xmlns="http://schemas.wps.cn/vas-ai-hub/contract-review">
      <errorID xmlns="http://schemas.wps.cn/vas-ai-hub/contract-review">5e60431a-bd48-4e9b-8896-e4ca5a836f4b</errorID>
      <errorWord xmlns="http://schemas.wps.cn/vas-ai-hub/contract-review">铊沉淀物</errorWord>
      <group xmlns="http://schemas.wps.cn/vas-ai-hub/contract-review">L1_Knowledge</group>
      <groupName xmlns="http://schemas.wps.cn/vas-ai-hub/contract-review">知识性问题</groupName>
      <ability xmlns="http://schemas.wps.cn/vas-ai-hub/contract-review">L2_Term</ability>
      <abilityName xmlns="http://schemas.wps.cn/vas-ai-hub/contract-review">专业术语</abilityName>
      <candidateList xmlns="http://schemas.wps.cn/vas-ai-hub/contract-review">
        <item xmlns="http://schemas.wps.cn/vas-ai-hub/contract-review">共沉淀物</item>
      </candidateList>
      <explain xmlns="http://schemas.wps.cn/vas-ai-hub/contract-review"/>
      <paraID xmlns="http://schemas.wps.cn/vas-ai-hub/contract-review">20C76BDB</paraID>
      <start xmlns="http://schemas.wps.cn/vas-ai-hub/contract-review">119</start>
      <end xmlns="http://schemas.wps.cn/vas-ai-hub/contract-review">123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b29efd2d-f414-4e69-af5e-3732cff6edc4</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2F82F3CC</paraID>
      <start xmlns="http://schemas.wps.cn/vas-ai-hub/contract-review">33</start>
      <end xmlns="http://schemas.wps.cn/vas-ai-hub/contract-review">34</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d08c0c4a-e85d-4755-9b0f-99cb8b010989</errorID>
      <errorWord xmlns="http://schemas.wps.cn/vas-ai-hub/contract-review">现</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先</item>
      </candidateList>
      <explain xmlns="http://schemas.wps.cn/vas-ai-hub/contract-review">存在发音相同字词的误用。</explain>
      <paraID xmlns="http://schemas.wps.cn/vas-ai-hub/contract-review">325CFA3E</paraID>
      <start xmlns="http://schemas.wps.cn/vas-ai-hub/contract-review">17</start>
      <end xmlns="http://schemas.wps.cn/vas-ai-hub/contract-review">18</end>
      <status xmlns="http://schemas.wps.cn/vas-ai-hub/contract-review">modified</status>
      <modifiedWord xmlns="http://schemas.wps.cn/vas-ai-hub/contract-review">先</modifiedWord>
      <trackRevisions xmlns="http://schemas.wps.cn/vas-ai-hub/contract-review">false</trackRevisions>
    </reviewItem>
    <reviewItem xmlns="http://schemas.wps.cn/vas-ai-hub/contract-review">
      <errorID xmlns="http://schemas.wps.cn/vas-ai-hub/contract-review">ffd5f247-b34b-4849-9e5a-34bdce10f3a8</errorID>
      <errorWord xmlns="http://schemas.wps.cn/vas-ai-hub/contract-review">围堰仅</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围堰</item>
      </candidateList>
      <explain xmlns="http://schemas.wps.cn/vas-ai-hub/contract-review"/>
      <paraID xmlns="http://schemas.wps.cn/vas-ai-hub/contract-review">3761B96D</paraID>
      <start xmlns="http://schemas.wps.cn/vas-ai-hub/contract-review">65</start>
      <end xmlns="http://schemas.wps.cn/vas-ai-hub/contract-review">67</end>
      <status xmlns="http://schemas.wps.cn/vas-ai-hub/contract-review">modified</status>
      <modifiedWord xmlns="http://schemas.wps.cn/vas-ai-hub/contract-review">围堰</modifiedWord>
      <trackRevisions xmlns="http://schemas.wps.cn/vas-ai-hub/contract-review">false</trackRevisions>
    </reviewItem>
    <reviewItem xmlns="http://schemas.wps.cn/vas-ai-hub/contract-review">
      <errorID xmlns="http://schemas.wps.cn/vas-ai-hub/contract-review">0d8d28f6-766f-419c-a957-0c2172edd5eb</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42E58966</paraID>
      <start xmlns="http://schemas.wps.cn/vas-ai-hub/contract-review">80</start>
      <end xmlns="http://schemas.wps.cn/vas-ai-hub/contract-review">81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61e6bd10-a508-499a-aa4f-b08405ecbebe</errorID>
      <errorWord xmlns="http://schemas.wps.cn/vas-ai-hub/contract-review">达</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达到</item>
      </candidateList>
      <explain xmlns="http://schemas.wps.cn/vas-ai-hub/contract-review">〈动〉到（多指抽象事物或程度）：达得到｜达不到｜目的没有～｜～国际水平。</explain>
      <paraID xmlns="http://schemas.wps.cn/vas-ai-hub/contract-review">1A2C6958</paraID>
      <start xmlns="http://schemas.wps.cn/vas-ai-hub/contract-review">23</start>
      <end xmlns="http://schemas.wps.cn/vas-ai-hub/contract-review">25</end>
      <status xmlns="http://schemas.wps.cn/vas-ai-hub/contract-review">modified</status>
      <modifiedWord xmlns="http://schemas.wps.cn/vas-ai-hub/contract-review">达到</modifiedWord>
      <trackRevisions xmlns="http://schemas.wps.cn/vas-ai-hub/contract-review">false</trackRevisions>
    </reviewItem>
    <reviewItem xmlns="http://schemas.wps.cn/vas-ai-hub/contract-review">
      <errorID xmlns="http://schemas.wps.cn/vas-ai-hub/contract-review">f2d6998f-bfbd-4d9f-b3d4-8c291cdfde97</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C913D0</paraID>
      <start xmlns="http://schemas.wps.cn/vas-ai-hub/contract-review">36</start>
      <end xmlns="http://schemas.wps.cn/vas-ai-hub/contract-review">37</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d8e2e670-9eb8-4912-b565-d42979c4766b</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753748C9</paraID>
      <start xmlns="http://schemas.wps.cn/vas-ai-hub/contract-review">7</start>
      <end xmlns="http://schemas.wps.cn/vas-ai-hub/contract-review">8</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deba644e-a4d9-48b8-8592-4d6f88094956</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446BF0A9</paraID>
      <start xmlns="http://schemas.wps.cn/vas-ai-hub/contract-review">0</start>
      <end xmlns="http://schemas.wps.cn/vas-ai-hub/contract-review">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6d788f62-954b-4968-8d28-c990f7d39ed7</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22C66F71</paraID>
      <start xmlns="http://schemas.wps.cn/vas-ai-hub/contract-review">7</start>
      <end xmlns="http://schemas.wps.cn/vas-ai-hub/contract-review">8</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31c3e5ae-9656-4c0c-8197-717515228a0c</errorID>
      <errorWord xmlns="http://schemas.wps.cn/vas-ai-hub/contract-review">来自于</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来自</item>
      </candidateList>
      <explain xmlns="http://schemas.wps.cn/vas-ai-hub/contract-review"/>
      <paraID xmlns="http://schemas.wps.cn/vas-ai-hub/contract-review">1F3DD2C1</paraID>
      <start xmlns="http://schemas.wps.cn/vas-ai-hub/contract-review">11</start>
      <end xmlns="http://schemas.wps.cn/vas-ai-hub/contract-review">13</end>
      <status xmlns="http://schemas.wps.cn/vas-ai-hub/contract-review">modified</status>
      <modifiedWord xmlns="http://schemas.wps.cn/vas-ai-hub/contract-review">来自</modifiedWord>
      <trackRevisions xmlns="http://schemas.wps.cn/vas-ai-hub/contract-review">false</trackRevisions>
    </reviewItem>
    <reviewItem xmlns="http://schemas.wps.cn/vas-ai-hub/contract-review">
      <errorID xmlns="http://schemas.wps.cn/vas-ai-hub/contract-review">862d080d-502d-4522-aa4d-27fb0c97a74a</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1F3DD2C1</paraID>
      <start xmlns="http://schemas.wps.cn/vas-ai-hub/contract-review">34</start>
      <end xmlns="http://schemas.wps.cn/vas-ai-hub/contract-review">35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4eb34cdd-18ac-48af-b302-89e9269329ee</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27E193E7</paraID>
      <start xmlns="http://schemas.wps.cn/vas-ai-hub/contract-review">22</start>
      <end xmlns="http://schemas.wps.cn/vas-ai-hub/contract-review">23</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14354504-c984-4c52-9b67-041e814e8f43</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4F798A58</paraID>
      <start xmlns="http://schemas.wps.cn/vas-ai-hub/contract-review">25</start>
      <end xmlns="http://schemas.wps.cn/vas-ai-hub/contract-review">26</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16890a81-31c7-44a6-aef5-574193534be4</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6EB6D427</paraID>
      <start xmlns="http://schemas.wps.cn/vas-ai-hub/contract-review">28</start>
      <end xmlns="http://schemas.wps.cn/vas-ai-hub/contract-review">29</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c9ddafee-aa16-45a6-aded-9055bd4e64df</errorID>
      <errorWord xmlns="http://schemas.wps.cn/vas-ai-hub/contract-review">迭加</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叠加</item>
      </candidateList>
      <explain xmlns="http://schemas.wps.cn/vas-ai-hub/contract-review"/>
      <paraID xmlns="http://schemas.wps.cn/vas-ai-hub/contract-review">63DAB871</paraID>
      <start xmlns="http://schemas.wps.cn/vas-ai-hub/contract-review">31</start>
      <end xmlns="http://schemas.wps.cn/vas-ai-hub/contract-review">33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89289aa9-bd3c-42a5-a9e3-c43ac34edb16</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63DAB871</paraID>
      <start xmlns="http://schemas.wps.cn/vas-ai-hub/contract-review">44</start>
      <end xmlns="http://schemas.wps.cn/vas-ai-hub/contract-review">45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6d51de6d-5773-4371-ab6a-96d09ed4ba6e</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B45D36</paraID>
      <start xmlns="http://schemas.wps.cn/vas-ai-hub/contract-review">72</start>
      <end xmlns="http://schemas.wps.cn/vas-ai-hub/contract-review">73</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47e05004-346a-4059-a309-7e2842fb2729</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1DDA5675</paraID>
      <start xmlns="http://schemas.wps.cn/vas-ai-hub/contract-review">84</start>
      <end xmlns="http://schemas.wps.cn/vas-ai-hub/contract-review">85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a95491a5-8216-4c8f-94ab-a4b2cc2bf893</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7DF68266</paraID>
      <start xmlns="http://schemas.wps.cn/vas-ai-hub/contract-review">70</start>
      <end xmlns="http://schemas.wps.cn/vas-ai-hub/contract-review">71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5cce4e50-8d08-41c3-bb5a-fb69185ce382</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4AB5CDEA</paraID>
      <start xmlns="http://schemas.wps.cn/vas-ai-hub/contract-review">65</start>
      <end xmlns="http://schemas.wps.cn/vas-ai-hub/contract-review">66</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6377a765-b961-4eba-bb43-7b47ea5bf735</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6EE33B94</paraID>
      <start xmlns="http://schemas.wps.cn/vas-ai-hub/contract-review">36</start>
      <end xmlns="http://schemas.wps.cn/vas-ai-hub/contract-review">37</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123a945b-0cfe-457f-aeb0-4453993fd4ab</errorID>
      <errorWord xmlns="http://schemas.wps.cn/vas-ai-hub/contract-review">连轴节</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联轴节</item>
      </candidateList>
      <explain xmlns="http://schemas.wps.cn/vas-ai-hub/contract-review">存在发音相同字词的误用。</explain>
      <paraID xmlns="http://schemas.wps.cn/vas-ai-hub/contract-review">7A61D400</paraID>
      <start xmlns="http://schemas.wps.cn/vas-ai-hub/contract-review">24</start>
      <end xmlns="http://schemas.wps.cn/vas-ai-hub/contract-review">27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dcda36ce-bc3c-498b-99d4-b7bfdec0f7b3</errorID>
      <errorWord xmlns="http://schemas.wps.cn/vas-ai-hub/contract-review">其它</errorWord>
      <group xmlns="http://schemas.wps.cn/vas-ai-hub/contract-review">L1_Word</group>
      <groupName xmlns="http://schemas.wps.cn/vas-ai-hub/contract-review">字词问题</groupName>
      <ability xmlns="http://schemas.wps.cn/vas-ai-hub/contract-review">L2_Alias</ability>
      <abilityName xmlns="http://schemas.wps.cn/vas-ai-hub/contract-review">也作/曾用词</abilityName>
      <candidateList xmlns="http://schemas.wps.cn/vas-ai-hub/contract-review">
        <item xmlns="http://schemas.wps.cn/vas-ai-hub/contract-review">其他</item>
      </candidateList>
      <explain xmlns="http://schemas.wps.cn/vas-ai-hub/contract-review">词汇[其它]为不规范表述或旧称，其规范书面表述为[其他]。</explain>
      <paraID xmlns="http://schemas.wps.cn/vas-ai-hub/contract-review">7A61D400</paraID>
      <start xmlns="http://schemas.wps.cn/vas-ai-hub/contract-review">32</start>
      <end xmlns="http://schemas.wps.cn/vas-ai-hub/contract-review">34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42e500c3-0b7e-4eae-af64-fb99601cb75a</errorID>
      <errorWord xmlns="http://schemas.wps.cn/vas-ai-hub/contract-review">企业在</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企业</item>
      </candidateList>
      <explain xmlns="http://schemas.wps.cn/vas-ai-hub/contract-review">〈名〉从事生产、运输、贸易等经济活动的部门，如工厂、矿山、铁路、公司等。</explain>
      <paraID xmlns="http://schemas.wps.cn/vas-ai-hub/contract-review">7F08791E</paraID>
      <start xmlns="http://schemas.wps.cn/vas-ai-hub/contract-review">6</start>
      <end xmlns="http://schemas.wps.cn/vas-ai-hub/contract-review">9</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0e23a831-8377-4311-ad78-555f8a7c8367</errorID>
      <errorWord xmlns="http://schemas.wps.cn/vas-ai-hub/contract-review">提</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提出</item>
      </candidateList>
      <explain xmlns="http://schemas.wps.cn/vas-ai-hub/contract-review"/>
      <paraID xmlns="http://schemas.wps.cn/vas-ai-hub/contract-review">7F08791E</paraID>
      <start xmlns="http://schemas.wps.cn/vas-ai-hub/contract-review">17</start>
      <end xmlns="http://schemas.wps.cn/vas-ai-hub/contract-review">18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0f6fb5b3-a931-4096-90f4-3866f0c2e954</errorID>
      <errorWord xmlns="http://schemas.wps.cn/vas-ai-hub/contract-review">年</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年第</item>
      </candidateList>
      <explain xmlns="http://schemas.wps.cn/vas-ai-hub/contract-review"/>
      <paraID xmlns="http://schemas.wps.cn/vas-ai-hub/contract-review">38F11DA5</paraID>
      <start xmlns="http://schemas.wps.cn/vas-ai-hub/contract-review">66</start>
      <end xmlns="http://schemas.wps.cn/vas-ai-hub/contract-review">68</end>
      <status xmlns="http://schemas.wps.cn/vas-ai-hub/contract-review">modified</status>
      <modifiedWord xmlns="http://schemas.wps.cn/vas-ai-hub/contract-review">年第</modifiedWord>
      <trackRevisions xmlns="http://schemas.wps.cn/vas-ai-hub/contract-review">false</trackRevisions>
    </reviewItem>
    <reviewItem xmlns="http://schemas.wps.cn/vas-ai-hub/contract-review">
      <errorID xmlns="http://schemas.wps.cn/vas-ai-hub/contract-review">73b4e5b4-c85b-471f-8b5c-6c872c33be48</errorID>
      <errorWord xmlns="http://schemas.wps.cn/vas-ai-hub/contract-review">年</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年第</item>
      </candidateList>
      <explain xmlns="http://schemas.wps.cn/vas-ai-hub/contract-review"/>
      <paraID xmlns="http://schemas.wps.cn/vas-ai-hub/contract-review">5B966C34</paraID>
      <start xmlns="http://schemas.wps.cn/vas-ai-hub/contract-review">61</start>
      <end xmlns="http://schemas.wps.cn/vas-ai-hub/contract-review">63</end>
      <status xmlns="http://schemas.wps.cn/vas-ai-hub/contract-review">modified</status>
      <modifiedWord xmlns="http://schemas.wps.cn/vas-ai-hub/contract-review">年第</modifiedWord>
      <trackRevisions xmlns="http://schemas.wps.cn/vas-ai-hub/contract-review">false</trackRevisions>
    </reviewItem>
    <reviewItem xmlns="http://schemas.wps.cn/vas-ai-hub/contract-review">
      <errorID xmlns="http://schemas.wps.cn/vas-ai-hub/contract-review">3118dfec-bbd8-4461-9981-b68c7ef1a18e</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45AC3598</paraID>
      <start xmlns="http://schemas.wps.cn/vas-ai-hub/contract-review">90</start>
      <end xmlns="http://schemas.wps.cn/vas-ai-hub/contract-review">91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47ecd0ee-7981-4726-8707-6a86bb5ac7e3</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51366E2F</paraID>
      <start xmlns="http://schemas.wps.cn/vas-ai-hub/contract-review">75</start>
      <end xmlns="http://schemas.wps.cn/vas-ai-hub/contract-review">76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728cd18a-e7b8-443c-b536-1a0300f5d859</errorID>
      <errorWord xmlns="http://schemas.wps.cn/vas-ai-hub/contract-review">年</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年第</item>
      </candidateList>
      <explain xmlns="http://schemas.wps.cn/vas-ai-hub/contract-review"/>
      <paraID xmlns="http://schemas.wps.cn/vas-ai-hub/contract-review">22094235</paraID>
      <start xmlns="http://schemas.wps.cn/vas-ai-hub/contract-review">71</start>
      <end xmlns="http://schemas.wps.cn/vas-ai-hub/contract-review">73</end>
      <status xmlns="http://schemas.wps.cn/vas-ai-hub/contract-review">modified</status>
      <modifiedWord xmlns="http://schemas.wps.cn/vas-ai-hub/contract-review">年第</modifiedWord>
      <trackRevisions xmlns="http://schemas.wps.cn/vas-ai-hub/contract-review">false</trackRevisions>
    </reviewItem>
    <reviewItem xmlns="http://schemas.wps.cn/vas-ai-hub/contract-review">
      <errorID xmlns="http://schemas.wps.cn/vas-ai-hub/contract-review">516d4d0b-c646-4958-b0a5-c6c78d7725f7</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22094235</paraID>
      <start xmlns="http://schemas.wps.cn/vas-ai-hub/contract-review">87</start>
      <end xmlns="http://schemas.wps.cn/vas-ai-hub/contract-review">88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8b074c0d-cfc8-4b6d-b5a7-208b758ea255</errorID>
      <errorWord xmlns="http://schemas.wps.cn/vas-ai-hub/contract-review">来自于</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来自</item>
      </candidateList>
      <explain xmlns="http://schemas.wps.cn/vas-ai-hub/contract-review"/>
      <paraID xmlns="http://schemas.wps.cn/vas-ai-hub/contract-review">64C81206</paraID>
      <start xmlns="http://schemas.wps.cn/vas-ai-hub/contract-review">15</start>
      <end xmlns="http://schemas.wps.cn/vas-ai-hub/contract-review">17</end>
      <status xmlns="http://schemas.wps.cn/vas-ai-hub/contract-review">modified</status>
      <modifiedWord xmlns="http://schemas.wps.cn/vas-ai-hub/contract-review">来自</modifiedWord>
      <trackRevisions xmlns="http://schemas.wps.cn/vas-ai-hub/contract-review">false</trackRevisions>
    </reviewItem>
    <reviewItem xmlns="http://schemas.wps.cn/vas-ai-hub/contract-review">
      <errorID xmlns="http://schemas.wps.cn/vas-ai-hub/contract-review">27ab8092-5878-4998-bb91-e6b7085e695c</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 </item>
      </candidateList>
      <explain xmlns="http://schemas.wps.cn/vas-ai-hub/contract-review">文本全半角错误。</explain>
      <paraID xmlns="http://schemas.wps.cn/vas-ai-hub/contract-review">12D518A9</paraID>
      <start xmlns="http://schemas.wps.cn/vas-ai-hub/contract-review">1</start>
      <end xmlns="http://schemas.wps.cn/vas-ai-hub/contract-review">3</end>
      <status xmlns="http://schemas.wps.cn/vas-ai-hub/contract-review">modified</status>
      <modifiedWord xmlns="http://schemas.wps.cn/vas-ai-hub/contract-review">, </modifiedWord>
      <trackRevisions xmlns="http://schemas.wps.cn/vas-ai-hub/contract-review">false</trackRevisions>
    </reviewItem>
    <reviewItem xmlns="http://schemas.wps.cn/vas-ai-hub/contract-review">
      <errorID xmlns="http://schemas.wps.cn/vas-ai-hub/contract-review">5a7f3af6-64c6-44ca-a770-f3757db2da21</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76D14928</paraID>
      <start xmlns="http://schemas.wps.cn/vas-ai-hub/contract-review">4</start>
      <end xmlns="http://schemas.wps.cn/vas-ai-hub/contract-review">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7c3a9fcc-9120-48c3-af0e-8ac8b9e5397e</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50BE52B2</paraID>
      <start xmlns="http://schemas.wps.cn/vas-ai-hub/contract-review">4</start>
      <end xmlns="http://schemas.wps.cn/vas-ai-hub/contract-review">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19cd5624-b3f2-4e59-8aa3-803c4aaf0fd1</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601BBFA</paraID>
      <start xmlns="http://schemas.wps.cn/vas-ai-hub/contract-review">4</start>
      <end xmlns="http://schemas.wps.cn/vas-ai-hub/contract-review">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60eda8da-64ef-4106-8322-edccd9a3586d</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601BBFA</paraID>
      <start xmlns="http://schemas.wps.cn/vas-ai-hub/contract-review">39</start>
      <end xmlns="http://schemas.wps.cn/vas-ai-hub/contract-review">40</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c7f70243-b5bd-49cc-8a27-9386503e6669</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4.13.3.2节，标识相关项目（如时间、地域等）的起止，以及标识数值范围（由阿拉伯数字或汉字数字构成）的起止时，一般用一字线或长浪纹线。如“25～30g”“2011年2月3日—10日”。</explain>
      <paraID xmlns="http://schemas.wps.cn/vas-ai-hub/contract-review">65F5DEAF</paraID>
      <start xmlns="http://schemas.wps.cn/vas-ai-hub/contract-review">66</start>
      <end xmlns="http://schemas.wps.cn/vas-ai-hub/contract-review">67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1b640922-6044-40ff-837a-7e973da02032</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9116B7F</paraID>
      <start xmlns="http://schemas.wps.cn/vas-ai-hub/contract-review">42</start>
      <end xmlns="http://schemas.wps.cn/vas-ai-hub/contract-review">43</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d370cc5a-6970-45fa-82b9-6a6c04e04651</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9116B7F</paraID>
      <start xmlns="http://schemas.wps.cn/vas-ai-hub/contract-review">48</start>
      <end xmlns="http://schemas.wps.cn/vas-ai-hub/contract-review">49</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bb03c904-eedd-4ab9-bcb9-7a4893967e54</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20D69BB8</paraID>
      <start xmlns="http://schemas.wps.cn/vas-ai-hub/contract-review">79</start>
      <end xmlns="http://schemas.wps.cn/vas-ai-hub/contract-review">80</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bb1c3790-cc04-4e0e-b7b5-fc49857f1555</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4.13.3.2节，标识相关项目（如时间、地域等）的起止，以及标识数值范围（由阿拉伯数字或汉字数字构成）的起止时，一般用一字线或长浪纹线。如“25～30g”“2011年2月3日—10日”。</explain>
      <paraID xmlns="http://schemas.wps.cn/vas-ai-hub/contract-review">20D69BB8</paraID>
      <start xmlns="http://schemas.wps.cn/vas-ai-hub/contract-review">90</start>
      <end xmlns="http://schemas.wps.cn/vas-ai-hub/contract-review">91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f9ba454e-73f6-4516-9f56-bc6eca68e7ea</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20D69BB8</paraID>
      <start xmlns="http://schemas.wps.cn/vas-ai-hub/contract-review">96</start>
      <end xmlns="http://schemas.wps.cn/vas-ai-hub/contract-review">97</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09f4936f-3c26-41e1-84e7-7fb560beb463</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781E16F1</paraID>
      <start xmlns="http://schemas.wps.cn/vas-ai-hub/contract-review">72</start>
      <end xmlns="http://schemas.wps.cn/vas-ai-hub/contract-review">73</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06d85d4b-66cb-43c3-a677-f0b29c299c2c</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4.13.3.2节，标识相关项目（如时间、地域等）的起止，以及标识数值范围（由阿拉伯数字或汉字数字构成）的起止时，一般用一字线或长浪纹线。如“25～30g”“2011年2月3日—10日”。</explain>
      <paraID xmlns="http://schemas.wps.cn/vas-ai-hub/contract-review">781E16F1</paraID>
      <start xmlns="http://schemas.wps.cn/vas-ai-hub/contract-review">83</start>
      <end xmlns="http://schemas.wps.cn/vas-ai-hub/contract-review">84</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ea17568e-fff7-4d3b-8917-cf2a798df252</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781E16F1</paraID>
      <start xmlns="http://schemas.wps.cn/vas-ai-hub/contract-review">89</start>
      <end xmlns="http://schemas.wps.cn/vas-ai-hub/contract-review">90</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2a6af8df-0c26-4251-a1b1-f9f6741fd8ab</errorID>
      <errorWord xmlns="http://schemas.wps.cn/vas-ai-hub/contract-review">可</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可以</item>
      </candidateList>
      <explain xmlns="http://schemas.wps.cn/vas-ai-hub/contract-review">〈口〉〈形〉❶好；不坏；过得去：这篇文章写得还～。❷厉害：你这张嘴真～｜天气实在热得～。</explain>
      <paraID xmlns="http://schemas.wps.cn/vas-ai-hub/contract-review">4901AFCD</paraID>
      <start xmlns="http://schemas.wps.cn/vas-ai-hub/contract-review">59</start>
      <end xmlns="http://schemas.wps.cn/vas-ai-hub/contract-review">60</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1ee095c8-adc7-4001-bd02-7a7f484dfdfe</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
      <paraID xmlns="http://schemas.wps.cn/vas-ai-hub/contract-review">62B324CD</paraID>
      <start xmlns="http://schemas.wps.cn/vas-ai-hub/contract-review">5</start>
      <end xmlns="http://schemas.wps.cn/vas-ai-hub/contract-review">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133a20eb-02e9-4336-bdec-c3c4820c6fb1</errorID>
      <errorWord xmlns="http://schemas.wps.cn/vas-ai-hub/contract-review">环保治理</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环境治理</item>
      </candidateList>
      <explain xmlns="http://schemas.wps.cn/vas-ai-hub/contract-review"/>
      <paraID xmlns="http://schemas.wps.cn/vas-ai-hub/contract-review">29B4AE2C</paraID>
      <start xmlns="http://schemas.wps.cn/vas-ai-hub/contract-review">27</start>
      <end xmlns="http://schemas.wps.cn/vas-ai-hub/contract-review">31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a6092455-4294-4729-b652-ba53c0d99b26</errorID>
      <errorWord xmlns="http://schemas.wps.cn/vas-ai-hub/contract-review">程</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程中</item>
      </candidateList>
      <explain xmlns="http://schemas.wps.cn/vas-ai-hub/contract-review"/>
      <paraID xmlns="http://schemas.wps.cn/vas-ai-hub/contract-review">26B37D11</paraID>
      <start xmlns="http://schemas.wps.cn/vas-ai-hub/contract-review">16</start>
      <end xmlns="http://schemas.wps.cn/vas-ai-hub/contract-review">18</end>
      <status xmlns="http://schemas.wps.cn/vas-ai-hub/contract-review">modified</status>
      <modifiedWord xmlns="http://schemas.wps.cn/vas-ai-hub/contract-review">程中</modifiedWord>
      <trackRevisions xmlns="http://schemas.wps.cn/vas-ai-hub/contract-review">false</trackRevisions>
    </reviewItem>
    <reviewItem xmlns="http://schemas.wps.cn/vas-ai-hub/contract-review">
      <errorID xmlns="http://schemas.wps.cn/vas-ai-hub/contract-review">64ab8dad-3533-4395-94f9-73cc17c8998f</errorID>
      <errorWord xmlns="http://schemas.wps.cn/vas-ai-hub/contract-review">采用</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采取</item>
      </candidateList>
      <explain xmlns="http://schemas.wps.cn/vas-ai-hub/contract-review">〈动〉❶选择施行（某种方针、政策、措施、手段、形式、态度等）：～守势｜～紧急措施。❷取：～指纹。</explain>
      <paraID xmlns="http://schemas.wps.cn/vas-ai-hub/contract-review">2D4D8819</paraID>
      <start xmlns="http://schemas.wps.cn/vas-ai-hub/contract-review">41</start>
      <end xmlns="http://schemas.wps.cn/vas-ai-hub/contract-review">43</end>
      <status xmlns="http://schemas.wps.cn/vas-ai-hub/contract-review">modified</status>
      <modifiedWord xmlns="http://schemas.wps.cn/vas-ai-hub/contract-review">采取</modifiedWord>
      <trackRevisions xmlns="http://schemas.wps.cn/vas-ai-hub/contract-review">false</trackRevisions>
    </reviewItem>
    <reviewItem xmlns="http://schemas.wps.cn/vas-ai-hub/contract-review">
      <errorID xmlns="http://schemas.wps.cn/vas-ai-hub/contract-review">7e0ebd24-2233-4605-a6f8-455a35e7606a</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38165300</paraID>
      <start xmlns="http://schemas.wps.cn/vas-ai-hub/contract-review">72</start>
      <end xmlns="http://schemas.wps.cn/vas-ai-hub/contract-review">73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16550a8c-d86a-407d-a24d-6182daa2d5c5</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38165300</paraID>
      <start xmlns="http://schemas.wps.cn/vas-ai-hub/contract-review">87</start>
      <end xmlns="http://schemas.wps.cn/vas-ai-hub/contract-review">88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e5a7e5c9-ddda-4326-aea1-fc99c8206a5a</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38165300</paraID>
      <start xmlns="http://schemas.wps.cn/vas-ai-hub/contract-review">127</start>
      <end xmlns="http://schemas.wps.cn/vas-ai-hub/contract-review">128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abf81480-cdca-43af-8667-de6cbead1ac7</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38165300</paraID>
      <start xmlns="http://schemas.wps.cn/vas-ai-hub/contract-review">140</start>
      <end xmlns="http://schemas.wps.cn/vas-ai-hub/contract-review">141</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ecf3df05-fbf2-4bda-9197-4725d10f0961</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13AB128A</paraID>
      <start xmlns="http://schemas.wps.cn/vas-ai-hub/contract-review">12</start>
      <end xmlns="http://schemas.wps.cn/vas-ai-hub/contract-review">13</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eb3a9f59-e80b-4ce1-b341-1e770022db7d</errorID>
      <errorWord xmlns="http://schemas.wps.cn/vas-ai-hub/contract-review">8、</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8.</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6E90AEF0</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6da5f2f5-4d56-43e9-9abd-e8dd4ae0dfe4</errorID>
      <errorWord xmlns="http://schemas.wps.cn/vas-ai-hub/contract-review">9、</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9.</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498998BC</paraID>
      <start xmlns="http://schemas.wps.cn/vas-ai-hub/contract-review">0</start>
      <end xmlns="http://schemas.wps.cn/vas-ai-hub/contract-review">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e03fe3e7-da73-4e23-8ebd-24594f34b81c</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279BD579</paraID>
      <start xmlns="http://schemas.wps.cn/vas-ai-hub/contract-review">5</start>
      <end xmlns="http://schemas.wps.cn/vas-ai-hub/contract-review">6</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665af1b3-feec-416e-8af9-c123bf6067d4</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279BD579</paraID>
      <start xmlns="http://schemas.wps.cn/vas-ai-hub/contract-review">8</start>
      <end xmlns="http://schemas.wps.cn/vas-ai-hub/contract-review">11</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d84a22f7-29fb-4de1-b755-eea245381dfd</errorID>
      <errorWord xmlns="http://schemas.wps.cn/vas-ai-hub/contract-review">10、</errorWord>
      <group xmlns="http://schemas.wps.cn/vas-ai-hub/contract-review">L1_Format</group>
      <groupName xmlns="http://schemas.wps.cn/vas-ai-hub/contract-review">格式问题</groupName>
      <ability xmlns="http://schemas.wps.cn/vas-ai-hub/contract-review">L2_Ordinal</ability>
      <abilityName xmlns="http://schemas.wps.cn/vas-ai-hub/contract-review">序号格式</abilityName>
      <candidateList xmlns="http://schemas.wps.cn/vas-ai-hub/contract-review">
        <item xmlns="http://schemas.wps.cn/vas-ai-hub/contract-review">10.</item>
      </candidateList>
      <explain xmlns="http://schemas.wps.cn/vas-ai-hub/contract-review">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xmlns="http://schemas.wps.cn/vas-ai-hub/contract-review">420B3CB8</paraID>
      <start xmlns="http://schemas.wps.cn/vas-ai-hub/contract-review">0</start>
      <end xmlns="http://schemas.wps.cn/vas-ai-hub/contract-review">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58209d56-923d-40c8-9fab-519ccce402af</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5742482A</paraID>
      <start xmlns="http://schemas.wps.cn/vas-ai-hub/contract-review">16</start>
      <end xmlns="http://schemas.wps.cn/vas-ai-hub/contract-review">17</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8e6cee45-a05a-46a4-a862-59f8442cb96c</errorID>
      <errorWord xmlns="http://schemas.wps.cn/vas-ai-hub/contract-review">对滚机</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对辊机</item>
      </candidateList>
      <explain xmlns="http://schemas.wps.cn/vas-ai-hub/contract-review"/>
      <paraID xmlns="http://schemas.wps.cn/vas-ai-hub/contract-review">72E2841A</paraID>
      <start xmlns="http://schemas.wps.cn/vas-ai-hub/contract-review">11</start>
      <end xmlns="http://schemas.wps.cn/vas-ai-hub/contract-review">14</end>
      <status xmlns="http://schemas.wps.cn/vas-ai-hub/contract-review">modified</status>
      <modifiedWord xmlns="http://schemas.wps.cn/vas-ai-hub/contract-review">对辊机</modifiedWord>
      <trackRevisions xmlns="http://schemas.wps.cn/vas-ai-hub/contract-review">false</trackRevisions>
    </reviewItem>
    <reviewItem xmlns="http://schemas.wps.cn/vas-ai-hub/contract-review">
      <errorID xmlns="http://schemas.wps.cn/vas-ai-hub/contract-review">ea1a4052-51c0-4084-aa0f-6beaed59394a</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5547F9B1</paraID>
      <start xmlns="http://schemas.wps.cn/vas-ai-hub/contract-review">3</start>
      <end xmlns="http://schemas.wps.cn/vas-ai-hub/contract-review">4</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a4d918fc-7e0e-446e-8010-c919a3e7e2ef</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 836010D</paraID>
      <start xmlns="http://schemas.wps.cn/vas-ai-hub/contract-review">2</start>
      <end xmlns="http://schemas.wps.cn/vas-ai-hub/contract-review">3</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f4046bd6-aacf-47a5-85ec-82bcc45eafaf</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4EE84F9A</paraID>
      <start xmlns="http://schemas.wps.cn/vas-ai-hub/contract-review">16</start>
      <end xmlns="http://schemas.wps.cn/vas-ai-hub/contract-review">17</end>
      <status xmlns="http://schemas.wps.cn/vas-ai-hub/contract-review">modified</status>
      <modifiedWord xmlns="http://schemas.wps.cn/vas-ai-hub/contract-review">（</modifiedWord>
      <trackRevisions xmlns="http://schemas.wps.cn/vas-ai-hub/contract-review">false</trackRevisions>
    </reviewItem>
  </reviewItems>
  <config xmlns="http://schemas.wps.cn/vas-ai-hub/contract-review"/>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13e05a-395c-47e8-b2d3-b3b034f513a7}">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146</Pages>
  <Words>45975</Words>
  <Characters>47490</Characters>
  <Lines>1</Lines>
  <Paragraphs>1</Paragraphs>
  <TotalTime>6</TotalTime>
  <ScaleCrop>false</ScaleCrop>
  <LinksUpToDate>false</LinksUpToDate>
  <CharactersWithSpaces>47565</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2021-06-24T19:16:00Z</dcterms:created>
  <dc:creator>Administrator</dc:creator>
  <cp:lastModifiedBy>小愤青菜</cp:lastModifiedBy>
  <cp:lastPrinted>2021-06-30T18:49:00Z</cp:lastPrinted>
  <dcterms:modified xsi:type="dcterms:W3CDTF">2026-01-04T16:42:12Z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B91416E9AC894C61933525AEADD843D3_13</vt:lpwstr>
  </property>
  <property fmtid="{D5CDD505-2E9C-101B-9397-08002B2CF9AE}" pid="4" name="KSOTemplateDocerSaveRecord">
    <vt:lpwstr>eyJoZGlkIjoiYjJmY2VmZWI5NGQ2Mjg0YThhZTY3Zjc5YWNhOThjOTQiLCJ1c2VySWQiOiI2NDE4NjQ1OTgifQ==</vt:lpwstr>
  </property>
</Properties>
</file>